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000000"/>
          <w:sz w:val="26"/>
        </w:rPr>
        <w:t>UNIVERSITÉ CHEIKH ANTA DIOP DE DAKAR</w:t>
      </w:r>
    </w:p>
    <w:p>
      <w:pPr>
        <w:jc w:val="center"/>
      </w:pPr>
      <w:r>
        <w:rPr>
          <w:rFonts w:ascii="Arial" w:hAnsi="Arial"/>
          <w:color w:val="000000"/>
          <w:sz w:val="22"/>
        </w:rPr>
        <w:t>Licence DAI — Bases de Machine Learning 2025-2026</w:t>
      </w:r>
    </w:p>
    <w:p/>
    <w:p/>
    <w:p>
      <w:pPr>
        <w:spacing w:before="400"/>
        <w:jc w:val="center"/>
      </w:pPr>
      <w:r>
        <w:rPr>
          <w:rFonts w:ascii="Arial" w:hAnsi="Arial"/>
          <w:b/>
          <w:color w:val="000000"/>
          <w:sz w:val="44"/>
        </w:rPr>
        <w:t>RAPPORT DES DONNÉES</w:t>
      </w:r>
    </w:p>
    <w:p>
      <w:pPr>
        <w:jc w:val="center"/>
      </w:pPr>
      <w:r>
        <w:rPr>
          <w:rFonts w:ascii="Arial" w:hAnsi="Arial"/>
          <w:b/>
          <w:color w:val="000000"/>
          <w:sz w:val="32"/>
        </w:rPr>
        <w:t>Projet 2 : Prédiction de la Consommation Énergétique</w:t>
      </w:r>
    </w:p>
    <w:p/>
    <w:p/>
    <w:p/>
    <w:p>
      <w:pPr>
        <w:jc w:val="center"/>
      </w:pPr>
      <w:r>
        <w:rPr>
          <w:rFonts w:ascii="Arial" w:hAnsi="Arial"/>
          <w:color w:val="000000"/>
          <w:sz w:val="24"/>
        </w:rPr>
        <w:t>Dataset : UCI Appliances Energy Prediction</w:t>
        <w:br/>
        <w:t>(Candanedo et al., 2017)</w:t>
      </w:r>
    </w:p>
    <w:p/>
    <w:p/>
    <w:p/>
    <w:p/>
    <w:p>
      <w:pPr>
        <w:jc w:val="center"/>
      </w:pPr>
      <w:r>
        <w:rPr>
          <w:rFonts w:ascii="Arial" w:hAnsi="Arial"/>
          <w:b/>
          <w:color w:val="000000"/>
          <w:sz w:val="22"/>
        </w:rPr>
        <w:t>Encadrant : M. Mouhamadou A.M.T. Baldé</w:t>
      </w:r>
    </w:p>
    <w:p>
      <w:pPr>
        <w:jc w:val="center"/>
      </w:pPr>
      <w:r>
        <w:rPr>
          <w:rFonts w:ascii="Arial" w:hAnsi="Arial"/>
          <w:b w:val="0"/>
          <w:color w:val="000000"/>
          <w:sz w:val="20"/>
        </w:rPr>
        <w:t>Date limite : 30 mai 2026</w:t>
      </w:r>
    </w:p>
    <w:p>
      <w:r>
        <w:br w:type="page"/>
      </w:r>
    </w:p>
    <w:p>
      <w:pPr>
        <w:spacing w:before="280" w:after="120"/>
      </w:pPr>
      <w:r>
        <w:rPr>
          <w:rFonts w:ascii="Arial" w:hAnsi="Arial"/>
          <w:b/>
          <w:color w:val="000000"/>
          <w:sz w:val="28"/>
        </w:rPr>
        <w:t>1. Présentation du Jeu de Données</w:t>
      </w:r>
    </w:p>
    <w:p>
      <w:pPr>
        <w:spacing w:before="200" w:after="120"/>
      </w:pPr>
      <w:r>
        <w:rPr>
          <w:rFonts w:ascii="Arial" w:hAnsi="Arial"/>
          <w:b/>
          <w:color w:val="000000"/>
          <w:sz w:val="24"/>
        </w:rPr>
        <w:t>1.1 Fiche d'identité</w:t>
      </w:r>
    </w:p>
    <w:tbl>
      <w:tblPr>
        <w:tblW w:type="auto" w:w="0"/>
        <w:jc w:val="center"/>
        <w:tblLook w:firstColumn="1" w:firstRow="1" w:lastColumn="0" w:lastRow="0" w:noHBand="0" w:noVBand="1" w:val="04A0"/>
      </w:tblPr>
      <w:tblGrid>
        <w:gridCol w:w="4703"/>
        <w:gridCol w:w="4703"/>
      </w:tblGrid>
      <w:tr>
        <w:tc>
          <w:tcPr>
            <w:tcW w:type="dxa" w:w="3402"/>
            <w:shd w:val="clear" w:color="auto" w:fill="404040"/>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i w:val="0"/>
                <w:color w:val="000000"/>
                <w:sz w:val="18"/>
              </w:rPr>
              <w:t>Caractéristique</w:t>
            </w:r>
          </w:p>
        </w:tc>
        <w:tc>
          <w:tcPr>
            <w:tcW w:type="dxa" w:w="5953"/>
            <w:shd w:val="clear" w:color="auto" w:fill="404040"/>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i w:val="0"/>
                <w:color w:val="000000"/>
                <w:sz w:val="18"/>
              </w:rPr>
              <w:t>Valeur</w:t>
            </w:r>
          </w:p>
        </w:tc>
      </w:tr>
      <w:tr>
        <w:tc>
          <w:tcPr>
            <w:tcW w:type="dxa" w:w="3402"/>
            <w:shd w:val="clear" w:color="auto" w:fill="E8E8E8"/>
            <w:tcBorders>
              <w:top w:val="single" w:sz="4" w:space="0" w:color="CCCCCC"/>
              <w:left w:val="single" w:sz="4" w:space="0" w:color="CCCCCC"/>
              <w:bottom w:val="single" w:sz="4" w:space="0" w:color="CCCCCC"/>
              <w:right w:val="single" w:sz="4" w:space="0" w:color="CCCCCC"/>
            </w:tcBorders>
            <w:vAlign w:val="center"/>
          </w:tcPr>
          <w:p>
            <w:pPr>
              <w:jc w:val="left"/>
            </w:pPr>
            <w:r/>
            <w:r>
              <w:rPr>
                <w:rFonts w:ascii="Arial" w:hAnsi="Arial"/>
                <w:b/>
                <w:i w:val="0"/>
                <w:sz w:val="18"/>
              </w:rPr>
              <w:t>Source</w:t>
            </w:r>
          </w:p>
        </w:tc>
        <w:tc>
          <w:tcPr>
            <w:tcW w:type="dxa" w:w="5953"/>
            <w:shd w:val="clear" w:color="auto" w:fill="E8E8E8"/>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UCI Machine Learning Repository</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
              <w:rPr>
                <w:rFonts w:ascii="Arial" w:hAnsi="Arial"/>
                <w:b/>
                <w:i w:val="0"/>
                <w:sz w:val="18"/>
              </w:rPr>
              <w:t>Auteurs</w:t>
            </w:r>
          </w:p>
        </w:tc>
        <w:tc>
          <w:tcPr>
            <w:tcW w:type="dxa" w:w="5953"/>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Candanedo, Feldheim &amp; Deramaix (2017)</w:t>
            </w:r>
          </w:p>
        </w:tc>
      </w:tr>
      <w:tr>
        <w:tc>
          <w:tcPr>
            <w:tcW w:type="dxa" w:w="3402"/>
            <w:shd w:val="clear" w:color="auto" w:fill="E8E8E8"/>
            <w:tcBorders>
              <w:top w:val="single" w:sz="4" w:space="0" w:color="CCCCCC"/>
              <w:left w:val="single" w:sz="4" w:space="0" w:color="CCCCCC"/>
              <w:bottom w:val="single" w:sz="4" w:space="0" w:color="CCCCCC"/>
              <w:right w:val="single" w:sz="4" w:space="0" w:color="CCCCCC"/>
            </w:tcBorders>
            <w:vAlign w:val="center"/>
          </w:tcPr>
          <w:p>
            <w:pPr>
              <w:jc w:val="left"/>
            </w:pPr>
            <w:r/>
            <w:r>
              <w:rPr>
                <w:rFonts w:ascii="Arial" w:hAnsi="Arial"/>
                <w:b/>
                <w:i w:val="0"/>
                <w:sz w:val="18"/>
              </w:rPr>
              <w:t>Publication</w:t>
            </w:r>
          </w:p>
        </w:tc>
        <w:tc>
          <w:tcPr>
            <w:tcW w:type="dxa" w:w="5953"/>
            <w:shd w:val="clear" w:color="auto" w:fill="E8E8E8"/>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Energy and Buildings, Vol. 140, pp. 81-97</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
              <w:rPr>
                <w:rFonts w:ascii="Arial" w:hAnsi="Arial"/>
                <w:b/>
                <w:i w:val="0"/>
                <w:sz w:val="18"/>
              </w:rPr>
              <w:t>Localisation</w:t>
            </w:r>
          </w:p>
        </w:tc>
        <w:tc>
          <w:tcPr>
            <w:tcW w:type="dxa" w:w="5953"/>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Stambruges, Belgique</w:t>
            </w:r>
          </w:p>
        </w:tc>
      </w:tr>
      <w:tr>
        <w:tc>
          <w:tcPr>
            <w:tcW w:type="dxa" w:w="3402"/>
            <w:shd w:val="clear" w:color="auto" w:fill="E8E8E8"/>
            <w:tcBorders>
              <w:top w:val="single" w:sz="4" w:space="0" w:color="CCCCCC"/>
              <w:left w:val="single" w:sz="4" w:space="0" w:color="CCCCCC"/>
              <w:bottom w:val="single" w:sz="4" w:space="0" w:color="CCCCCC"/>
              <w:right w:val="single" w:sz="4" w:space="0" w:color="CCCCCC"/>
            </w:tcBorders>
            <w:vAlign w:val="center"/>
          </w:tcPr>
          <w:p>
            <w:pPr>
              <w:jc w:val="left"/>
            </w:pPr>
            <w:r/>
            <w:r>
              <w:rPr>
                <w:rFonts w:ascii="Arial" w:hAnsi="Arial"/>
                <w:b/>
                <w:i w:val="0"/>
                <w:sz w:val="18"/>
              </w:rPr>
              <w:t>Type de bâtiment</w:t>
            </w:r>
          </w:p>
        </w:tc>
        <w:tc>
          <w:tcPr>
            <w:tcW w:type="dxa" w:w="5953"/>
            <w:shd w:val="clear" w:color="auto" w:fill="E8E8E8"/>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Maison basse énergie — Résidentiel</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
              <w:rPr>
                <w:rFonts w:ascii="Arial" w:hAnsi="Arial"/>
                <w:b/>
                <w:i w:val="0"/>
                <w:sz w:val="18"/>
              </w:rPr>
              <w:t>Période</w:t>
            </w:r>
          </w:p>
        </w:tc>
        <w:tc>
          <w:tcPr>
            <w:tcW w:type="dxa" w:w="5953"/>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Janvier – Mai 2016 (4,5 mois)</w:t>
            </w:r>
          </w:p>
        </w:tc>
      </w:tr>
      <w:tr>
        <w:tc>
          <w:tcPr>
            <w:tcW w:type="dxa" w:w="3402"/>
            <w:shd w:val="clear" w:color="auto" w:fill="E8E8E8"/>
            <w:tcBorders>
              <w:top w:val="single" w:sz="4" w:space="0" w:color="CCCCCC"/>
              <w:left w:val="single" w:sz="4" w:space="0" w:color="CCCCCC"/>
              <w:bottom w:val="single" w:sz="4" w:space="0" w:color="CCCCCC"/>
              <w:right w:val="single" w:sz="4" w:space="0" w:color="CCCCCC"/>
            </w:tcBorders>
            <w:vAlign w:val="center"/>
          </w:tcPr>
          <w:p>
            <w:pPr>
              <w:jc w:val="left"/>
            </w:pPr>
            <w:r/>
            <w:r>
              <w:rPr>
                <w:rFonts w:ascii="Arial" w:hAnsi="Arial"/>
                <w:b/>
                <w:i w:val="0"/>
                <w:sz w:val="18"/>
              </w:rPr>
              <w:t>Fréquence</w:t>
            </w:r>
          </w:p>
        </w:tc>
        <w:tc>
          <w:tcPr>
            <w:tcW w:type="dxa" w:w="5953"/>
            <w:shd w:val="clear" w:color="auto" w:fill="E8E8E8"/>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10 minutes (granularité fine)</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
              <w:rPr>
                <w:rFonts w:ascii="Arial" w:hAnsi="Arial"/>
                <w:b/>
                <w:i w:val="0"/>
                <w:sz w:val="18"/>
              </w:rPr>
              <w:t>Observations</w:t>
            </w:r>
          </w:p>
        </w:tc>
        <w:tc>
          <w:tcPr>
            <w:tcW w:type="dxa" w:w="5953"/>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19 735 lignes</w:t>
            </w:r>
          </w:p>
        </w:tc>
      </w:tr>
      <w:tr>
        <w:tc>
          <w:tcPr>
            <w:tcW w:type="dxa" w:w="3402"/>
            <w:shd w:val="clear" w:color="auto" w:fill="E8E8E8"/>
            <w:tcBorders>
              <w:top w:val="single" w:sz="4" w:space="0" w:color="CCCCCC"/>
              <w:left w:val="single" w:sz="4" w:space="0" w:color="CCCCCC"/>
              <w:bottom w:val="single" w:sz="4" w:space="0" w:color="CCCCCC"/>
              <w:right w:val="single" w:sz="4" w:space="0" w:color="CCCCCC"/>
            </w:tcBorders>
            <w:vAlign w:val="center"/>
          </w:tcPr>
          <w:p>
            <w:pPr>
              <w:jc w:val="left"/>
            </w:pPr>
            <w:r/>
            <w:r>
              <w:rPr>
                <w:rFonts w:ascii="Arial" w:hAnsi="Arial"/>
                <w:b/>
                <w:i w:val="0"/>
                <w:sz w:val="18"/>
              </w:rPr>
              <w:t>Variables brutes</w:t>
            </w:r>
          </w:p>
        </w:tc>
        <w:tc>
          <w:tcPr>
            <w:tcW w:type="dxa" w:w="5953"/>
            <w:shd w:val="clear" w:color="auto" w:fill="E8E8E8"/>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29 colonnes (dont la cible Appliances)</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
              <w:rPr>
                <w:rFonts w:ascii="Arial" w:hAnsi="Arial"/>
                <w:b/>
                <w:i w:val="0"/>
                <w:sz w:val="18"/>
              </w:rPr>
              <w:t>Valeurs manquantes</w:t>
            </w:r>
          </w:p>
        </w:tc>
        <w:tc>
          <w:tcPr>
            <w:tcW w:type="dxa" w:w="5953"/>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0 (0%) — dataset complet</w:t>
            </w:r>
          </w:p>
        </w:tc>
      </w:tr>
      <w:tr>
        <w:tc>
          <w:tcPr>
            <w:tcW w:type="dxa" w:w="3402"/>
            <w:shd w:val="clear" w:color="auto" w:fill="E8E8E8"/>
            <w:tcBorders>
              <w:top w:val="single" w:sz="4" w:space="0" w:color="CCCCCC"/>
              <w:left w:val="single" w:sz="4" w:space="0" w:color="CCCCCC"/>
              <w:bottom w:val="single" w:sz="4" w:space="0" w:color="CCCCCC"/>
              <w:right w:val="single" w:sz="4" w:space="0" w:color="CCCCCC"/>
            </w:tcBorders>
            <w:vAlign w:val="center"/>
          </w:tcPr>
          <w:p>
            <w:pPr>
              <w:jc w:val="left"/>
            </w:pPr>
            <w:r/>
            <w:r>
              <w:rPr>
                <w:rFonts w:ascii="Arial" w:hAnsi="Arial"/>
                <w:b/>
                <w:i w:val="0"/>
                <w:sz w:val="18"/>
              </w:rPr>
              <w:t>Superficie</w:t>
            </w:r>
          </w:p>
        </w:tc>
        <w:tc>
          <w:tcPr>
            <w:tcW w:type="dxa" w:w="5953"/>
            <w:shd w:val="clear" w:color="auto" w:fill="E8E8E8"/>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280 m²</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
              <w:rPr>
                <w:rFonts w:ascii="Arial" w:hAnsi="Arial"/>
                <w:b/>
                <w:i w:val="0"/>
                <w:sz w:val="18"/>
              </w:rPr>
              <w:t>Occupants</w:t>
            </w:r>
          </w:p>
        </w:tc>
        <w:tc>
          <w:tcPr>
            <w:tcW w:type="dxa" w:w="5953"/>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4 personnes</w:t>
            </w:r>
          </w:p>
        </w:tc>
      </w:tr>
    </w:tbl>
    <w:p>
      <w:pPr>
        <w:spacing w:before="40" w:after="200"/>
        <w:jc w:val="center"/>
      </w:pPr>
      <w:r>
        <w:rPr>
          <w:rFonts w:ascii="Arial" w:hAnsi="Arial"/>
          <w:i/>
          <w:color w:val="000000"/>
          <w:sz w:val="18"/>
        </w:rPr>
        <w:t>Tableau 1 — Fiche d'identité du dataset UCI</w:t>
      </w:r>
    </w:p>
    <w:p>
      <w:pPr>
        <w:spacing w:before="40" w:after="120"/>
        <w:jc w:val="both"/>
      </w:pPr>
      <w:r>
        <w:rPr>
          <w:rFonts w:ascii="Arial" w:hAnsi="Arial"/>
          <w:b w:val="0"/>
          <w:i w:val="0"/>
          <w:sz w:val="20"/>
        </w:rPr>
        <w:t>Ce dataset a été sélectionné car il couvre toutes les 11 variables requises par le sujet du projet, avec des capteurs IoT réels placés dans chaque pièce de la maison. La résolution temporelle de 10 minutes permet d'analyser finement les comportements de consommation journaliers et hebdomadaires.</w:t>
      </w:r>
    </w:p>
    <w:p>
      <w:r>
        <w:br w:type="page"/>
      </w:r>
    </w:p>
    <w:p>
      <w:pPr>
        <w:spacing w:before="280" w:after="120"/>
      </w:pPr>
      <w:r>
        <w:rPr>
          <w:rFonts w:ascii="Arial" w:hAnsi="Arial"/>
          <w:b/>
          <w:color w:val="000000"/>
          <w:sz w:val="28"/>
        </w:rPr>
        <w:t>2. Description des Variables</w:t>
      </w:r>
    </w:p>
    <w:p>
      <w:pPr>
        <w:spacing w:before="200" w:after="120"/>
      </w:pPr>
      <w:r>
        <w:rPr>
          <w:rFonts w:ascii="Arial" w:hAnsi="Arial"/>
          <w:b/>
          <w:color w:val="000000"/>
          <w:sz w:val="24"/>
        </w:rPr>
        <w:t>2.1 Variable Cible</w:t>
      </w:r>
    </w:p>
    <w:p>
      <w:pPr>
        <w:spacing w:before="40" w:after="120"/>
        <w:jc w:val="both"/>
      </w:pPr>
      <w:r>
        <w:rPr>
          <w:rFonts w:ascii="Arial" w:hAnsi="Arial"/>
          <w:sz w:val="20"/>
        </w:rPr>
        <w:t>La variable cible est la consommation énergétique des appareils électroménagers (Appliances), convertie en kWh pour chaque intervalle de 10 minutes.</w:t>
      </w:r>
    </w:p>
    <w:tbl>
      <w:tblPr>
        <w:tblW w:w="9026" w:type="dxa"/>
        <w:tblBorders>
          <w:top w:val="single" w:sz="4" w:color="000000"/>
          <w:left w:val="single" w:sz="4" w:color="000000"/>
          <w:bottom w:val="single" w:sz="4" w:color="000000"/>
          <w:right w:val="single" w:sz="4" w:color="000000"/>
          <w:insideH w:val="single" w:sz="4" w:color="000000"/>
          <w:insideV w:val="single" w:sz="4" w:color="000000"/>
        </w:tblBorders>
      </w:tblPr>
      <w:tblGrid>
        <w:gridCol w:w="2256"/>
        <w:gridCol w:w="2257"/>
        <w:gridCol w:w="2257"/>
        <w:gridCol w:w="2256"/>
      </w:tblGrid>
      <w:tr>
        <w:tc>
          <w:tcPr>
            <w:tcW w:w="2256" w:type="dxa"/>
            <w:shd w:val="clear" w:fill="404040"/>
          </w:tcPr>
          <w:p>
            <w:r>
              <w:rPr>
                <w:rFonts w:ascii="Arial" w:hAnsi="Arial"/>
                <w:b/>
                <w:color w:val="000000"/>
                <w:sz w:val="18"/>
              </w:rPr>
              <w:t>Variable</w:t>
            </w:r>
          </w:p>
        </w:tc>
        <w:tc>
          <w:tcPr>
            <w:tcW w:w="2257" w:type="dxa"/>
            <w:shd w:val="clear" w:fill="404040"/>
          </w:tcPr>
          <w:p>
            <w:r>
              <w:rPr>
                <w:rFonts w:ascii="Arial" w:hAnsi="Arial"/>
                <w:b/>
                <w:color w:val="000000"/>
                <w:sz w:val="18"/>
              </w:rPr>
              <w:t>Unité</w:t>
            </w:r>
          </w:p>
        </w:tc>
        <w:tc>
          <w:tcPr>
            <w:tcW w:w="2257" w:type="dxa"/>
            <w:shd w:val="clear" w:fill="404040"/>
          </w:tcPr>
          <w:p>
            <w:r>
              <w:rPr>
                <w:rFonts w:ascii="Arial" w:hAnsi="Arial"/>
                <w:b/>
                <w:color w:val="000000"/>
                <w:sz w:val="18"/>
              </w:rPr>
              <w:t>Min → Max</w:t>
            </w:r>
          </w:p>
        </w:tc>
        <w:tc>
          <w:tcPr>
            <w:tcW w:w="2256" w:type="dxa"/>
            <w:shd w:val="clear" w:fill="404040"/>
          </w:tcPr>
          <w:p>
            <w:r>
              <w:rPr>
                <w:rFonts w:ascii="Arial" w:hAnsi="Arial"/>
                <w:b/>
                <w:color w:val="000000"/>
                <w:sz w:val="18"/>
              </w:rPr>
              <w:t>Moyenne ± Ecart-type</w:t>
            </w:r>
          </w:p>
        </w:tc>
      </w:tr>
      <w:tr>
        <w:tc>
          <w:tcPr>
            <w:tcW w:w="2256" w:type="dxa"/>
            <w:shd w:val="clear" w:fill="E8E8E8"/>
          </w:tcPr>
          <w:p>
            <w:r>
              <w:rPr>
                <w:rFonts w:ascii="Arial" w:hAnsi="Arial"/>
                <w:sz w:val="18"/>
              </w:rPr>
              <w:t>Consommation_kWh</w:t>
            </w:r>
          </w:p>
        </w:tc>
        <w:tc>
          <w:tcPr>
            <w:tcW w:w="2257" w:type="dxa"/>
          </w:tcPr>
          <w:p>
            <w:r>
              <w:rPr>
                <w:rFonts w:ascii="Arial" w:hAnsi="Arial"/>
                <w:sz w:val="18"/>
              </w:rPr>
              <w:t>kWh/10min</w:t>
            </w:r>
          </w:p>
        </w:tc>
        <w:tc>
          <w:tcPr>
            <w:tcW w:w="2257" w:type="dxa"/>
          </w:tcPr>
          <w:p>
            <w:r>
              <w:rPr>
                <w:rFonts w:ascii="Arial" w:hAnsi="Arial"/>
                <w:sz w:val="18"/>
              </w:rPr>
              <w:t>0.010 → 1.080</w:t>
            </w:r>
          </w:p>
        </w:tc>
        <w:tc>
          <w:tcPr>
            <w:tcW w:w="2256" w:type="dxa"/>
          </w:tcPr>
          <w:p>
            <w:r>
              <w:rPr>
                <w:rFonts w:ascii="Arial" w:hAnsi="Arial"/>
                <w:sz w:val="18"/>
              </w:rPr>
              <w:t>0.097 ± 0.105</w:t>
            </w:r>
          </w:p>
        </w:tc>
      </w:tr>
    </w:tbl>
    <w:p>
      <w:pPr>
        <w:spacing w:before="60" w:after="120"/>
        <w:jc w:val="center"/>
      </w:pPr>
      <w:r>
        <w:rPr>
          <w:rFonts w:ascii="Arial" w:hAnsi="Arial"/>
          <w:i/>
          <w:color w:val="000000"/>
          <w:sz w:val="18"/>
        </w:rPr>
        <w:t>Tableau 2 — Variable cible</w:t>
      </w:r>
    </w:p>
    <w:p>
      <w:pPr>
        <w:spacing w:before="200" w:after="120"/>
      </w:pPr>
      <w:r>
        <w:rPr>
          <w:rFonts w:ascii="Arial" w:hAnsi="Arial"/>
          <w:b/>
          <w:color w:val="000000"/>
          <w:sz w:val="24"/>
        </w:rPr>
        <w:t>2.2 Variables Requises du Projet (11/11)</w:t>
      </w:r>
    </w:p>
    <w:p>
      <w:pPr>
        <w:spacing w:before="40" w:after="120"/>
        <w:jc w:val="both"/>
      </w:pPr>
      <w:r>
        <w:rPr>
          <w:rFonts w:ascii="Arial" w:hAnsi="Arial"/>
          <w:sz w:val="20"/>
        </w:rPr>
        <w:t>Le tableau ci-dessous récapitule les 11 variables imposées par le sujet, leur statut et leur méthode d’obtention.</w:t>
      </w:r>
    </w:p>
    <w:tbl>
      <w:tblPr>
        <w:tblW w:w="9026" w:type="dxa"/>
        <w:tblBorders>
          <w:top w:val="single" w:sz="4" w:color="000000"/>
          <w:left w:val="single" w:sz="4" w:color="000000"/>
          <w:bottom w:val="single" w:sz="4" w:color="000000"/>
          <w:right w:val="single" w:sz="4" w:color="000000"/>
          <w:insideH w:val="single" w:sz="4" w:color="000000"/>
          <w:insideV w:val="single" w:sz="4" w:color="000000"/>
        </w:tblBorders>
      </w:tblPr>
      <w:tblGrid>
        <w:gridCol w:w="400"/>
        <w:gridCol w:w="2200"/>
        <w:gridCol w:w="1300"/>
        <w:gridCol w:w="1300"/>
        <w:gridCol w:w="3826"/>
      </w:tblGrid>
      <w:tr>
        <w:tc>
          <w:tcPr>
            <w:tcW w:w="400" w:type="dxa"/>
            <w:shd w:val="clear" w:fill="404040"/>
          </w:tcPr>
          <w:p>
            <w:r>
              <w:rPr>
                <w:rFonts w:ascii="Arial" w:hAnsi="Arial"/>
                <w:b/>
                <w:color w:val="000000"/>
                <w:sz w:val="18"/>
              </w:rPr>
              <w:t>#</w:t>
            </w:r>
          </w:p>
        </w:tc>
        <w:tc>
          <w:tcPr>
            <w:tcW w:w="2200" w:type="dxa"/>
            <w:shd w:val="clear" w:fill="404040"/>
          </w:tcPr>
          <w:p>
            <w:r>
              <w:rPr>
                <w:rFonts w:ascii="Arial" w:hAnsi="Arial"/>
                <w:b/>
                <w:color w:val="000000"/>
                <w:sz w:val="18"/>
              </w:rPr>
              <w:t>Variable</w:t>
            </w:r>
          </w:p>
        </w:tc>
        <w:tc>
          <w:tcPr>
            <w:tcW w:w="1300" w:type="dxa"/>
            <w:shd w:val="clear" w:fill="404040"/>
          </w:tcPr>
          <w:p>
            <w:r>
              <w:rPr>
                <w:rFonts w:ascii="Arial" w:hAnsi="Arial"/>
                <w:b/>
                <w:color w:val="000000"/>
                <w:sz w:val="18"/>
              </w:rPr>
              <w:t>Type</w:t>
            </w:r>
          </w:p>
        </w:tc>
        <w:tc>
          <w:tcPr>
            <w:tcW w:w="1300" w:type="dxa"/>
            <w:shd w:val="clear" w:fill="404040"/>
          </w:tcPr>
          <w:p>
            <w:r>
              <w:rPr>
                <w:rFonts w:ascii="Arial" w:hAnsi="Arial"/>
                <w:b/>
                <w:color w:val="000000"/>
                <w:sz w:val="18"/>
              </w:rPr>
              <w:t>Statut</w:t>
            </w:r>
          </w:p>
        </w:tc>
        <w:tc>
          <w:tcPr>
            <w:tcW w:w="3826" w:type="dxa"/>
            <w:shd w:val="clear" w:fill="404040"/>
          </w:tcPr>
          <w:p>
            <w:r>
              <w:rPr>
                <w:rFonts w:ascii="Arial" w:hAnsi="Arial"/>
                <w:b/>
                <w:color w:val="000000"/>
                <w:sz w:val="18"/>
              </w:rPr>
              <w:t>Source / Méthode</w:t>
            </w:r>
          </w:p>
        </w:tc>
      </w:tr>
      <w:tr>
        <w:tc>
          <w:tcPr>
            <w:tcW w:w="400" w:type="dxa"/>
            <w:shd w:val="clear" w:fill="E8E8E8"/>
          </w:tcPr>
          <w:p>
            <w:r>
              <w:rPr>
                <w:rFonts w:ascii="Arial" w:hAnsi="Arial"/>
                <w:sz w:val="18"/>
              </w:rPr>
              <w:t>1</w:t>
            </w:r>
          </w:p>
        </w:tc>
        <w:tc>
          <w:tcPr>
            <w:tcW w:w="2200" w:type="dxa"/>
            <w:shd w:val="clear" w:fill="E8E8E8"/>
          </w:tcPr>
          <w:p>
            <w:r>
              <w:rPr>
                <w:rFonts w:ascii="Arial" w:hAnsi="Arial"/>
                <w:sz w:val="18"/>
              </w:rPr>
              <w:t>Consommation_kWh</w:t>
            </w:r>
          </w:p>
        </w:tc>
        <w:tc>
          <w:tcPr>
            <w:tcW w:w="1300" w:type="dxa"/>
            <w:shd w:val="clear" w:fill="E8E8E8"/>
          </w:tcPr>
          <w:p>
            <w:r>
              <w:rPr>
                <w:rFonts w:ascii="Arial" w:hAnsi="Arial"/>
                <w:sz w:val="18"/>
              </w:rPr>
              <w:t>Numérique</w:t>
            </w:r>
          </w:p>
        </w:tc>
        <w:tc>
          <w:tcPr>
            <w:tcW w:w="1300" w:type="dxa"/>
            <w:shd w:val="clear" w:fill="E8E8E8"/>
          </w:tcPr>
          <w:p>
            <w:r>
              <w:rPr>
                <w:rFonts w:ascii="Arial" w:hAnsi="Arial"/>
                <w:color w:val="000000"/>
                <w:sz w:val="18"/>
              </w:rPr>
              <w:t>REEL</w:t>
            </w:r>
          </w:p>
        </w:tc>
        <w:tc>
          <w:tcPr>
            <w:tcW w:w="3826" w:type="dxa"/>
            <w:shd w:val="clear" w:fill="E8E8E8"/>
          </w:tcPr>
          <w:p>
            <w:r>
              <w:rPr>
                <w:rFonts w:ascii="Arial" w:hAnsi="Arial"/>
                <w:sz w:val="18"/>
              </w:rPr>
              <w:t>Capteur IoT - Appliances div 6</w:t>
            </w:r>
          </w:p>
        </w:tc>
      </w:tr>
      <w:tr>
        <w:tc>
          <w:tcPr>
            <w:tcW w:w="400" w:type="dxa"/>
          </w:tcPr>
          <w:p>
            <w:r>
              <w:rPr>
                <w:rFonts w:ascii="Arial" w:hAnsi="Arial"/>
                <w:sz w:val="18"/>
              </w:rPr>
              <w:t>2</w:t>
            </w:r>
          </w:p>
        </w:tc>
        <w:tc>
          <w:tcPr>
            <w:tcW w:w="2200" w:type="dxa"/>
          </w:tcPr>
          <w:p>
            <w:r>
              <w:rPr>
                <w:rFonts w:ascii="Arial" w:hAnsi="Arial"/>
                <w:sz w:val="18"/>
              </w:rPr>
              <w:t>T_out</w:t>
            </w:r>
          </w:p>
        </w:tc>
        <w:tc>
          <w:tcPr>
            <w:tcW w:w="1300" w:type="dxa"/>
          </w:tcPr>
          <w:p>
            <w:r>
              <w:rPr>
                <w:rFonts w:ascii="Arial" w:hAnsi="Arial"/>
                <w:sz w:val="18"/>
              </w:rPr>
              <w:t>Numérique</w:t>
            </w:r>
          </w:p>
        </w:tc>
        <w:tc>
          <w:tcPr>
            <w:tcW w:w="1300" w:type="dxa"/>
          </w:tcPr>
          <w:p>
            <w:r>
              <w:rPr>
                <w:rFonts w:ascii="Arial" w:hAnsi="Arial"/>
                <w:color w:val="000000"/>
                <w:sz w:val="18"/>
              </w:rPr>
              <w:t>REEL</w:t>
            </w:r>
          </w:p>
        </w:tc>
        <w:tc>
          <w:tcPr>
            <w:tcW w:w="3826" w:type="dxa"/>
          </w:tcPr>
          <w:p>
            <w:r>
              <w:rPr>
                <w:rFonts w:ascii="Arial" w:hAnsi="Arial"/>
                <w:sz w:val="18"/>
              </w:rPr>
              <w:t>Station meteo Chievres Air Base</w:t>
            </w:r>
          </w:p>
        </w:tc>
      </w:tr>
      <w:tr>
        <w:tc>
          <w:tcPr>
            <w:tcW w:w="400" w:type="dxa"/>
            <w:shd w:val="clear" w:fill="E8E8E8"/>
          </w:tcPr>
          <w:p>
            <w:r>
              <w:rPr>
                <w:rFonts w:ascii="Arial" w:hAnsi="Arial"/>
                <w:sz w:val="18"/>
              </w:rPr>
              <w:t>3</w:t>
            </w:r>
          </w:p>
        </w:tc>
        <w:tc>
          <w:tcPr>
            <w:tcW w:w="2200" w:type="dxa"/>
            <w:shd w:val="clear" w:fill="E8E8E8"/>
          </w:tcPr>
          <w:p>
            <w:r>
              <w:rPr>
                <w:rFonts w:ascii="Arial" w:hAnsi="Arial"/>
                <w:sz w:val="18"/>
              </w:rPr>
              <w:t>RH_out</w:t>
            </w:r>
          </w:p>
        </w:tc>
        <w:tc>
          <w:tcPr>
            <w:tcW w:w="1300" w:type="dxa"/>
            <w:shd w:val="clear" w:fill="E8E8E8"/>
          </w:tcPr>
          <w:p>
            <w:r>
              <w:rPr>
                <w:rFonts w:ascii="Arial" w:hAnsi="Arial"/>
                <w:sz w:val="18"/>
              </w:rPr>
              <w:t>Numérique</w:t>
            </w:r>
          </w:p>
        </w:tc>
        <w:tc>
          <w:tcPr>
            <w:tcW w:w="1300" w:type="dxa"/>
            <w:shd w:val="clear" w:fill="E8E8E8"/>
          </w:tcPr>
          <w:p>
            <w:r>
              <w:rPr>
                <w:rFonts w:ascii="Arial" w:hAnsi="Arial"/>
                <w:color w:val="000000"/>
                <w:sz w:val="18"/>
              </w:rPr>
              <w:t>REEL</w:t>
            </w:r>
          </w:p>
        </w:tc>
        <w:tc>
          <w:tcPr>
            <w:tcW w:w="3826" w:type="dxa"/>
            <w:shd w:val="clear" w:fill="E8E8E8"/>
          </w:tcPr>
          <w:p>
            <w:r>
              <w:rPr>
                <w:rFonts w:ascii="Arial" w:hAnsi="Arial"/>
                <w:sz w:val="18"/>
              </w:rPr>
              <w:t>Station meteo Chievres Air Base</w:t>
            </w:r>
          </w:p>
        </w:tc>
      </w:tr>
      <w:tr>
        <w:tc>
          <w:tcPr>
            <w:tcW w:w="400" w:type="dxa"/>
          </w:tcPr>
          <w:p>
            <w:r>
              <w:rPr>
                <w:rFonts w:ascii="Arial" w:hAnsi="Arial"/>
                <w:sz w:val="18"/>
              </w:rPr>
              <w:t>4</w:t>
            </w:r>
          </w:p>
        </w:tc>
        <w:tc>
          <w:tcPr>
            <w:tcW w:w="2200" w:type="dxa"/>
          </w:tcPr>
          <w:p>
            <w:r>
              <w:rPr>
                <w:rFonts w:ascii="Arial" w:hAnsi="Arial"/>
                <w:sz w:val="18"/>
              </w:rPr>
              <w:t>Heure</w:t>
            </w:r>
          </w:p>
        </w:tc>
        <w:tc>
          <w:tcPr>
            <w:tcW w:w="1300" w:type="dxa"/>
          </w:tcPr>
          <w:p>
            <w:r>
              <w:rPr>
                <w:rFonts w:ascii="Arial" w:hAnsi="Arial"/>
                <w:sz w:val="18"/>
              </w:rPr>
              <w:t>Numérique</w:t>
            </w:r>
          </w:p>
        </w:tc>
        <w:tc>
          <w:tcPr>
            <w:tcW w:w="1300" w:type="dxa"/>
          </w:tcPr>
          <w:p>
            <w:r>
              <w:rPr>
                <w:rFonts w:ascii="Arial" w:hAnsi="Arial"/>
                <w:color w:val="000000"/>
                <w:sz w:val="18"/>
              </w:rPr>
              <w:t>REEL</w:t>
            </w:r>
          </w:p>
        </w:tc>
        <w:tc>
          <w:tcPr>
            <w:tcW w:w="3826" w:type="dxa"/>
          </w:tcPr>
          <w:p>
            <w:r>
              <w:rPr>
                <w:rFonts w:ascii="Arial" w:hAnsi="Arial"/>
                <w:sz w:val="18"/>
              </w:rPr>
              <w:t>Extrait du champ datetime</w:t>
            </w:r>
          </w:p>
        </w:tc>
      </w:tr>
      <w:tr>
        <w:tc>
          <w:tcPr>
            <w:tcW w:w="400" w:type="dxa"/>
            <w:shd w:val="clear" w:fill="E8E8E8"/>
          </w:tcPr>
          <w:p>
            <w:r>
              <w:rPr>
                <w:rFonts w:ascii="Arial" w:hAnsi="Arial"/>
                <w:sz w:val="18"/>
              </w:rPr>
              <w:t>5</w:t>
            </w:r>
          </w:p>
        </w:tc>
        <w:tc>
          <w:tcPr>
            <w:tcW w:w="2200" w:type="dxa"/>
            <w:shd w:val="clear" w:fill="E8E8E8"/>
          </w:tcPr>
          <w:p>
            <w:r>
              <w:rPr>
                <w:rFonts w:ascii="Arial" w:hAnsi="Arial"/>
                <w:sz w:val="18"/>
              </w:rPr>
              <w:t>Jour_semaine</w:t>
            </w:r>
          </w:p>
        </w:tc>
        <w:tc>
          <w:tcPr>
            <w:tcW w:w="1300" w:type="dxa"/>
            <w:shd w:val="clear" w:fill="E8E8E8"/>
          </w:tcPr>
          <w:p>
            <w:r>
              <w:rPr>
                <w:rFonts w:ascii="Arial" w:hAnsi="Arial"/>
                <w:sz w:val="18"/>
              </w:rPr>
              <w:t>Numérique</w:t>
            </w:r>
          </w:p>
        </w:tc>
        <w:tc>
          <w:tcPr>
            <w:tcW w:w="1300" w:type="dxa"/>
            <w:shd w:val="clear" w:fill="E8E8E8"/>
          </w:tcPr>
          <w:p>
            <w:r>
              <w:rPr>
                <w:rFonts w:ascii="Arial" w:hAnsi="Arial"/>
                <w:color w:val="000000"/>
                <w:sz w:val="18"/>
              </w:rPr>
              <w:t>REEL</w:t>
            </w:r>
          </w:p>
        </w:tc>
        <w:tc>
          <w:tcPr>
            <w:tcW w:w="3826" w:type="dxa"/>
            <w:shd w:val="clear" w:fill="E8E8E8"/>
          </w:tcPr>
          <w:p>
            <w:r>
              <w:rPr>
                <w:rFonts w:ascii="Arial" w:hAnsi="Arial"/>
                <w:sz w:val="18"/>
              </w:rPr>
              <w:t>Extrait du champ datetime</w:t>
            </w:r>
          </w:p>
        </w:tc>
      </w:tr>
      <w:tr>
        <w:tc>
          <w:tcPr>
            <w:tcW w:w="400" w:type="dxa"/>
          </w:tcPr>
          <w:p>
            <w:r>
              <w:rPr>
                <w:rFonts w:ascii="Arial" w:hAnsi="Arial"/>
                <w:sz w:val="18"/>
              </w:rPr>
              <w:t>6</w:t>
            </w:r>
          </w:p>
        </w:tc>
        <w:tc>
          <w:tcPr>
            <w:tcW w:w="2200" w:type="dxa"/>
          </w:tcPr>
          <w:p>
            <w:r>
              <w:rPr>
                <w:rFonts w:ascii="Arial" w:hAnsi="Arial"/>
                <w:sz w:val="18"/>
              </w:rPr>
              <w:t>Jour_ferie</w:t>
            </w:r>
          </w:p>
        </w:tc>
        <w:tc>
          <w:tcPr>
            <w:tcW w:w="1300" w:type="dxa"/>
          </w:tcPr>
          <w:p>
            <w:r>
              <w:rPr>
                <w:rFonts w:ascii="Arial" w:hAnsi="Arial"/>
                <w:sz w:val="18"/>
              </w:rPr>
              <w:t>Binaire</w:t>
            </w:r>
          </w:p>
        </w:tc>
        <w:tc>
          <w:tcPr>
            <w:tcW w:w="1300" w:type="dxa"/>
          </w:tcPr>
          <w:p>
            <w:r>
              <w:rPr>
                <w:rFonts w:ascii="Arial" w:hAnsi="Arial"/>
                <w:color w:val="000000"/>
                <w:sz w:val="18"/>
              </w:rPr>
              <w:t>REEL</w:t>
            </w:r>
          </w:p>
        </w:tc>
        <w:tc>
          <w:tcPr>
            <w:tcW w:w="3826" w:type="dxa"/>
          </w:tcPr>
          <w:p>
            <w:r>
              <w:rPr>
                <w:rFonts w:ascii="Arial" w:hAnsi="Arial"/>
                <w:sz w:val="18"/>
              </w:rPr>
              <w:t>Calendrier belge 2016</w:t>
            </w:r>
          </w:p>
        </w:tc>
      </w:tr>
      <w:tr>
        <w:tc>
          <w:tcPr>
            <w:tcW w:w="400" w:type="dxa"/>
            <w:shd w:val="clear" w:fill="E8E8E8"/>
          </w:tcPr>
          <w:p>
            <w:r>
              <w:rPr>
                <w:rFonts w:ascii="Arial" w:hAnsi="Arial"/>
                <w:sz w:val="18"/>
              </w:rPr>
              <w:t>7</w:t>
            </w:r>
          </w:p>
        </w:tc>
        <w:tc>
          <w:tcPr>
            <w:tcW w:w="2200" w:type="dxa"/>
            <w:shd w:val="clear" w:fill="E8E8E8"/>
          </w:tcPr>
          <w:p>
            <w:r>
              <w:rPr>
                <w:rFonts w:ascii="Arial" w:hAnsi="Arial"/>
                <w:sz w:val="18"/>
              </w:rPr>
              <w:t>Type_batiment</w:t>
            </w:r>
          </w:p>
        </w:tc>
        <w:tc>
          <w:tcPr>
            <w:tcW w:w="1300" w:type="dxa"/>
            <w:shd w:val="clear" w:fill="E8E8E8"/>
          </w:tcPr>
          <w:p>
            <w:r>
              <w:rPr>
                <w:rFonts w:ascii="Arial" w:hAnsi="Arial"/>
                <w:sz w:val="18"/>
              </w:rPr>
              <w:t>Catégoriel</w:t>
            </w:r>
          </w:p>
        </w:tc>
        <w:tc>
          <w:tcPr>
            <w:tcW w:w="1300" w:type="dxa"/>
            <w:shd w:val="clear" w:fill="E8E8E8"/>
          </w:tcPr>
          <w:p>
            <w:r>
              <w:rPr>
                <w:rFonts w:ascii="Arial" w:hAnsi="Arial"/>
                <w:color w:val="000000"/>
                <w:sz w:val="18"/>
              </w:rPr>
              <w:t>FIXE</w:t>
            </w:r>
          </w:p>
        </w:tc>
        <w:tc>
          <w:tcPr>
            <w:tcW w:w="3826" w:type="dxa"/>
            <w:shd w:val="clear" w:fill="E8E8E8"/>
          </w:tcPr>
          <w:p>
            <w:r>
              <w:rPr>
                <w:rFonts w:ascii="Arial" w:hAnsi="Arial"/>
                <w:sz w:val="18"/>
              </w:rPr>
              <w:t>Valeur fixe issue de Candanedo 2017</w:t>
            </w:r>
          </w:p>
        </w:tc>
      </w:tr>
      <w:tr>
        <w:tc>
          <w:tcPr>
            <w:tcW w:w="400" w:type="dxa"/>
          </w:tcPr>
          <w:p>
            <w:r>
              <w:rPr>
                <w:rFonts w:ascii="Arial" w:hAnsi="Arial"/>
                <w:sz w:val="18"/>
              </w:rPr>
              <w:t>8</w:t>
            </w:r>
          </w:p>
        </w:tc>
        <w:tc>
          <w:tcPr>
            <w:tcW w:w="2200" w:type="dxa"/>
          </w:tcPr>
          <w:p>
            <w:r>
              <w:rPr>
                <w:rFonts w:ascii="Arial" w:hAnsi="Arial"/>
                <w:sz w:val="18"/>
              </w:rPr>
              <w:t>Surface_m2</w:t>
            </w:r>
          </w:p>
        </w:tc>
        <w:tc>
          <w:tcPr>
            <w:tcW w:w="1300" w:type="dxa"/>
          </w:tcPr>
          <w:p>
            <w:r>
              <w:rPr>
                <w:rFonts w:ascii="Arial" w:hAnsi="Arial"/>
                <w:sz w:val="18"/>
              </w:rPr>
              <w:t>Numérique</w:t>
            </w:r>
          </w:p>
        </w:tc>
        <w:tc>
          <w:tcPr>
            <w:tcW w:w="1300" w:type="dxa"/>
          </w:tcPr>
          <w:p>
            <w:r>
              <w:rPr>
                <w:rFonts w:ascii="Arial" w:hAnsi="Arial"/>
                <w:color w:val="000000"/>
                <w:sz w:val="18"/>
              </w:rPr>
              <w:t>FIXE</w:t>
            </w:r>
          </w:p>
        </w:tc>
        <w:tc>
          <w:tcPr>
            <w:tcW w:w="3826" w:type="dxa"/>
          </w:tcPr>
          <w:p>
            <w:r>
              <w:rPr>
                <w:rFonts w:ascii="Arial" w:hAnsi="Arial"/>
                <w:sz w:val="18"/>
              </w:rPr>
              <w:t>Valeur fixe issue de Candanedo 2017</w:t>
            </w:r>
          </w:p>
        </w:tc>
      </w:tr>
      <w:tr>
        <w:tc>
          <w:tcPr>
            <w:tcW w:w="400" w:type="dxa"/>
            <w:shd w:val="clear" w:fill="E8E8E8"/>
          </w:tcPr>
          <w:p>
            <w:r>
              <w:rPr>
                <w:rFonts w:ascii="Arial" w:hAnsi="Arial"/>
                <w:sz w:val="18"/>
              </w:rPr>
              <w:t>9</w:t>
            </w:r>
          </w:p>
        </w:tc>
        <w:tc>
          <w:tcPr>
            <w:tcW w:w="2200" w:type="dxa"/>
            <w:shd w:val="clear" w:fill="E8E8E8"/>
          </w:tcPr>
          <w:p>
            <w:r>
              <w:rPr>
                <w:rFonts w:ascii="Arial" w:hAnsi="Arial"/>
                <w:sz w:val="18"/>
              </w:rPr>
              <w:t>Occupants</w:t>
            </w:r>
          </w:p>
        </w:tc>
        <w:tc>
          <w:tcPr>
            <w:tcW w:w="1300" w:type="dxa"/>
            <w:shd w:val="clear" w:fill="E8E8E8"/>
          </w:tcPr>
          <w:p>
            <w:r>
              <w:rPr>
                <w:rFonts w:ascii="Arial" w:hAnsi="Arial"/>
                <w:sz w:val="18"/>
              </w:rPr>
              <w:t>Numérique</w:t>
            </w:r>
          </w:p>
        </w:tc>
        <w:tc>
          <w:tcPr>
            <w:tcW w:w="1300" w:type="dxa"/>
            <w:shd w:val="clear" w:fill="E8E8E8"/>
          </w:tcPr>
          <w:p>
            <w:r>
              <w:rPr>
                <w:rFonts w:ascii="Arial" w:hAnsi="Arial"/>
                <w:color w:val="000000"/>
                <w:sz w:val="18"/>
              </w:rPr>
              <w:t>FIXE</w:t>
            </w:r>
          </w:p>
        </w:tc>
        <w:tc>
          <w:tcPr>
            <w:tcW w:w="3826" w:type="dxa"/>
            <w:shd w:val="clear" w:fill="E8E8E8"/>
          </w:tcPr>
          <w:p>
            <w:r>
              <w:rPr>
                <w:rFonts w:ascii="Arial" w:hAnsi="Arial"/>
                <w:sz w:val="18"/>
              </w:rPr>
              <w:t>Valeur fixe issue de Candanedo 2017</w:t>
            </w:r>
          </w:p>
        </w:tc>
      </w:tr>
      <w:tr>
        <w:tc>
          <w:tcPr>
            <w:tcW w:w="400" w:type="dxa"/>
          </w:tcPr>
          <w:p>
            <w:r>
              <w:rPr>
                <w:rFonts w:ascii="Arial" w:hAnsi="Arial"/>
                <w:sz w:val="18"/>
              </w:rPr>
              <w:t>10</w:t>
            </w:r>
          </w:p>
        </w:tc>
        <w:tc>
          <w:tcPr>
            <w:tcW w:w="2200" w:type="dxa"/>
          </w:tcPr>
          <w:p>
            <w:r>
              <w:rPr>
                <w:rFonts w:ascii="Arial" w:hAnsi="Arial"/>
                <w:sz w:val="18"/>
              </w:rPr>
              <w:t>Consommation_H_moins_1</w:t>
            </w:r>
          </w:p>
        </w:tc>
        <w:tc>
          <w:tcPr>
            <w:tcW w:w="1300" w:type="dxa"/>
          </w:tcPr>
          <w:p>
            <w:r>
              <w:rPr>
                <w:rFonts w:ascii="Arial" w:hAnsi="Arial"/>
                <w:sz w:val="18"/>
              </w:rPr>
              <w:t>Numérique</w:t>
            </w:r>
          </w:p>
        </w:tc>
        <w:tc>
          <w:tcPr>
            <w:tcW w:w="1300" w:type="dxa"/>
          </w:tcPr>
          <w:p>
            <w:r>
              <w:rPr>
                <w:rFonts w:ascii="Arial" w:hAnsi="Arial"/>
                <w:color w:val="000000"/>
                <w:sz w:val="18"/>
              </w:rPr>
              <w:t>REEL</w:t>
            </w:r>
          </w:p>
        </w:tc>
        <w:tc>
          <w:tcPr>
            <w:tcW w:w="3826" w:type="dxa"/>
          </w:tcPr>
          <w:p>
            <w:r>
              <w:rPr>
                <w:rFonts w:ascii="Arial" w:hAnsi="Arial"/>
                <w:sz w:val="18"/>
              </w:rPr>
              <w:t>Lag 6 periodes (1h)</w:t>
            </w:r>
          </w:p>
        </w:tc>
      </w:tr>
      <w:tr>
        <w:tc>
          <w:tcPr>
            <w:tcW w:w="400" w:type="dxa"/>
            <w:shd w:val="clear" w:fill="E8E8E8"/>
          </w:tcPr>
          <w:p>
            <w:r>
              <w:rPr>
                <w:rFonts w:ascii="Arial" w:hAnsi="Arial"/>
                <w:sz w:val="18"/>
              </w:rPr>
              <w:t>11</w:t>
            </w:r>
          </w:p>
        </w:tc>
        <w:tc>
          <w:tcPr>
            <w:tcW w:w="2200" w:type="dxa"/>
            <w:shd w:val="clear" w:fill="E8E8E8"/>
          </w:tcPr>
          <w:p>
            <w:r>
              <w:rPr>
                <w:rFonts w:ascii="Arial" w:hAnsi="Arial"/>
                <w:sz w:val="18"/>
              </w:rPr>
              <w:t>Consommation_J_moins_1</w:t>
            </w:r>
          </w:p>
        </w:tc>
        <w:tc>
          <w:tcPr>
            <w:tcW w:w="1300" w:type="dxa"/>
            <w:shd w:val="clear" w:fill="E8E8E8"/>
          </w:tcPr>
          <w:p>
            <w:r>
              <w:rPr>
                <w:rFonts w:ascii="Arial" w:hAnsi="Arial"/>
                <w:sz w:val="18"/>
              </w:rPr>
              <w:t>Numérique</w:t>
            </w:r>
          </w:p>
        </w:tc>
        <w:tc>
          <w:tcPr>
            <w:tcW w:w="1300" w:type="dxa"/>
            <w:shd w:val="clear" w:fill="E8E8E8"/>
          </w:tcPr>
          <w:p>
            <w:r>
              <w:rPr>
                <w:rFonts w:ascii="Arial" w:hAnsi="Arial"/>
                <w:color w:val="000000"/>
                <w:sz w:val="18"/>
              </w:rPr>
              <w:t>REEL</w:t>
            </w:r>
          </w:p>
        </w:tc>
        <w:tc>
          <w:tcPr>
            <w:tcW w:w="3826" w:type="dxa"/>
            <w:shd w:val="clear" w:fill="E8E8E8"/>
          </w:tcPr>
          <w:p>
            <w:r>
              <w:rPr>
                <w:rFonts w:ascii="Arial" w:hAnsi="Arial"/>
                <w:sz w:val="18"/>
              </w:rPr>
              <w:t>Lag 144 periodes (24h)</w:t>
            </w:r>
          </w:p>
        </w:tc>
      </w:tr>
    </w:tbl>
    <w:p>
      <w:pPr>
        <w:spacing w:before="60" w:after="120"/>
        <w:jc w:val="center"/>
      </w:pPr>
      <w:r>
        <w:rPr>
          <w:rFonts w:ascii="Arial" w:hAnsi="Arial"/>
          <w:i/>
          <w:color w:val="000000"/>
          <w:sz w:val="18"/>
        </w:rPr>
        <w:t>Tableau 3 - Les 11 variables requises (REEL = mesure directe, FIXE = constante documentee)</w:t>
      </w:r>
    </w:p>
    <w:p>
      <w:pPr>
        <w:spacing w:before="200" w:after="120"/>
      </w:pPr>
      <w:r>
        <w:rPr>
          <w:rFonts w:ascii="Arial" w:hAnsi="Arial"/>
          <w:b/>
          <w:color w:val="000000"/>
          <w:sz w:val="24"/>
        </w:rPr>
        <w:t>2.3 Variables Complementaires (Bonus)</w:t>
      </w:r>
    </w:p>
    <w:tbl>
      <w:tblPr>
        <w:tblW w:w="9026" w:type="dxa"/>
        <w:tblBorders>
          <w:top w:val="single" w:sz="4" w:color="000000"/>
          <w:left w:val="single" w:sz="4" w:color="000000"/>
          <w:bottom w:val="single" w:sz="4" w:color="000000"/>
          <w:right w:val="single" w:sz="4" w:color="000000"/>
          <w:insideH w:val="single" w:sz="4" w:color="000000"/>
          <w:insideV w:val="single" w:sz="4" w:color="000000"/>
        </w:tblBorders>
      </w:tblPr>
      <w:tblGrid>
        <w:gridCol w:w="3000"/>
        <w:gridCol w:w="6026"/>
      </w:tblGrid>
      <w:tr>
        <w:tc>
          <w:tcPr>
            <w:tcW w:w="3000" w:type="dxa"/>
            <w:shd w:val="clear" w:fill="404040"/>
          </w:tcPr>
          <w:p>
            <w:r>
              <w:rPr>
                <w:rFonts w:ascii="Arial" w:hAnsi="Arial"/>
                <w:b/>
                <w:color w:val="000000"/>
                <w:sz w:val="18"/>
              </w:rPr>
              <w:t>Variable</w:t>
            </w:r>
          </w:p>
        </w:tc>
        <w:tc>
          <w:tcPr>
            <w:tcW w:w="6026" w:type="dxa"/>
            <w:shd w:val="clear" w:fill="404040"/>
          </w:tcPr>
          <w:p>
            <w:r>
              <w:rPr>
                <w:rFonts w:ascii="Arial" w:hAnsi="Arial"/>
                <w:b/>
                <w:color w:val="000000"/>
                <w:sz w:val="18"/>
              </w:rPr>
              <w:t>Description</w:t>
            </w:r>
          </w:p>
        </w:tc>
      </w:tr>
      <w:tr>
        <w:tc>
          <w:tcPr>
            <w:tcW w:w="3000" w:type="dxa"/>
            <w:shd w:val="clear" w:fill="E8E8E8"/>
          </w:tcPr>
          <w:p>
            <w:r>
              <w:rPr>
                <w:rFonts w:ascii="Arial" w:hAnsi="Arial"/>
                <w:sz w:val="18"/>
              </w:rPr>
              <w:t>T_interieur (T1-T9)</w:t>
            </w:r>
          </w:p>
        </w:tc>
        <w:tc>
          <w:tcPr>
            <w:tcW w:w="6026" w:type="dxa"/>
            <w:shd w:val="clear" w:fill="E8E8E8"/>
          </w:tcPr>
          <w:p>
            <w:r>
              <w:rPr>
                <w:rFonts w:ascii="Arial" w:hAnsi="Arial"/>
                <w:sz w:val="18"/>
              </w:rPr>
              <w:t>Temperatures dans 9 zones de la maison</w:t>
            </w:r>
          </w:p>
        </w:tc>
      </w:tr>
      <w:tr>
        <w:tc>
          <w:tcPr>
            <w:tcW w:w="3000" w:type="dxa"/>
          </w:tcPr>
          <w:p>
            <w:r>
              <w:rPr>
                <w:rFonts w:ascii="Arial" w:hAnsi="Arial"/>
                <w:sz w:val="18"/>
              </w:rPr>
              <w:t>RH_interieur (RH1-RH9)</w:t>
            </w:r>
          </w:p>
        </w:tc>
        <w:tc>
          <w:tcPr>
            <w:tcW w:w="6026" w:type="dxa"/>
          </w:tcPr>
          <w:p>
            <w:r>
              <w:rPr>
                <w:rFonts w:ascii="Arial" w:hAnsi="Arial"/>
                <w:sz w:val="18"/>
              </w:rPr>
              <w:t>Humidite relative dans 9 zones</w:t>
            </w:r>
          </w:p>
        </w:tc>
      </w:tr>
      <w:tr>
        <w:tc>
          <w:tcPr>
            <w:tcW w:w="3000" w:type="dxa"/>
            <w:shd w:val="clear" w:fill="E8E8E8"/>
          </w:tcPr>
          <w:p>
            <w:r>
              <w:rPr>
                <w:rFonts w:ascii="Arial" w:hAnsi="Arial"/>
                <w:sz w:val="18"/>
              </w:rPr>
              <w:t>Windspeed</w:t>
            </w:r>
          </w:p>
        </w:tc>
        <w:tc>
          <w:tcPr>
            <w:tcW w:w="6026" w:type="dxa"/>
            <w:shd w:val="clear" w:fill="E8E8E8"/>
          </w:tcPr>
          <w:p>
            <w:r>
              <w:rPr>
                <w:rFonts w:ascii="Arial" w:hAnsi="Arial"/>
                <w:sz w:val="18"/>
              </w:rPr>
              <w:t>Vitesse du vent (km/h)</w:t>
            </w:r>
          </w:p>
        </w:tc>
      </w:tr>
      <w:tr>
        <w:tc>
          <w:tcPr>
            <w:tcW w:w="3000" w:type="dxa"/>
          </w:tcPr>
          <w:p>
            <w:r>
              <w:rPr>
                <w:rFonts w:ascii="Arial" w:hAnsi="Arial"/>
                <w:sz w:val="18"/>
              </w:rPr>
              <w:t>Visibility</w:t>
            </w:r>
          </w:p>
        </w:tc>
        <w:tc>
          <w:tcPr>
            <w:tcW w:w="6026" w:type="dxa"/>
          </w:tcPr>
          <w:p>
            <w:r>
              <w:rPr>
                <w:rFonts w:ascii="Arial" w:hAnsi="Arial"/>
                <w:sz w:val="18"/>
              </w:rPr>
              <w:t>Visibilite (km)</w:t>
            </w:r>
          </w:p>
        </w:tc>
      </w:tr>
      <w:tr>
        <w:tc>
          <w:tcPr>
            <w:tcW w:w="3000" w:type="dxa"/>
            <w:shd w:val="clear" w:fill="E8E8E8"/>
          </w:tcPr>
          <w:p>
            <w:r>
              <w:rPr>
                <w:rFonts w:ascii="Arial" w:hAnsi="Arial"/>
                <w:sz w:val="18"/>
              </w:rPr>
              <w:t>Tdewpoint</w:t>
            </w:r>
          </w:p>
        </w:tc>
        <w:tc>
          <w:tcPr>
            <w:tcW w:w="6026" w:type="dxa"/>
            <w:shd w:val="clear" w:fill="E8E8E8"/>
          </w:tcPr>
          <w:p>
            <w:r>
              <w:rPr>
                <w:rFonts w:ascii="Arial" w:hAnsi="Arial"/>
                <w:sz w:val="18"/>
              </w:rPr>
              <w:t>Point de rosee (degC)</w:t>
            </w:r>
          </w:p>
        </w:tc>
      </w:tr>
      <w:tr>
        <w:tc>
          <w:tcPr>
            <w:tcW w:w="3000" w:type="dxa"/>
          </w:tcPr>
          <w:p>
            <w:r>
              <w:rPr>
                <w:rFonts w:ascii="Arial" w:hAnsi="Arial"/>
                <w:sz w:val="18"/>
              </w:rPr>
              <w:t>Press_mm_hg</w:t>
            </w:r>
          </w:p>
        </w:tc>
        <w:tc>
          <w:tcPr>
            <w:tcW w:w="6026" w:type="dxa"/>
          </w:tcPr>
          <w:p>
            <w:r>
              <w:rPr>
                <w:rFonts w:ascii="Arial" w:hAnsi="Arial"/>
                <w:sz w:val="18"/>
              </w:rPr>
              <w:t>Pression atmospherique (mm Hg)</w:t>
            </w:r>
          </w:p>
        </w:tc>
      </w:tr>
      <w:tr>
        <w:tc>
          <w:tcPr>
            <w:tcW w:w="3000" w:type="dxa"/>
            <w:shd w:val="clear" w:fill="E8E8E8"/>
          </w:tcPr>
          <w:p>
            <w:r>
              <w:rPr>
                <w:rFonts w:ascii="Arial" w:hAnsi="Arial"/>
                <w:sz w:val="18"/>
              </w:rPr>
              <w:t>lights</w:t>
            </w:r>
          </w:p>
        </w:tc>
        <w:tc>
          <w:tcPr>
            <w:tcW w:w="6026" w:type="dxa"/>
            <w:shd w:val="clear" w:fill="E8E8E8"/>
          </w:tcPr>
          <w:p>
            <w:r>
              <w:rPr>
                <w:rFonts w:ascii="Arial" w:hAnsi="Arial"/>
                <w:sz w:val="18"/>
              </w:rPr>
              <w:t>Consommation eclairage (Wh/10min)</w:t>
            </w:r>
          </w:p>
        </w:tc>
      </w:tr>
      <w:tr>
        <w:tc>
          <w:tcPr>
            <w:tcW w:w="3000" w:type="dxa"/>
          </w:tcPr>
          <w:p>
            <w:r>
              <w:rPr>
                <w:rFonts w:ascii="Arial" w:hAnsi="Arial"/>
                <w:sz w:val="18"/>
              </w:rPr>
              <w:t>Rolling_mean_1h</w:t>
            </w:r>
          </w:p>
        </w:tc>
        <w:tc>
          <w:tcPr>
            <w:tcW w:w="6026" w:type="dxa"/>
          </w:tcPr>
          <w:p>
            <w:r>
              <w:rPr>
                <w:rFonts w:ascii="Arial" w:hAnsi="Arial"/>
                <w:sz w:val="18"/>
              </w:rPr>
              <w:t>Moyenne glissante sur 1 heure</w:t>
            </w:r>
          </w:p>
        </w:tc>
      </w:tr>
      <w:tr>
        <w:tc>
          <w:tcPr>
            <w:tcW w:w="3000" w:type="dxa"/>
            <w:shd w:val="clear" w:fill="E8E8E8"/>
          </w:tcPr>
          <w:p>
            <w:r>
              <w:rPr>
                <w:rFonts w:ascii="Arial" w:hAnsi="Arial"/>
                <w:sz w:val="18"/>
              </w:rPr>
              <w:t>Rolling_mean_24h</w:t>
            </w:r>
          </w:p>
        </w:tc>
        <w:tc>
          <w:tcPr>
            <w:tcW w:w="6026" w:type="dxa"/>
            <w:shd w:val="clear" w:fill="E8E8E8"/>
          </w:tcPr>
          <w:p>
            <w:r>
              <w:rPr>
                <w:rFonts w:ascii="Arial" w:hAnsi="Arial"/>
                <w:sz w:val="18"/>
              </w:rPr>
              <w:t>Moyenne glissante sur 24 heures</w:t>
            </w:r>
          </w:p>
        </w:tc>
      </w:tr>
      <w:tr>
        <w:tc>
          <w:tcPr>
            <w:tcW w:w="3000" w:type="dxa"/>
          </w:tcPr>
          <w:p>
            <w:r>
              <w:rPr>
                <w:rFonts w:ascii="Arial" w:hAnsi="Arial"/>
                <w:sz w:val="18"/>
              </w:rPr>
              <w:t>sin_heure / cos_heure</w:t>
            </w:r>
          </w:p>
        </w:tc>
        <w:tc>
          <w:tcPr>
            <w:tcW w:w="6026" w:type="dxa"/>
          </w:tcPr>
          <w:p>
            <w:r>
              <w:rPr>
                <w:rFonts w:ascii="Arial" w:hAnsi="Arial"/>
                <w:sz w:val="18"/>
              </w:rPr>
              <w:t>Encodage cyclique de l heure</w:t>
            </w:r>
          </w:p>
        </w:tc>
      </w:tr>
      <w:tr>
        <w:tc>
          <w:tcPr>
            <w:tcW w:w="3000" w:type="dxa"/>
            <w:shd w:val="clear" w:fill="E8E8E8"/>
          </w:tcPr>
          <w:p>
            <w:r>
              <w:rPr>
                <w:rFonts w:ascii="Arial" w:hAnsi="Arial"/>
                <w:sz w:val="18"/>
              </w:rPr>
              <w:t>sin_jour / cos_jour</w:t>
            </w:r>
          </w:p>
        </w:tc>
        <w:tc>
          <w:tcPr>
            <w:tcW w:w="6026" w:type="dxa"/>
            <w:shd w:val="clear" w:fill="E8E8E8"/>
          </w:tcPr>
          <w:p>
            <w:r>
              <w:rPr>
                <w:rFonts w:ascii="Arial" w:hAnsi="Arial"/>
                <w:sz w:val="18"/>
              </w:rPr>
              <w:t>Encodage cyclique du jour de la semaine</w:t>
            </w:r>
          </w:p>
        </w:tc>
      </w:tr>
    </w:tbl>
    <w:p>
      <w:pPr>
        <w:spacing w:before="60" w:after="120"/>
        <w:jc w:val="center"/>
      </w:pPr>
      <w:r>
        <w:rPr>
          <w:rFonts w:ascii="Arial" w:hAnsi="Arial"/>
          <w:i/>
          <w:color w:val="000000"/>
          <w:sz w:val="18"/>
        </w:rPr>
        <w:t>Tableau 4 - Variables complementaires (bonus)</w:t>
      </w:r>
    </w:p>
    <w:p>
      <w:r>
        <w:br w:type="page"/>
      </w:r>
    </w:p>
    <w:p>
      <w:pPr>
        <w:spacing w:before="280" w:after="120"/>
      </w:pPr>
      <w:r>
        <w:rPr>
          <w:rFonts w:ascii="Arial" w:hAnsi="Arial"/>
          <w:b/>
          <w:color w:val="000000"/>
          <w:sz w:val="28"/>
        </w:rPr>
        <w:t>7. Contexte Sénégalais — Données Senelec</w:t>
      </w:r>
    </w:p>
    <w:p>
      <w:pPr>
        <w:spacing w:before="40" w:after="120"/>
        <w:jc w:val="both"/>
      </w:pPr>
      <w:r>
        <w:rPr>
          <w:rFonts w:ascii="Arial" w:hAnsi="Arial"/>
          <w:b w:val="0"/>
          <w:i w:val="0"/>
          <w:sz w:val="20"/>
        </w:rPr>
        <w:t>En complément du dataset UCI utilisé pour la modélisation, des données réelles extraites des rapports annuels de la Senelec (Société Nationale d'Électricité du Sénégal) permettent d'ancrer ce projet dans le contexte énergétique sénégalais.</w:t>
      </w:r>
    </w:p>
    <w:p>
      <w:pPr>
        <w:spacing w:before="200" w:after="120"/>
      </w:pPr>
      <w:r>
        <w:rPr>
          <w:rFonts w:ascii="Arial" w:hAnsi="Arial"/>
          <w:b/>
          <w:color w:val="000000"/>
          <w:sz w:val="24"/>
        </w:rPr>
        <w:t>7.1 Données Extraites</w:t>
      </w:r>
    </w:p>
    <w:tbl>
      <w:tblPr>
        <w:tblW w:type="auto" w:w="0"/>
        <w:jc w:val="center"/>
        <w:tblLook w:firstColumn="1" w:firstRow="1" w:lastColumn="0" w:lastRow="0" w:noHBand="0" w:noVBand="1" w:val="04A0"/>
      </w:tblPr>
      <w:tblGrid>
        <w:gridCol w:w="2351"/>
        <w:gridCol w:w="2351"/>
        <w:gridCol w:w="2351"/>
        <w:gridCol w:w="2351"/>
      </w:tblGrid>
      <w:tr>
        <w:tc>
          <w:tcPr>
            <w:tcW w:type="dxa" w:w="3969"/>
            <w:shd w:val="clear" w:color="auto" w:fill="404040"/>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i w:val="0"/>
                <w:color w:val="000000"/>
                <w:sz w:val="18"/>
              </w:rPr>
              <w:t>Indicateur</w:t>
            </w:r>
          </w:p>
        </w:tc>
        <w:tc>
          <w:tcPr>
            <w:tcW w:type="dxa" w:w="1587"/>
            <w:shd w:val="clear" w:color="auto" w:fill="404040"/>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i w:val="0"/>
                <w:color w:val="000000"/>
                <w:sz w:val="18"/>
              </w:rPr>
              <w:t>2022</w:t>
            </w:r>
          </w:p>
        </w:tc>
        <w:tc>
          <w:tcPr>
            <w:tcW w:type="dxa" w:w="1587"/>
            <w:shd w:val="clear" w:color="auto" w:fill="404040"/>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i w:val="0"/>
                <w:color w:val="000000"/>
                <w:sz w:val="18"/>
              </w:rPr>
              <w:t>2023</w:t>
            </w:r>
          </w:p>
        </w:tc>
        <w:tc>
          <w:tcPr>
            <w:tcW w:type="dxa" w:w="1587"/>
            <w:shd w:val="clear" w:color="auto" w:fill="404040"/>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i w:val="0"/>
                <w:color w:val="000000"/>
                <w:sz w:val="18"/>
              </w:rPr>
              <w:t>2024</w:t>
            </w:r>
          </w:p>
        </w:tc>
      </w:tr>
      <w:tr>
        <w:tc>
          <w:tcPr>
            <w:tcW w:type="dxa" w:w="3969"/>
            <w:shd w:val="clear" w:color="auto" w:fill="E8E8E8"/>
            <w:tcBorders>
              <w:top w:val="single" w:sz="4" w:space="0" w:color="CCCCCC"/>
              <w:left w:val="single" w:sz="4" w:space="0" w:color="CCCCCC"/>
              <w:bottom w:val="single" w:sz="4" w:space="0" w:color="CCCCCC"/>
              <w:right w:val="single" w:sz="4" w:space="0" w:color="CCCCCC"/>
            </w:tcBorders>
            <w:vAlign w:val="center"/>
          </w:tcPr>
          <w:p>
            <w:pPr>
              <w:jc w:val="left"/>
            </w:pPr>
            <w:r/>
            <w:r>
              <w:rPr>
                <w:rFonts w:ascii="Arial" w:hAnsi="Arial"/>
                <w:b/>
                <w:i w:val="0"/>
                <w:sz w:val="18"/>
              </w:rPr>
              <w:t>Production totale (GWh)</w:t>
            </w:r>
          </w:p>
        </w:tc>
        <w:tc>
          <w:tcPr>
            <w:tcW w:type="dxa" w:w="1587"/>
            <w:shd w:val="clear" w:color="auto" w:fill="E8E8E8"/>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5 908</w:t>
            </w:r>
          </w:p>
        </w:tc>
        <w:tc>
          <w:tcPr>
            <w:tcW w:type="dxa" w:w="1587"/>
            <w:shd w:val="clear" w:color="auto" w:fill="E8E8E8"/>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6 644</w:t>
            </w:r>
          </w:p>
        </w:tc>
        <w:tc>
          <w:tcPr>
            <w:tcW w:type="dxa" w:w="1587"/>
            <w:shd w:val="clear" w:color="auto" w:fill="E8E8E8"/>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7 466</w:t>
            </w:r>
          </w:p>
        </w:tc>
      </w:tr>
      <w:tr>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
              <w:rPr>
                <w:rFonts w:ascii="Arial" w:hAnsi="Arial"/>
                <w:b/>
                <w:i w:val="0"/>
                <w:sz w:val="18"/>
              </w:rPr>
              <w:t>Croissance production</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+12.5%</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+12.4%</w:t>
            </w:r>
          </w:p>
        </w:tc>
      </w:tr>
      <w:tr>
        <w:tc>
          <w:tcPr>
            <w:tcW w:type="dxa" w:w="3969"/>
            <w:shd w:val="clear" w:color="auto" w:fill="E8E8E8"/>
            <w:tcBorders>
              <w:top w:val="single" w:sz="4" w:space="0" w:color="CCCCCC"/>
              <w:left w:val="single" w:sz="4" w:space="0" w:color="CCCCCC"/>
              <w:bottom w:val="single" w:sz="4" w:space="0" w:color="CCCCCC"/>
              <w:right w:val="single" w:sz="4" w:space="0" w:color="CCCCCC"/>
            </w:tcBorders>
            <w:vAlign w:val="center"/>
          </w:tcPr>
          <w:p>
            <w:pPr>
              <w:jc w:val="left"/>
            </w:pPr>
            <w:r/>
            <w:r>
              <w:rPr>
                <w:rFonts w:ascii="Arial" w:hAnsi="Arial"/>
                <w:b/>
                <w:i w:val="0"/>
                <w:sz w:val="18"/>
              </w:rPr>
              <w:t>Pic de puissance max (MW)</w:t>
            </w:r>
          </w:p>
        </w:tc>
        <w:tc>
          <w:tcPr>
            <w:tcW w:type="dxa" w:w="1587"/>
            <w:shd w:val="clear" w:color="auto" w:fill="E8E8E8"/>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1 048</w:t>
            </w:r>
          </w:p>
        </w:tc>
        <w:tc>
          <w:tcPr>
            <w:tcW w:type="dxa" w:w="1587"/>
            <w:shd w:val="clear" w:color="auto" w:fill="E8E8E8"/>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1 100</w:t>
            </w:r>
          </w:p>
        </w:tc>
        <w:tc>
          <w:tcPr>
            <w:tcW w:type="dxa" w:w="1587"/>
            <w:shd w:val="clear" w:color="auto" w:fill="E8E8E8"/>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1 159</w:t>
            </w:r>
          </w:p>
        </w:tc>
      </w:tr>
      <w:tr>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
              <w:rPr>
                <w:rFonts w:ascii="Arial" w:hAnsi="Arial"/>
                <w:b/>
                <w:i w:val="0"/>
                <w:sz w:val="18"/>
              </w:rPr>
              <w:t>Ventes totales (GWh)</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3 944</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4 411</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4 890</w:t>
            </w:r>
          </w:p>
        </w:tc>
      </w:tr>
      <w:tr>
        <w:tc>
          <w:tcPr>
            <w:tcW w:type="dxa" w:w="3969"/>
            <w:shd w:val="clear" w:color="auto" w:fill="E8E8E8"/>
            <w:tcBorders>
              <w:top w:val="single" w:sz="4" w:space="0" w:color="CCCCCC"/>
              <w:left w:val="single" w:sz="4" w:space="0" w:color="CCCCCC"/>
              <w:bottom w:val="single" w:sz="4" w:space="0" w:color="CCCCCC"/>
              <w:right w:val="single" w:sz="4" w:space="0" w:color="CCCCCC"/>
            </w:tcBorders>
            <w:vAlign w:val="center"/>
          </w:tcPr>
          <w:p>
            <w:pPr>
              <w:jc w:val="left"/>
            </w:pPr>
            <w:r/>
            <w:r>
              <w:rPr>
                <w:rFonts w:ascii="Arial" w:hAnsi="Arial"/>
                <w:b/>
                <w:i w:val="0"/>
                <w:sz w:val="18"/>
              </w:rPr>
              <w:t>Part thermique (%)</w:t>
            </w:r>
          </w:p>
        </w:tc>
        <w:tc>
          <w:tcPr>
            <w:tcW w:type="dxa" w:w="1587"/>
            <w:shd w:val="clear" w:color="auto" w:fill="E8E8E8"/>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79.2%</w:t>
            </w:r>
          </w:p>
        </w:tc>
        <w:tc>
          <w:tcPr>
            <w:tcW w:type="dxa" w:w="1587"/>
            <w:shd w:val="clear" w:color="auto" w:fill="E8E8E8"/>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76.1%</w:t>
            </w:r>
          </w:p>
        </w:tc>
        <w:tc>
          <w:tcPr>
            <w:tcW w:type="dxa" w:w="1587"/>
            <w:shd w:val="clear" w:color="auto" w:fill="E8E8E8"/>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72.8%</w:t>
            </w:r>
          </w:p>
        </w:tc>
      </w:tr>
      <w:tr>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
              <w:rPr>
                <w:rFonts w:ascii="Arial" w:hAnsi="Arial"/>
                <w:b/>
                <w:i w:val="0"/>
                <w:sz w:val="18"/>
              </w:rPr>
              <w:t>Part renouvelable (%)</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20.8%</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23.9%</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27.2%</w:t>
            </w:r>
          </w:p>
        </w:tc>
      </w:tr>
      <w:tr>
        <w:tc>
          <w:tcPr>
            <w:tcW w:type="dxa" w:w="3969"/>
            <w:shd w:val="clear" w:color="auto" w:fill="E8E8E8"/>
            <w:tcBorders>
              <w:top w:val="single" w:sz="4" w:space="0" w:color="CCCCCC"/>
              <w:left w:val="single" w:sz="4" w:space="0" w:color="CCCCCC"/>
              <w:bottom w:val="single" w:sz="4" w:space="0" w:color="CCCCCC"/>
              <w:right w:val="single" w:sz="4" w:space="0" w:color="CCCCCC"/>
            </w:tcBorders>
            <w:vAlign w:val="center"/>
          </w:tcPr>
          <w:p>
            <w:pPr>
              <w:jc w:val="left"/>
            </w:pPr>
            <w:r/>
            <w:r>
              <w:rPr>
                <w:rFonts w:ascii="Arial" w:hAnsi="Arial"/>
                <w:b/>
                <w:i w:val="0"/>
                <w:sz w:val="18"/>
              </w:rPr>
              <w:t>Consommation résidentielle (GWh)</w:t>
            </w:r>
          </w:p>
        </w:tc>
        <w:tc>
          <w:tcPr>
            <w:tcW w:type="dxa" w:w="1587"/>
            <w:shd w:val="clear" w:color="auto" w:fill="E8E8E8"/>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1 580</w:t>
            </w:r>
          </w:p>
        </w:tc>
        <w:tc>
          <w:tcPr>
            <w:tcW w:type="dxa" w:w="1587"/>
            <w:shd w:val="clear" w:color="auto" w:fill="E8E8E8"/>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1 764</w:t>
            </w:r>
          </w:p>
        </w:tc>
        <w:tc>
          <w:tcPr>
            <w:tcW w:type="dxa" w:w="1587"/>
            <w:shd w:val="clear" w:color="auto" w:fill="E8E8E8"/>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1 956</w:t>
            </w:r>
          </w:p>
        </w:tc>
      </w:tr>
      <w:tr>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pPr>
              <w:jc w:val="left"/>
            </w:pPr>
            <w:r/>
            <w:r>
              <w:rPr>
                <w:rFonts w:ascii="Arial" w:hAnsi="Arial"/>
                <w:b/>
                <w:i w:val="0"/>
                <w:sz w:val="18"/>
              </w:rPr>
              <w:t>Consommation industrielle (GWh)</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789</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882</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978</w:t>
            </w:r>
          </w:p>
        </w:tc>
      </w:tr>
      <w:tr>
        <w:tc>
          <w:tcPr>
            <w:tcW w:type="dxa" w:w="3969"/>
            <w:shd w:val="clear" w:color="auto" w:fill="E8E8E8"/>
            <w:tcBorders>
              <w:top w:val="single" w:sz="4" w:space="0" w:color="CCCCCC"/>
              <w:left w:val="single" w:sz="4" w:space="0" w:color="CCCCCC"/>
              <w:bottom w:val="single" w:sz="4" w:space="0" w:color="CCCCCC"/>
              <w:right w:val="single" w:sz="4" w:space="0" w:color="CCCCCC"/>
            </w:tcBorders>
            <w:vAlign w:val="center"/>
          </w:tcPr>
          <w:p>
            <w:pPr>
              <w:jc w:val="left"/>
            </w:pPr>
            <w:r/>
            <w:r>
              <w:rPr>
                <w:rFonts w:ascii="Arial" w:hAnsi="Arial"/>
                <w:b/>
                <w:i w:val="0"/>
                <w:sz w:val="18"/>
              </w:rPr>
              <w:t>Consommation BT (GWh)</w:t>
            </w:r>
          </w:p>
        </w:tc>
        <w:tc>
          <w:tcPr>
            <w:tcW w:type="dxa" w:w="1587"/>
            <w:shd w:val="clear" w:color="auto" w:fill="E8E8E8"/>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1 575</w:t>
            </w:r>
          </w:p>
        </w:tc>
        <w:tc>
          <w:tcPr>
            <w:tcW w:type="dxa" w:w="1587"/>
            <w:shd w:val="clear" w:color="auto" w:fill="E8E8E8"/>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1 765</w:t>
            </w:r>
          </w:p>
        </w:tc>
        <w:tc>
          <w:tcPr>
            <w:tcW w:type="dxa" w:w="1587"/>
            <w:shd w:val="clear" w:color="auto" w:fill="E8E8E8"/>
            <w:tcBorders>
              <w:top w:val="single" w:sz="4" w:space="0" w:color="CCCCCC"/>
              <w:left w:val="single" w:sz="4" w:space="0" w:color="CCCCCC"/>
              <w:bottom w:val="single" w:sz="4" w:space="0" w:color="CCCCCC"/>
              <w:right w:val="single" w:sz="4" w:space="0" w:color="CCCCCC"/>
            </w:tcBorders>
            <w:vAlign w:val="center"/>
          </w:tcPr>
          <w:p>
            <w:pPr>
              <w:jc w:val="center"/>
            </w:pPr>
            <w:r/>
            <w:r>
              <w:rPr>
                <w:rFonts w:ascii="Arial" w:hAnsi="Arial"/>
                <w:b w:val="0"/>
                <w:i w:val="0"/>
                <w:sz w:val="18"/>
              </w:rPr>
              <w:t>1 956</w:t>
            </w:r>
          </w:p>
        </w:tc>
      </w:tr>
    </w:tbl>
    <w:p>
      <w:pPr>
        <w:spacing w:before="40" w:after="200"/>
        <w:jc w:val="center"/>
      </w:pPr>
      <w:r>
        <w:rPr>
          <w:rFonts w:ascii="Arial" w:hAnsi="Arial"/>
          <w:i/>
          <w:color w:val="000000"/>
          <w:sz w:val="18"/>
        </w:rPr>
        <w:t>Tableau 8 — Données Senelec extraites des rapports annuels 2022–2024</w:t>
      </w:r>
    </w:p>
    <w:p>
      <w:pPr>
        <w:spacing w:before="40" w:after="120"/>
        <w:jc w:val="both"/>
      </w:pPr>
      <w:r>
        <w:rPr>
          <w:rFonts w:ascii="Arial" w:hAnsi="Arial"/>
          <w:b w:val="0"/>
          <w:i w:val="0"/>
          <w:sz w:val="20"/>
        </w:rPr>
        <w:t>Ces données confirment la forte croissance du secteur électrique sénégalais (+26.4% de production entre 2022 et 2024) et la transition énergétique en cours (part renouvelable passée de 20.8% à 27.2%). La consommation résidentielle représente environ 40% des ventes totales, soulignant l'importance des modèles de prédiction pour optimiser la distribution et anticiper les pics de demande.</w:t>
      </w:r>
    </w:p>
    <w:p>
      <w:r>
        <w:br w:type="page"/>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