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jc w:val="center"/>
        <w:pStyle w:val="Figure"/>
      </w:pPr>
      <w:r>
        <w:rPr/>
        <w:drawing>
          <wp:inline distT="0" distB="0" distL="0" distR="0">
            <wp:extent cx="1828800" cy="146304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82"/>
                    <a:stretch>
                      <a:fillRect/>
                    </a:stretch>
                  </pic:blipFill>
                  <pic:spPr bwMode="auto">
                    <a:xfrm>
                      <a:off x="0" y="0"/>
                      <a:ext cx="25400" cy="2032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4"/>
                <w:szCs w:val="24"/>
                <w:color w:val="000000"/>
              </w:rPr>
            </w:pPr>
            <w:r>
              <w:rPr>
                <w:rFonts w:ascii="Times New Roman" w:hAnsi="Times New Roman" w:eastAsia="Times New Roman" w:cs="Times New Roman"/>
                <w:i w:val="true"/>
                <w:b w:val="true"/>
                <w:u w:val="none"/>
                <w:sz w:val="24"/>
                <w:szCs w:val="24"/>
                <w:color w:val="000000"/>
              </w:rPr>
              <w:t xml:space="preserve">Agence nationale de la Statistique et de la démographie</w:t>
            </w:r>
          </w:p>
        </w:tc>
      </w:tr>
    </w:tbl>
    <w:p>
      <w:pPr>
        <w:jc w:val="center"/>
        <w:pStyle w:val="Figure"/>
      </w:pPr>
      <w:r>
        <w:rPr/>
        <w:drawing>
          <wp:inline distT="0" distB="0" distL="0" distR="0">
            <wp:extent cx="1828800" cy="146304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3"/>
                    <a:stretch>
                      <a:fillRect/>
                    </a:stretch>
                  </pic:blipFill>
                  <pic:spPr bwMode="auto">
                    <a:xfrm>
                      <a:off x="0" y="0"/>
                      <a:ext cx="25400" cy="2032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Ecole nationale de la Statistique et de l'Analyse économique Pierre Ndiaye</w:t>
            </w:r>
          </w:p>
        </w:tc>
      </w:tr>
    </w:tbl>
    <w:p>
      <w:pPr>
        <w:jc w:val="center"/>
        <w:pStyle w:val="Figure"/>
      </w:pPr>
      <w:r>
        <w:rPr/>
        <w:drawing>
          <wp:inline distT="0" distB="0" distL="0" distR="0">
            <wp:extent cx="914400" cy="73152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84"/>
                    <a:stretch>
                      <a:fillRect/>
                    </a:stretch>
                  </pic:blipFill>
                  <pic:spPr bwMode="auto">
                    <a:xfrm>
                      <a:off x="0" y="0"/>
                      <a:ext cx="12700" cy="1016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0" w:before="200" w:line="240"/>
              <w:ind w:left="200" w:right="200" w:firstLine="0" w:firstLineChars="0"/>
              <w:rPr>
                <w:rFonts w:ascii="Times New Roman" w:hAnsi="Times New Roman" w:eastAsia="Times New Roman" w:cs="Times New Roman"/>
                <w:i w:val="false"/>
                <w:b w:val="true"/>
                <w:u w:val="none"/>
                <w:sz w:val="20"/>
                <w:szCs w:val="20"/>
                <w:color w:val="000000"/>
              </w:rPr>
            </w:pPr>
            <w:r>
              <w:rPr>
                <w:rFonts w:ascii="Times New Roman" w:hAnsi="Times New Roman" w:eastAsia="Times New Roman" w:cs="Times New Roman"/>
                <w:i w:val="false"/>
                <w:b w:val="true"/>
                <w:u w:val="none"/>
                <w:sz w:val="20"/>
                <w:szCs w:val="20"/>
                <w:color w:val="000000"/>
              </w:rPr>
              <w:t xml:space="preserve">Examen final : Projet statistique avec R</w:t>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2"/>
                <w:szCs w:val="22"/>
                <w:color w:val="000000"/>
              </w:rPr>
            </w:pPr>
            <w:r>
              <w:rPr>
                <w:rFonts w:ascii="Times New Roman" w:hAnsi="Times New Roman" w:eastAsia="Times New Roman" w:cs="Times New Roman"/>
                <w:i w:val="true"/>
                <w:b w:val="true"/>
                <w:u w:val="none"/>
                <w:sz w:val="22"/>
                <w:szCs w:val="22"/>
                <w:color w:val="000000"/>
              </w:rPr>
              <w:t xml:space="preserve">Diagnostic de la sécurité alimentaire au Tchad : approche par indicateurs</w:t>
            </w:r>
          </w:p>
        </w:tc>
      </w:tr>
    </w:tbl>
    <w:p>
      <w:pPr>
        <w:jc w:val="center"/>
        <w:pStyle w:val="Figure"/>
      </w:pPr>
      <w:r>
        <w:rPr/>
        <w:drawing>
          <wp:inline distT="0" distB="0" distL="0" distR="0">
            <wp:extent cx="1371600" cy="109728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85"/>
                    <a:stretch>
                      <a:fillRect/>
                    </a:stretch>
                  </pic:blipFill>
                  <pic:spPr bwMode="auto">
                    <a:xfrm>
                      <a:off x="0" y="0"/>
                      <a:ext cx="19050" cy="1524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Rédigé par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Sous la supervision de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w:rPr>
                <w:rFonts w:ascii="Times New Roman" w:hAnsi="Times New Roman" w:eastAsia="Times New Roman" w:cs="Times New Roman"/>
                <w:i w:val="false"/>
                <w:b w:val="false"/>
                <w:u w:val="none"/>
                <w:sz w:val="24"/>
                <w:szCs w:val="24"/>
                <w:color w:val="000000"/>
              </w:rPr>
              <w:t xml:space="preserve">Awa Diaw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w:rPr>
                <w:rFonts w:ascii="Times New Roman" w:hAnsi="Times New Roman" w:eastAsia="Times New Roman" w:cs="Times New Roman"/>
                <w:i w:val="false"/>
                <w:b w:val="false"/>
                <w:u w:val="none"/>
                <w:sz w:val="24"/>
                <w:szCs w:val="24"/>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24"/>
                <w:szCs w:val="24"/>
                <w:color w:val="000000"/>
              </w:rPr>
            </w:pPr>
            <w:r>
              <w:rPr>
                <w:rFonts w:ascii="Times New Roman" w:hAnsi="Times New Roman" w:eastAsia="Times New Roman" w:cs="Times New Roman"/>
                <w:i w:val="true"/>
                <w:b w:val="false"/>
                <w:u w:val="none"/>
                <w:sz w:val="24"/>
                <w:szCs w:val="24"/>
                <w:color w:val="000000"/>
              </w:rPr>
              <w:t xml:space="preserve">Élève en ISE1 cycle long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24"/>
                <w:szCs w:val="24"/>
                <w:color w:val="000000"/>
              </w:rPr>
            </w:pPr>
            <w:r>
              <w:rPr>
                <w:rFonts w:ascii="Times New Roman" w:hAnsi="Times New Roman" w:eastAsia="Times New Roman" w:cs="Times New Roman"/>
                <w:i w:val="true"/>
                <w:b w:val="false"/>
                <w:u w:val="none"/>
                <w:sz w:val="24"/>
                <w:szCs w:val="24"/>
                <w:color w:val="000000"/>
              </w:rPr>
              <w:t xml:space="preserve">Research analyst à IFPRI</w:t>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600" w:line="240"/>
              <w:ind w:left="100" w:right="100" w:firstLine="0" w:firstLineChars="0"/>
              <w:rPr>
                <w:rFonts w:ascii="Times New Roman" w:hAnsi="Times New Roman" w:eastAsia="Times New Roman" w:cs="Times New Roman"/>
                <w:i w:val="false"/>
                <w:b w:val="false"/>
                <w:u w:val="none"/>
                <w:sz w:val="16"/>
                <w:szCs w:val="16"/>
                <w:color w:val="000000"/>
              </w:rPr>
            </w:pPr>
            <w:r>
              <w:rPr>
                <w:rFonts w:ascii="Times New Roman" w:hAnsi="Times New Roman" w:eastAsia="Times New Roman" w:cs="Times New Roman"/>
                <w:i w:val="false"/>
                <w:b w:val="false"/>
                <w:u w:val="none"/>
                <w:sz w:val="16"/>
                <w:szCs w:val="16"/>
                <w:color w:val="000000"/>
              </w:rPr>
              <w:t xml:space="preserve">Année académique 2024-2025</w:t>
            </w:r>
          </w:p>
        </w:tc>
      </w:tr>
    </w:tbl>
    <w:p>
      <w:r>
        <w:br w:type="page"/>
      </w:r>
    </w:p>
    <w:bookmarkStart w:id="20" w:name="avant-propos"/>
    <w:p>
      <w:pPr>
        <w:pStyle w:val="Titre1"/>
      </w:pPr>
      <w:r>
        <w:t xml:space="preserve">Avant-propos</w:t>
      </w:r>
    </w:p>
    <w:p>
      <w:pPr>
        <w:pStyle w:val="FirstParagraph"/>
      </w:pPr>
      <w:r>
        <w:t xml:space="preserve">Dans un contexte où la donnée est devenue un levier stratégique pour comprendre et agir sur les réalités socio-économiques, la maîtrise des outils d’analyse statistique est une compétence incontournable pour tout statisticien. Le logiciel R s’impose aujourd’hui comme une référence dans le monde de la data science grâce à sa puissance, sa flexibilité et sa vaste communauté. Il permet non seulement d’analyser des données de manière rigoureuse, mais aussi d’automatiser des processus, de générer des visualisations percutantes, et d’assurer la reproductibilité des travaux scientifiques.</w:t>
      </w:r>
    </w:p>
    <w:p>
      <w:pPr>
        <w:pStyle w:val="BodyText"/>
      </w:pPr>
      <w:r>
        <w:t xml:space="preserve">C’est dans cette dynamique que s’inscrit le cours de projet statistique avec R, dispensé au sein du cycle long ISE1, qui vise à initier les étudiants à des pratiques concrètes d’analyse de données en mobilisant les outils modernes du langage R. Ce projet d’examen en constitue l’aboutissement.</w:t>
      </w:r>
    </w:p>
    <w:p>
      <w:pPr>
        <w:pStyle w:val="BodyText"/>
      </w:pPr>
      <w:r>
        <w:t xml:space="preserve">Je tiens à adresser mes sincères remerciements à Monsieur Aboubacar HEMA pour la qualité de son enseignement, sa disponibilité et ses conseils méthodologiques. Son accompagnement, ainsi que les ressources partagées via son compte GitHub, ont été précieux tout au long de ce travail. Mes remerciements vont également à mes camarades pour les échanges constructifs et la collaboration enrichissante que nous avons eue depuis le début de notre formation.</w:t>
      </w:r>
    </w:p>
    <w:p>
      <w:pPr>
        <w:pStyle w:val="BodyText"/>
      </w:pPr>
      <w:r>
        <w:t xml:space="preserve">Je précise enfin que toute erreur, omission ou maladresse contenue dans ce rapport relève exclusivement de ma responsabilité.</w:t>
      </w:r>
    </w:p>
    <w:p>
      <w:r>
        <w:br w:type="page"/>
      </w:r>
    </w:p>
    <w:bookmarkEnd w:id="20"/>
    <w:bookmarkStart w:id="21" w:name="liste-des-figures"/>
    <w:p>
      <w:pPr>
        <w:pStyle w:val="Titre1"/>
      </w:pPr>
      <w:r>
        <w:t xml:space="preserve">Liste des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e-des-tableaux"/>
    <w:p>
      <w:pPr>
        <w:pStyle w:val="Titre1"/>
      </w:pPr>
      <w:r>
        <w:t xml:space="preserve">Liste des tableaux</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3" w:name="résumé"/>
    <w:p>
      <w:pPr>
        <w:pStyle w:val="Titre1"/>
      </w:pPr>
      <w:r>
        <w:t xml:space="preserve">Résumé</w:t>
      </w:r>
    </w:p>
    <w:p>
      <w:pPr>
        <w:pStyle w:val="FirstParagraph"/>
      </w:pPr>
      <w:r>
        <w:t xml:space="preserve">Ce rapport présente une analyse statistique détaillée de la sécurité alimentaire des ménages au Tchad, à partir des enquêtes EHCVM menées en 2022 et 2023. Nous avons procédé à la vérification de la consistance des bases de données, calculé des indicateurs clés de sécurité alimentaire et de résilience — tels que le Score de Consommation Alimentaire (SCA), l’Indice Réduit des Stratégies de Survie (rCSI), l’Indice des Stratégies d’Adaptation des Moyens d’Existence (LhCSI‑FS), le Score de Diversité Alimentaire (HDDS), le Score de Résilience Auto‑évaluée (SERS), et le Régime Alimentaire Minimum Acceptable (MAD) pour les enfants de 6 à 23 mois — et réalisé des analyses comparatives selon le genre du chef de ménage. Des cartographies spatiales au niveau des régions et départements illustrent les disparités géographiques. Les résultats mettent en évidence des zones particulièrement vulnérables et suggèrent des pistes d’interventions ciblées pour renforcer la résilience alimentaire au Tchad.</w:t>
      </w:r>
    </w:p>
    <w:p>
      <w:r>
        <w:br w:type="page"/>
      </w:r>
    </w:p>
    <w:bookmarkEnd w:id="23"/>
    <w:bookmarkStart w:id="28" w:name="introduction"/>
    <w:p>
      <w:pPr>
        <w:pStyle w:val="Titre1"/>
      </w:pPr>
      <w:r>
        <w:t xml:space="preserve">Introduction</w:t>
      </w:r>
    </w:p>
    <w:p>
      <w:pPr>
        <w:pStyle w:val="FirstParagraph"/>
      </w:pPr>
      <w:r>
        <w:t xml:space="preserve">La sécurité alimentaire demeure un enjeu majeur au Tchad, confronté à des chocs climatiques, des conflits et des faiblesses structurelles. Cette étude exploite les données de l’EHCVM 2022-2023.</w:t>
      </w:r>
    </w:p>
    <w:bookmarkStart w:id="25" w:name="matériels-et-méthodes"/>
    <w:p>
      <w:pPr>
        <w:pStyle w:val="Titre2"/>
      </w:pPr>
      <w:r>
        <w:t xml:space="preserve">Matériels et méthodes</w:t>
      </w:r>
    </w:p>
    <w:bookmarkStart w:id="24" w:name="données"/>
    <w:p>
      <w:pPr>
        <w:pStyle w:val="Titre3"/>
      </w:pPr>
      <w:r>
        <w:t xml:space="preserve">Données</w:t>
      </w:r>
    </w:p>
    <w:p>
      <w:pPr>
        <w:numPr>
          <w:ilvl w:val="0"/>
          <w:numId w:val="1001"/>
        </w:numPr>
        <w:pStyle w:val="Compact"/>
      </w:pPr>
      <w:r>
        <w:rPr>
          <w:bCs/>
          <w:b/>
        </w:rPr>
        <w:t xml:space="preserve">Base_Principale</w:t>
      </w:r>
      <w:r>
        <w:t xml:space="preserve"> </w:t>
      </w:r>
      <w:r>
        <w:t xml:space="preserve">: comprend les modules SCA, rCSI, LhCSI, HDDS, SERS et les variables socio‑démographiques.</w:t>
      </w:r>
      <w:r>
        <w:br/>
      </w:r>
    </w:p>
    <w:p>
      <w:pPr>
        <w:numPr>
          <w:ilvl w:val="0"/>
          <w:numId w:val="1001"/>
        </w:numPr>
        <w:pStyle w:val="Compact"/>
      </w:pPr>
      <w:r>
        <w:rPr>
          <w:bCs/>
          <w:b/>
        </w:rPr>
        <w:t xml:space="preserve">Base_MAD</w:t>
      </w:r>
      <w:r>
        <w:t xml:space="preserve"> </w:t>
      </w:r>
      <w:r>
        <w:t xml:space="preserve">: contient les informations du module MAD pour les enfants de 6 à 23 mois.</w:t>
      </w:r>
    </w:p>
    <w:p>
      <w:pPr>
        <w:numPr>
          <w:ilvl w:val="0"/>
          <w:numId w:val="1001"/>
        </w:numPr>
        <w:pStyle w:val="Compact"/>
      </w:pPr>
      <w:r>
        <w:rPr>
          <w:bCs/>
          <w:b/>
        </w:rPr>
        <w:t xml:space="preserve">tchad</w:t>
      </w:r>
      <w:r>
        <w:t xml:space="preserve"> </w:t>
      </w:r>
      <w:r>
        <w:t xml:space="preserve">: Shapefile contenant les géométries des régions et département du tchad</w:t>
      </w:r>
    </w:p>
    <w:bookmarkEnd w:id="24"/>
    <w:bookmarkEnd w:id="25"/>
    <w:bookmarkStart w:id="26" w:name="logiciels"/>
    <w:p>
      <w:pPr>
        <w:pStyle w:val="Titre2"/>
      </w:pPr>
      <w:r>
        <w:t xml:space="preserve">Logiciels</w:t>
      </w:r>
    </w:p>
    <w:p>
      <w:pPr>
        <w:pStyle w:val="FirstParagraph"/>
      </w:pPr>
      <w:r>
        <w:t xml:space="preserve">L’analyse a été réalisée sous</w:t>
      </w:r>
      <w:r>
        <w:t xml:space="preserve"> </w:t>
      </w:r>
      <w:r>
        <w:rPr>
          <w:bCs/>
          <w:b/>
        </w:rPr>
        <w:t xml:space="preserve">R 4.2</w:t>
      </w:r>
      <w:r>
        <w:t xml:space="preserve">, avec les packages suivants :</w:t>
      </w:r>
      <w:r>
        <w:rPr>
          <w:rStyle w:val="VerbatimChar"/>
        </w:rPr>
        <w:t xml:space="preserve">tidyverse</w:t>
      </w:r>
      <w:r>
        <w:t xml:space="preserve">, pour la manipulation et la visualisation des données</w:t>
      </w:r>
      <w:r>
        <w:t xml:space="preserve"> </w:t>
      </w:r>
      <w:r>
        <w:t xml:space="preserve">(Malick SENE and Dyvana Kerencia Seunkam 2025)</w:t>
      </w:r>
      <w:r>
        <w:t xml:space="preserve"> </w:t>
      </w:r>
      <w:r>
        <w:t xml:space="preserve">;</w:t>
      </w:r>
      <w:r>
        <w:t xml:space="preserve"> </w:t>
      </w:r>
      <w:r>
        <w:rPr>
          <w:rStyle w:val="VerbatimChar"/>
        </w:rPr>
        <w:t xml:space="preserve">janitor</w:t>
      </w:r>
      <w:r>
        <w:t xml:space="preserve">, pour le nettoyage des noms de variables et le repérage rapide d’anomalies</w:t>
      </w:r>
      <w:r>
        <w:t xml:space="preserve"> </w:t>
      </w:r>
      <w:r>
        <w:t xml:space="preserve">(Yves Djarekei and Hildegarde Edima Biyenda 2025)</w:t>
      </w:r>
      <w:r>
        <w:t xml:space="preserve"> </w:t>
      </w:r>
      <w:r>
        <w:t xml:space="preserve">;</w:t>
      </w:r>
      <w:r>
        <w:t xml:space="preserve"> </w:t>
      </w:r>
      <w:r>
        <w:rPr>
          <w:rStyle w:val="VerbatimChar"/>
        </w:rPr>
        <w:t xml:space="preserve">gtsummary</w:t>
      </w:r>
      <w:r>
        <w:t xml:space="preserve">, pour la génération de tableaux statistiques lisibles et adaptés à la rédaction de rapports</w:t>
      </w:r>
      <w:r>
        <w:t xml:space="preserve"> </w:t>
      </w:r>
      <w:r>
        <w:t xml:space="preserve">(Awa Diaw and Albert Paulinah Rasamoelina Nihaviana 2025)</w:t>
      </w:r>
      <w:r>
        <w:t xml:space="preserve"> </w:t>
      </w:r>
      <w:r>
        <w:t xml:space="preserve">;</w:t>
      </w:r>
      <w:r>
        <w:t xml:space="preserve"> </w:t>
      </w:r>
      <w:r>
        <w:rPr>
          <w:rStyle w:val="VerbatimChar"/>
        </w:rPr>
        <w:t xml:space="preserve">officer</w:t>
      </w:r>
      <w:r>
        <w:t xml:space="preserve"> </w:t>
      </w:r>
      <w:r>
        <w:t xml:space="preserve">et</w:t>
      </w:r>
      <w:r>
        <w:t xml:space="preserve"> </w:t>
      </w:r>
      <w:r>
        <w:rPr>
          <w:rStyle w:val="VerbatimChar"/>
        </w:rPr>
        <w:t xml:space="preserve">officedown</w:t>
      </w:r>
      <w:r>
        <w:t xml:space="preserve">, pour l’automatisation de la génération de rapports Word structurés, interactifs et présentables</w:t>
      </w:r>
      <w:r>
        <w:t xml:space="preserve"> </w:t>
      </w:r>
      <w:r>
        <w:t xml:space="preserve">(Khadidiatou Diakhaté and Dior Mbegue and Francis Haba Fromo 2025)</w:t>
      </w:r>
      <w:r>
        <w:t xml:space="preserve">; entre autres.</w:t>
      </w:r>
    </w:p>
    <w:bookmarkEnd w:id="26"/>
    <w:bookmarkStart w:id="27" w:name="plan-danalyse"/>
    <w:p>
      <w:pPr>
        <w:pStyle w:val="Titre2"/>
      </w:pPr>
      <w:r>
        <w:t xml:space="preserve">Plan d’analyse</w:t>
      </w:r>
    </w:p>
    <w:p>
      <w:pPr>
        <w:numPr>
          <w:ilvl w:val="0"/>
          <w:numId w:val="1002"/>
        </w:numPr>
        <w:pStyle w:val="Compact"/>
      </w:pPr>
      <w:r>
        <w:t xml:space="preserve">Vérification de la consistance des bases de données ;</w:t>
      </w:r>
      <w:r>
        <w:br/>
      </w:r>
    </w:p>
    <w:p>
      <w:pPr>
        <w:numPr>
          <w:ilvl w:val="0"/>
          <w:numId w:val="1002"/>
        </w:numPr>
        <w:pStyle w:val="Compact"/>
      </w:pPr>
      <w:r>
        <w:t xml:space="preserve">Analyse socio‑démographique et calcul des indicateur (SCA, rCSI, LhCSI‑FS, HDDS, SERS et MAD) ;</w:t>
      </w:r>
      <w:r>
        <w:br/>
      </w:r>
    </w:p>
    <w:p>
      <w:pPr>
        <w:numPr>
          <w:ilvl w:val="0"/>
          <w:numId w:val="1002"/>
        </w:numPr>
        <w:pStyle w:val="Compact"/>
      </w:pPr>
      <w:r>
        <w:t xml:space="preserve">Analyse comparative selon le genre du chef de ménage ;</w:t>
      </w:r>
      <w:r>
        <w:br/>
      </w:r>
    </w:p>
    <w:p>
      <w:pPr>
        <w:numPr>
          <w:ilvl w:val="0"/>
          <w:numId w:val="1002"/>
        </w:numPr>
        <w:pStyle w:val="Compact"/>
      </w:pPr>
      <w:r>
        <w:t xml:space="preserve">Conclusion.</w:t>
      </w:r>
    </w:p>
    <w:p>
      <w:r>
        <w:br w:type="page"/>
      </w:r>
    </w:p>
    <w:bookmarkEnd w:id="27"/>
    <w:bookmarkEnd w:id="28"/>
    <w:bookmarkStart w:id="35" w:name="Xc5fd7e062d63a769cab45545655a23473cf9487"/>
    <w:p>
      <w:pPr>
        <w:pStyle w:val="Titre1"/>
      </w:pPr>
      <w:r>
        <w:t xml:space="preserve">I. Importation et Analyse de consistance des bases</w:t>
      </w:r>
    </w:p>
    <w:bookmarkStart w:id="29" w:name="importation-des-jeux-de-données"/>
    <w:p>
      <w:pPr>
        <w:pStyle w:val="Titre2"/>
      </w:pPr>
      <w:r>
        <w:t xml:space="preserve">1. Importation des jeux de données</w:t>
      </w:r>
    </w:p>
    <w:p>
      <w:pPr>
        <w:pStyle w:val="FirstParagraph"/>
      </w:pPr>
      <w:r>
        <w:t xml:space="preserve">La base</w:t>
      </w:r>
      <w:r>
        <w:t xml:space="preserve"> </w:t>
      </w:r>
      <w:r>
        <w:rPr>
          <w:rStyle w:val="VerbatimChar"/>
        </w:rPr>
        <w:t xml:space="preserve">Base_MAD.dta</w:t>
      </w:r>
      <w:r>
        <w:t xml:space="preserve"> </w:t>
      </w:r>
      <w:r>
        <w:t xml:space="preserve">compte 26 variables pour</w:t>
      </w:r>
      <w:r>
        <w:t xml:space="preserve"> </w:t>
      </w:r>
      <w:r>
        <w:rPr>
          <w:rStyle w:val="VerbatimChar"/>
        </w:rPr>
        <w:t xml:space="preserve">nrow(mad_dataset)</w:t>
      </w:r>
      <w:r>
        <w:t xml:space="preserve"> </w:t>
      </w:r>
      <w:r>
        <w:t xml:space="preserve">observations.</w:t>
      </w:r>
      <w:r>
        <w:br/>
      </w:r>
      <w:r>
        <w:t xml:space="preserve">Alors que la base</w:t>
      </w:r>
      <w:r>
        <w:t xml:space="preserve"> </w:t>
      </w:r>
      <w:r>
        <w:rPr>
          <w:rStyle w:val="VerbatimChar"/>
        </w:rPr>
        <w:t xml:space="preserve">Base_Principale.dta</w:t>
      </w:r>
      <w:r>
        <w:t xml:space="preserve"> </w:t>
      </w:r>
      <w:r>
        <w:t xml:space="preserve">compte 100 variables pour</w:t>
      </w:r>
      <w:r>
        <w:t xml:space="preserve"> </w:t>
      </w:r>
      <w:r>
        <w:rPr>
          <w:rStyle w:val="VerbatimChar"/>
        </w:rPr>
        <w:t xml:space="preserve">nrow(principal_dataset)</w:t>
      </w:r>
      <w:r>
        <w:t xml:space="preserve"> </w:t>
      </w:r>
      <w:r>
        <w:t xml:space="preserve">observations.</w:t>
      </w:r>
    </w:p>
    <w:bookmarkEnd w:id="29"/>
    <w:bookmarkStart w:id="33" w:name="analyse-de-consistance"/>
    <w:p>
      <w:pPr>
        <w:pStyle w:val="Titre2"/>
      </w:pPr>
      <w:r>
        <w:t xml:space="preserve">2. Analyse de consistance</w:t>
      </w:r>
    </w:p>
    <w:p>
      <w:pPr>
        <w:pStyle w:val="FirstParagraph"/>
      </w:pPr>
      <w:r>
        <w:t xml:space="preserve">L’analyse de consistance est une étape cruciale pour s’assurer de la qualité des données avant de procéder à des analyses plus poussées.Nous allons nettoyer les bases avec janitor avant de procéder à leur fusion afin de garantir une jointure correcte. Fusionner sans nettoyage peut entraîner des erreurs, des doublons ou la perte d’informations.</w:t>
      </w:r>
    </w:p>
    <w:bookmarkStart w:id="30" w:name="nettoyage"/>
    <w:p>
      <w:pPr>
        <w:pStyle w:val="Titre3"/>
      </w:pPr>
      <w:r>
        <w:t xml:space="preserve">1. Nettoyage</w:t>
      </w:r>
    </w:p>
    <w:bookmarkEnd w:id="30"/>
    <w:bookmarkStart w:id="31" w:name="cohérence-des-variables"/>
    <w:p>
      <w:pPr>
        <w:pStyle w:val="Titre3"/>
      </w:pPr>
      <w:r>
        <w:t xml:space="preserve">2. Cohérence des variables</w:t>
      </w:r>
    </w:p>
    <w:p>
      <w:pPr>
        <w:pStyle w:val="FirstParagraph"/>
      </w:pPr>
      <w:r>
        <w:t xml:space="preserve">Dans les bases, la valeur 888 est utilisée pour indiquer que la réponse est « ne sait pas ». Afin d’éviter que cette valeur soit interprétée comme une donnée réelle lors des analyses statistiques ou graphiques, dans la suite du nettoyage, elle va être convertie en NA, la représentation standard des valeurs manquantes en R.</w:t>
      </w:r>
    </w:p>
    <w:bookmarkEnd w:id="31"/>
    <w:bookmarkStart w:id="32" w:name="Xb2dbd6e2b9b455ec8dc9c81d67240ae7af18561"/>
    <w:p>
      <w:pPr>
        <w:pStyle w:val="Titre3"/>
      </w:pPr>
      <w:r>
        <w:t xml:space="preserve">3. Visualisation des missings (valeurs manquantes)</w:t>
      </w:r>
    </w:p>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733ad68f-b2df-456b-96cd-0e473cee74df" w:name="visualisation_missings_mad"/>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33ad68f-b2df-456b-96cd-0e473cee74df"/>
      <w:r>
        <w:rPr>
          <w:rFonts/>
          <w:b w:val="true"/>
        </w:rPr>
        <w:t xml:space="preserve">: </w:t>
      </w:r>
      <w:r>
        <w:t xml:space="preserve">Visualisation des valeurs manquantes de la base MAD</w:t>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8c2a54bb-9022-40f5-b164-6c2f7a6d4bac" w:name="visualisation_missings_princip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c2a54bb-9022-40f5-b164-6c2f7a6d4bac"/>
      <w:r>
        <w:rPr>
          <w:rFonts/>
          <w:b w:val="true"/>
        </w:rPr>
        <w:t xml:space="preserve">: </w:t>
      </w:r>
      <w:r>
        <w:t xml:space="preserve">Visualisation des valeurs manquantes de la base principale</w:t>
      </w:r>
    </w:p>
    <w:p>
      <w:pPr>
        <w:pStyle w:val="BodyText"/>
      </w:pPr>
      <w:r>
        <w:t xml:space="preserve">Dans cette analyse de consistance, nous avons standardisé les noms des variables en utilisant</w:t>
      </w:r>
      <w:r>
        <w:t xml:space="preserve"> </w:t>
      </w:r>
      <w:r>
        <w:rPr>
          <w:rStyle w:val="VerbatimChar"/>
        </w:rPr>
        <w:t xml:space="preserve">clean_names()</w:t>
      </w:r>
      <w:r>
        <w:t xml:space="preserve"> </w:t>
      </w:r>
      <w:r>
        <w:t xml:space="preserve">du package</w:t>
      </w:r>
      <w:r>
        <w:t xml:space="preserve"> </w:t>
      </w:r>
      <w:r>
        <w:rPr>
          <w:rStyle w:val="VerbatimChar"/>
        </w:rPr>
        <w:t xml:space="preserve">janitor</w:t>
      </w:r>
      <w:r>
        <w:t xml:space="preserve">.</w:t>
      </w:r>
    </w:p>
    <w:p>
      <w:pPr>
        <w:pStyle w:val="BodyText"/>
      </w:pPr>
      <w:r>
        <w:t xml:space="preserve">Concernant les valeurs manquantes, les N/A ne signifient pas toujours des données absentes. Par exemple, dans la variable</w:t>
      </w:r>
      <w:r>
        <w:t xml:space="preserve"> </w:t>
      </w:r>
      <w:r>
        <w:rPr>
          <w:rStyle w:val="VerbatimChar"/>
        </w:rPr>
        <w:t xml:space="preserve">everbreast</w:t>
      </w:r>
      <w:r>
        <w:t xml:space="preserve"> </w:t>
      </w:r>
      <w:r>
        <w:t xml:space="preserve">un</w:t>
      </w:r>
      <w:r>
        <w:t xml:space="preserve"> </w:t>
      </w:r>
      <w:r>
        <w:t xml:space="preserve">“</w:t>
      </w:r>
      <w:r>
        <w:t xml:space="preserve">ne sait pas</w:t>
      </w:r>
      <w:r>
        <w:t xml:space="preserve">”</w:t>
      </w:r>
      <w:r>
        <w:t xml:space="preserve"> </w:t>
      </w:r>
      <w:r>
        <w:t xml:space="preserve">pourrait expliquer la présence de N/A. C’est pourquoi nous n’allons pas procéder à des imputations.</w:t>
      </w:r>
    </w:p>
    <w:bookmarkEnd w:id="32"/>
    <w:bookmarkEnd w:id="33"/>
    <w:bookmarkStart w:id="34" w:name="fusion-des-deux-bases"/>
    <w:p>
      <w:pPr>
        <w:pStyle w:val="Titre2"/>
      </w:pPr>
      <w:r>
        <w:t xml:space="preserve">4. Fusion des deux bases</w:t>
      </w:r>
    </w:p>
    <w:p>
      <w:pPr>
        <w:pStyle w:val="FirstParagraph"/>
      </w:pPr>
      <w:r>
        <w:t xml:space="preserve">Dans la suite des analyses, il est impératif de fusionner les deux bases.</w:t>
      </w:r>
      <w:r>
        <w:t xml:space="preserve"> </w:t>
      </w:r>
      <w:r>
        <w:t xml:space="preserve">Nous avons utilisé right_join() car principal_dataset constitue la base principale d’analyse, contenant 8950 observations. Nous souhaitons y ajouter les informations complémentaires de mad_dataset2 2204 observations, sans perdre aucune unité statistique présente dans la base principale.</w:t>
      </w:r>
    </w:p>
    <w:bookmarkEnd w:id="34"/>
    <w:bookmarkEnd w:id="35"/>
    <w:bookmarkStart w:id="65" w:name="X4ad41f3e4a0cda3b75da8985f8b37c4b76d246b"/>
    <w:p>
      <w:pPr>
        <w:pStyle w:val="Titre1"/>
      </w:pPr>
      <w:r>
        <w:t xml:space="preserve">II. Analyse des données et calcul d’indicateurs</w:t>
      </w:r>
    </w:p>
    <w:p>
      <w:pPr>
        <w:pStyle w:val="FirstParagraph"/>
      </w:pPr>
      <w:r>
        <w:t xml:space="preserve">Commençons par explorer notre base de données :</w:t>
      </w:r>
    </w:p>
    <w:bookmarkStart w:id="36" w:name="analyse-socio-démographique-des-ménages"/>
    <w:p>
      <w:pPr>
        <w:pStyle w:val="Titre2"/>
      </w:pPr>
      <w:r>
        <w:t xml:space="preserve">1. Analyse socio-démographique des ménages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Analyse socio-démographique des ménages</w:t>
      </w:r>
    </w:p>
    <w:tbl xmlns:w14="http://schemas.microsoft.com/office/word/2010/wordml">
      <w:tblPr>
        <w:tblLayout w:type="fixed"/>
        <w:jc w:val="center"/>
        <w:tblLook w:firstRow="1" w:lastRow="0" w:firstColumn="0" w:lastColumn="0" w:noHBand="0" w:noVBand="1"/>
      </w:tblPr>
      <w:tblGrid>
        <w:gridCol w:w="3871"/>
        <w:gridCol w:w="4220"/>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Variables socio-démographiques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Description</w:t>
            </w:r>
          </w:p>
        </w:tc>
      </w:tr>
      <w:tr>
        <w:trPr>
          <w:trHeight w:val="615"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Taille du ménage</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Sexe du chef de ménage</w:t>
            </w:r>
          </w:p>
        </w:tc>
      </w:tr>
      <w:tr>
        <w:trPr>
          <w:trHeight w:val="654"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Âge du chef de ménage</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hhh_edu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Niveau d'éducation du chef de ménage</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hh_source_income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Source de revenu du ménage</w:t>
            </w:r>
          </w:p>
        </w:tc>
      </w:tr>
      <w:tr>
        <w:trPr>
          <w:trHeight w:val="615"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admin1name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Région</w:t>
            </w:r>
          </w:p>
        </w:tc>
      </w:tr>
      <w:tr>
        <w:trPr>
          <w:trHeight w:val="613"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admin2name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Département</w:t>
            </w:r>
          </w:p>
        </w:tc>
      </w:tr>
      <w:tr>
        <w:trPr>
          <w:trHeight w:val="614"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hh_size05m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Garçons de moins de 5 ans</w:t>
            </w:r>
          </w:p>
        </w:tc>
      </w:tr>
      <w:tr>
        <w:trPr>
          <w:trHeight w:val="614"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hh_size23m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Garçons de 2 à 3 ans</w:t>
            </w:r>
          </w:p>
        </w:tc>
      </w:tr>
      <w:tr>
        <w:trPr>
          <w:trHeight w:val="614"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hh_size59m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Garçons de 5 à 9 ans</w:t>
            </w:r>
          </w:p>
        </w:tc>
      </w:tr>
      <w:tr>
        <w:trPr>
          <w:trHeight w:val="614"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hh_size5114m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Garçons de 5 à 14 ans</w:t>
            </w:r>
          </w:p>
        </w:tc>
      </w:tr>
      <w:tr>
        <w:trPr>
          <w:trHeight w:val="613"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hh_size1549m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Hommes de 15 à 49 ans</w:t>
            </w:r>
          </w:p>
        </w:tc>
      </w:tr>
      <w:tr>
        <w:trPr>
          <w:trHeight w:val="613"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hh_size5064m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Hommes de 50 à 64 ans</w:t>
            </w:r>
          </w:p>
        </w:tc>
      </w:tr>
      <w:tr>
        <w:trPr>
          <w:trHeight w:val="613"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hh_size65above_m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Hommes de 65 ans et plus</w:t>
            </w:r>
          </w:p>
        </w:tc>
      </w:tr>
      <w:tr>
        <w:trPr>
          <w:trHeight w:val="615"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hh_size05f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Filles de moins de 5 ans</w:t>
            </w:r>
          </w:p>
        </w:tc>
      </w:tr>
      <w:tr>
        <w:trPr>
          <w:trHeight w:val="615"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hh_size23f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Filles de 2 à 3 ans</w:t>
            </w:r>
          </w:p>
        </w:tc>
      </w:tr>
      <w:tr>
        <w:trPr>
          <w:trHeight w:val="615"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hh_size59f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Filles de 5 à 9 ans</w:t>
            </w:r>
          </w:p>
        </w:tc>
      </w:tr>
      <w:tr>
        <w:trPr>
          <w:trHeight w:val="615"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hh_size5114f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Filles de 5 à 14 ans</w:t>
            </w:r>
          </w:p>
        </w:tc>
      </w:tr>
      <w:tr>
        <w:trPr>
          <w:trHeight w:val="615"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hh_size1549f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Femmes de 15 à 49 ans</w:t>
            </w:r>
          </w:p>
        </w:tc>
      </w:tr>
      <w:tr>
        <w:trPr>
          <w:trHeight w:val="615"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hh_size5064f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Femmes de 50 à 64 ans</w:t>
            </w:r>
          </w:p>
        </w:tc>
      </w:tr>
      <w:tr>
        <w:trPr>
          <w:trHeight w:val="615" w:hRule="auto"/>
        </w:trPr>
        body21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hh_size65above_f</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Femmes de 65 ans et plus</w:t>
            </w:r>
          </w:p>
        </w:tc>
      </w:tr>
    </w:tbl>
    <w:p>
      <w:pPr>
        <w:pStyle w:val="FirstParagraph"/>
      </w:pPr>
      <w:r>
        <w:t xml:space="preserve">Le tableau ci-dessus récapitule les variables sociodémographiques.Les variables sur la situation matrimoniale et l’activité du chef de ménage n’ont que des valeurs manquantes.Elles n’ont pas été prises en compte.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Caractéristiques socio-démographiques des ménages tchadiens</w:t>
      </w:r>
    </w:p>
    <w:tbl xmlns:w14="http://schemas.microsoft.com/office/word/2010/wordml">
      <w:tblPr>
        <w:tblLayout w:type="autofit"/>
        <w:jc w:val="center"/>
        <w:tblW w:type="pct" w:w="0"/>
        <w:tblLook w:firstRow="1" w:lastRow="0" w:firstColumn="0" w:lastColumn="0" w:noHBand="0" w:noVBand="1"/>
      </w:tblPr>
      <w:tr>
        <w:trPr>
          <w:trHeight w:val="7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Variables socio-démographiques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Tchad</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9,079</w:t>
            </w:r>
            <w:r>
              <w:rPr>
                <w:rFonts w:ascii="Arial" w:hAnsi="Arial" w:eastAsia="Arial" w:cs="Arial"/>
                <w:i w:val="false"/>
                <w:b w:val="false"/>
                <w:u w:val="none"/>
                <w:vertAlign w:val="superscript"/>
                <w:sz w:val="16"/>
                <w:szCs w:val="16"/>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Taille du ménage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7.64 (13.59)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Sexe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4,006 (44%)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5,073 (56%)</w:t>
            </w:r>
          </w:p>
        </w:tc>
      </w:tr>
      <w:tr>
        <w:trPr>
          <w:trHeight w:val="65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Âge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43 (13)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Niveau d'éducation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Aucune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1,878 (31%)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Alphabétisé ou Coranique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3,728 (62%)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273 (4.5%)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131 (2.2%)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24 (0.4%)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Source de revenu du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Agriculture vivrière/ou de rente (hors maraîchage)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880 (51%)</w:t>
            </w:r>
          </w:p>
        </w:tc>
      </w:tr>
      <w:tr>
        <w:trPr>
          <w:trHeight w:val="65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Élevage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 (1.6%)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des produits maraîchers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188 (11%)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d'animaux ou de produits d'élevage (lait, fromage, œufs,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(0.3%)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 produits de la pêche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 (2.0%)</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 produits de chasse/cueillette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 (1.3%)</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Commerce des produits alimentaires ou animaux non produits par le ménage lui-même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 (1.9%)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Petit commerce de produits non alimentaires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68 (3.9%)</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Artisanat/Petits métiers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85 (4.9%)</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Travail journalier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156 (9.0%)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Salarié/Pension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 (1.4%)</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 (0.7%)</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Aides/dons et transfert d'argent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105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Travail spécialisé (mécanicien, maçon, tailleur, coiffeur, gros commerce/commerce 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 (1.8%)</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Autres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69 (4.0%)</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Région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Barh-El-Gazel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1,207 (13%)</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Batha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1,651 (18%)</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Ennedi 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229 (2.5%)</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Guera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1,445 (16%)</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Kanem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1,249 (14%)</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Lac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1,429 (16%)</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Ouaddai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931 (10%)</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Salamat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480 (5.3%)</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Sila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447 (4.9%)</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Wadi Fira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 (0.1%)</w:t>
            </w:r>
          </w:p>
        </w:tc>
      </w:tr>
      <w:tr>
        <w:trPr>
          <w:trHeight w:val="61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Département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Aboudeia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373 (4.1%)</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Abtouyour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519 (5.7%)</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Assoungha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128 (1.4%)</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Bahr-Azoum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107 (1.2%)</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Barh-El-Gazel Ouest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91 (1.0%)</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Barh-El-Gazel Sud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1,116 (12%)</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Barh-Signaka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73 (0.8%)</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Batha 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1,000 (11%)</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Batha Ouest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513 (5.7%)</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Dar-Tama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 (0.1%)</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Fitri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138 (1.5%)</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Guera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783 (8.6%)</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Kanem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1,087 (12%)</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Kaya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276 (3.0%)</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Kimiti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447 (4.9%)</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Mamdi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1,123 (12%)</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Mangalme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70 (0.8%)</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Nord Kanem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162 (1.8%)</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Ouara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803 (8.8%)</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Wadi Hawar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229 (2.5%)</w:t>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Wayi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 (0.3%)</w:t>
            </w:r>
          </w:p>
        </w:tc>
      </w:tr>
      <w:tr>
        <w:trPr>
          <w:trHeight w:val="614"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Garçons &lt; 5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8,518 (94%)</w:t>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538 (5.9%)</w:t>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 (&lt;0.1%)</w:t>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(&lt;0.1%)</w:t>
            </w:r>
          </w:p>
        </w:tc>
      </w:tr>
      <w:tr>
        <w:trPr>
          <w:trHeight w:val="617"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(&lt;0.1%)</w:t>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(&lt;0.1%)</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(&lt;0.1%)</w:t>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(&lt;0.1%)</w:t>
            </w:r>
          </w:p>
        </w:tc>
      </w:tr>
      <w:tr>
        <w:trPr>
          <w:trHeight w:val="617"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Garçons 2-3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0.17 (0.58)</w:t>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Garçons 5-9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0.49 (1.08)</w:t>
            </w:r>
          </w:p>
        </w:tc>
      </w:tr>
      <w:tr>
        <w:trPr>
          <w:trHeight w:val="617"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Garçons 5-14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1.33 (1.29)</w:t>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Hommes 15-49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1.21 (2.45)</w:t>
            </w:r>
          </w:p>
        </w:tc>
      </w:tr>
      <w:tr>
        <w:trPr>
          <w:trHeight w:val="617"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Hommes 50-64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0.46 (2.78)</w:t>
            </w:r>
          </w:p>
        </w:tc>
      </w:tr>
      <w:tr>
        <w:trPr>
          <w:trHeight w:val="617"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Hommes 65 ans et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0.18 (2.30)</w:t>
            </w:r>
          </w:p>
        </w:tc>
      </w:tr>
      <w:tr>
        <w:trPr>
          <w:trHeight w:val="60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Filles &lt; 5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8,601 (95%)</w:t>
            </w:r>
          </w:p>
        </w:tc>
      </w:tr>
      <w:tr>
        <w:trPr>
          <w:trHeight w:val="617"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453 (5.0%)</w:t>
            </w:r>
          </w:p>
        </w:tc>
      </w:tr>
      <w:tr>
        <w:trPr>
          <w:trHeight w:val="61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(&lt;0.1%)</w:t>
            </w:r>
          </w:p>
        </w:tc>
      </w:tr>
      <w:tr>
        <w:trPr>
          <w:trHeight w:val="617"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 (0.1%)</w:t>
            </w:r>
          </w:p>
        </w:tc>
      </w:tr>
      <w:tr>
        <w:trPr>
          <w:trHeight w:val="617"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(&lt;0.1%)</w:t>
            </w:r>
          </w:p>
        </w:tc>
      </w:tr>
      <w:tr>
        <w:trPr>
          <w:trHeight w:val="617"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(&lt;0.1%)</w:t>
            </w:r>
          </w:p>
        </w:tc>
      </w:tr>
      <w:tr>
        <w:trPr>
          <w:trHeight w:val="617"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(&lt;0.1%)</w:t>
            </w:r>
          </w:p>
        </w:tc>
      </w:tr>
      <w:tr>
        <w:trPr>
          <w:trHeight w:val="617"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(&lt;0.1%)</w:t>
            </w:r>
          </w:p>
        </w:tc>
      </w:tr>
      <w:tr>
        <w:trPr>
          <w:trHeight w:val="617"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Filles 2-3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0.17 (0.63)</w:t>
            </w:r>
          </w:p>
        </w:tc>
      </w:tr>
      <w:tr>
        <w:trPr>
          <w:trHeight w:val="617"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Filles 5-9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0.45 (1.12)</w:t>
            </w:r>
          </w:p>
        </w:tc>
      </w:tr>
      <w:tr>
        <w:trPr>
          <w:trHeight w:val="617"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Filles 5-14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1.25 (1.31)</w:t>
            </w:r>
          </w:p>
        </w:tc>
      </w:tr>
      <w:tr>
        <w:trPr>
          <w:trHeight w:val="617"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Femmes 15-49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1.27 (2.13)</w:t>
            </w:r>
          </w:p>
        </w:tc>
      </w:tr>
      <w:tr>
        <w:trPr>
          <w:trHeight w:val="617"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Femmes 50-64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0.34 (2.30)</w:t>
            </w:r>
          </w:p>
        </w:tc>
      </w:tr>
      <w:tr>
        <w:trPr>
          <w:trHeight w:val="617" w:hRule="auto"/>
        </w:trPr>
        body90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Femmes 65 ans et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0.14 (1.96)</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Mean (SD); n (%)</w:t>
            </w:r>
          </w:p>
        </w:tc>
      </w:tr>
    </w:tbl>
    <w:bookmarkEnd w:id="36"/>
    <w:bookmarkStart w:id="42" w:name="Xd781e78ce0b9faf1d741223f639f4d356e891ed"/>
    <w:p>
      <w:pPr>
        <w:pStyle w:val="Titre2"/>
      </w:pPr>
      <w:r>
        <w:t xml:space="preserve">2. Calcul du Score de Consommation Alimentaire (FCS)</w:t>
      </w:r>
    </w:p>
    <w:p>
      <w:pPr>
        <w:pStyle w:val="FirstParagraph"/>
      </w:pPr>
      <w:r>
        <w:t xml:space="preserve">Le Score de Consommation Alimentaire (FCS) est un indicateur proxy de la sécurité alimentaire des ménages développé par le Programme Alimentaire Mondial (PAM).</w:t>
      </w:r>
    </w:p>
    <w:bookmarkStart w:id="37" w:name="X4999cffaace4eb00c0125ea508af082bb1cf4bb"/>
    <w:p>
      <w:pPr>
        <w:pStyle w:val="Titre3"/>
      </w:pPr>
      <w:r>
        <w:t xml:space="preserve">a. Les variables nécessaires pour le calcul du FCS</w:t>
      </w:r>
    </w:p>
    <w:p>
      <w:pPr>
        <w:pStyle w:val="FirstParagraph"/>
      </w:pPr>
      <w:r>
        <w:t xml:space="preserve">Ce sont les variables commençant par FCS</w:t>
      </w:r>
    </w:p>
    <w:p>
      <w:pPr>
        <w:pStyle w:val="BodyText"/>
      </w:pPr>
      <w:r>
        <w:t xml:space="preserve">Les variables concernées sont : fcs_stap, fcs_stap_s_rf, fcs_pulse, fcs_pulse_s_rf, fcs_dairy, fcs_dairy_s_rf, fcs_pr, fcs_pr_s_rf, fcs_pr_meat_f, fcs_pr_meat_o, fcs_pr_fish, fcs_pr_egg, fcs_veg, fcs_veg_s_rf, fcs_veg_org, fcs_veg_gre, fcs_fruit, fcs_fruit_s_rf, fcs_fruit_org, fcs_fat, fcs_fat_s_rf, fcs_sugar, fcs_sugar_s_rf, fcs_cond, fcs_cond_s_rf.</w:t>
      </w:r>
    </w:p>
    <w:bookmarkEnd w:id="37"/>
    <w:bookmarkStart w:id="38" w:name="X3e79965a5f590481b78518dba0ab023a6a84f0a"/>
    <w:p>
      <w:pPr>
        <w:pStyle w:val="Titre3"/>
      </w:pPr>
      <w:r>
        <w:t xml:space="preserve">b.Calculer le score de consommation alimentaire</w:t>
      </w:r>
    </w:p>
    <w:p>
      <w:pPr>
        <w:pStyle w:val="FirstParagraph"/>
      </w:pPr>
      <w:r>
        <w:t xml:space="preserve">Les scores ont été trouvé au</w:t>
      </w:r>
      <w:r>
        <w:t xml:space="preserve"> </w:t>
      </w:r>
      <w:r>
        <w:t xml:space="preserve">(Programme 2008)</w:t>
      </w:r>
      <w:r>
        <w:t xml:space="preserve">.Voici, la formule de calcul du fcs :</w:t>
      </w:r>
    </w:p>
    <w:p>
      <w:pPr>
        <w:pStyle w:val="BodyText"/>
      </w:pPr>
      <m:oMathPara>
        <m:oMathParaPr>
          <m:jc m:val="center"/>
        </m:oMathParaPr>
        <m:oMath>
          <m:r>
            <m:t>F</m:t>
          </m:r>
          <m:r>
            <m:t>C</m:t>
          </m:r>
          <m:r>
            <m:t>S</m:t>
          </m:r>
          <m:r>
            <m:rPr>
              <m:sty m:val="p"/>
            </m:rPr>
            <m:t>=</m:t>
          </m:r>
          <m:d>
            <m:dPr>
              <m:begChr m:val="("/>
              <m:endChr m:val=")"/>
              <m:sepChr m:val=""/>
              <m:grow/>
            </m:dPr>
            <m:e>
              <m:r>
                <m:t>f</m:t>
              </m:r>
              <m:r>
                <m:t>c</m:t>
              </m:r>
              <m:r>
                <m:t>s</m:t>
              </m:r>
              <m:r>
                <m:rPr>
                  <m:sty m:val="p"/>
                </m:rPr>
                <m:t>_</m:t>
              </m:r>
              <m:r>
                <m:t>s</m:t>
              </m:r>
              <m:r>
                <m:t>t</m:t>
              </m:r>
              <m:r>
                <m:t>a</m:t>
              </m:r>
              <m:r>
                <m:t>p</m:t>
              </m:r>
              <m:r>
                <m:rPr>
                  <m:sty m:val="p"/>
                </m:rPr>
                <m:t>×</m:t>
              </m:r>
              <m:r>
                <m:t>2</m:t>
              </m:r>
            </m:e>
          </m:d>
          <m:r>
            <m:rPr>
              <m:sty m:val="p"/>
            </m:rPr>
            <m:t>+</m:t>
          </m:r>
          <m:d>
            <m:dPr>
              <m:begChr m:val="("/>
              <m:endChr m:val=")"/>
              <m:sepChr m:val=""/>
              <m:grow/>
            </m:dPr>
            <m:e>
              <m:r>
                <m:t>f</m:t>
              </m:r>
              <m:r>
                <m:t>c</m:t>
              </m:r>
              <m:r>
                <m:t>s</m:t>
              </m:r>
              <m:r>
                <m:rPr>
                  <m:sty m:val="p"/>
                </m:rPr>
                <m:t>_</m:t>
              </m:r>
              <m:r>
                <m:t>p</m:t>
              </m:r>
              <m:r>
                <m:t>u</m:t>
              </m:r>
              <m:r>
                <m:t>l</m:t>
              </m:r>
              <m:r>
                <m:t>s</m:t>
              </m:r>
              <m:r>
                <m:t>e</m:t>
              </m:r>
              <m:r>
                <m:rPr>
                  <m:sty m:val="p"/>
                </m:rPr>
                <m:t>×</m:t>
              </m:r>
              <m:r>
                <m:t>3</m:t>
              </m:r>
            </m:e>
          </m:d>
          <m:r>
            <m:rPr>
              <m:sty m:val="p"/>
            </m:rPr>
            <m:t>+</m:t>
          </m:r>
          <m:d>
            <m:dPr>
              <m:begChr m:val="("/>
              <m:endChr m:val=")"/>
              <m:sepChr m:val=""/>
              <m:grow/>
            </m:dPr>
            <m:e>
              <m:r>
                <m:t>f</m:t>
              </m:r>
              <m:r>
                <m:t>c</m:t>
              </m:r>
              <m:r>
                <m:t>s</m:t>
              </m:r>
              <m:r>
                <m:rPr>
                  <m:sty m:val="p"/>
                </m:rPr>
                <m:t>_</m:t>
              </m:r>
              <m:r>
                <m:t>d</m:t>
              </m:r>
              <m:r>
                <m:t>a</m:t>
              </m:r>
              <m:r>
                <m:t>i</m:t>
              </m:r>
              <m:r>
                <m:t>r</m:t>
              </m:r>
              <m:r>
                <m:t>y</m:t>
              </m:r>
              <m:r>
                <m:rPr>
                  <m:sty m:val="p"/>
                </m:rPr>
                <m:t>×</m:t>
              </m:r>
              <m:r>
                <m:t>4</m:t>
              </m:r>
            </m:e>
          </m:d>
          <m:r>
            <m:rPr>
              <m:sty m:val="p"/>
            </m:rPr>
            <m:t>+</m:t>
          </m:r>
          <m:d>
            <m:dPr>
              <m:begChr m:val="("/>
              <m:endChr m:val=")"/>
              <m:sepChr m:val=""/>
              <m:grow/>
            </m:dPr>
            <m:e>
              <m:r>
                <m:t>f</m:t>
              </m:r>
              <m:r>
                <m:t>c</m:t>
              </m:r>
              <m:r>
                <m:t>s</m:t>
              </m:r>
              <m:r>
                <m:rPr>
                  <m:sty m:val="p"/>
                </m:rPr>
                <m:t>_</m:t>
              </m:r>
              <m:r>
                <m:t>p</m:t>
              </m:r>
              <m:r>
                <m:t>r</m:t>
              </m:r>
              <m:r>
                <m:rPr>
                  <m:sty m:val="p"/>
                </m:rPr>
                <m:t>×</m:t>
              </m:r>
              <m:r>
                <m:t>4</m:t>
              </m:r>
            </m:e>
          </m:d>
          <m:r>
            <m:rPr>
              <m:sty m:val="p"/>
            </m:rPr>
            <m:t>+</m:t>
          </m:r>
          <m:d>
            <m:dPr>
              <m:begChr m:val="("/>
              <m:endChr m:val=")"/>
              <m:sepChr m:val=""/>
              <m:grow/>
            </m:dPr>
            <m:e>
              <m:r>
                <m:t>f</m:t>
              </m:r>
              <m:r>
                <m:t>c</m:t>
              </m:r>
              <m:r>
                <m:t>s</m:t>
              </m:r>
              <m:r>
                <m:rPr>
                  <m:sty m:val="p"/>
                </m:rPr>
                <m:t>_</m:t>
              </m:r>
              <m:r>
                <m:t>v</m:t>
              </m:r>
              <m:r>
                <m:t>e</m:t>
              </m:r>
              <m:r>
                <m:t>g</m:t>
              </m:r>
              <m:r>
                <m:rPr>
                  <m:sty m:val="p"/>
                </m:rPr>
                <m:t>×</m:t>
              </m:r>
              <m:r>
                <m:t>1</m:t>
              </m:r>
            </m:e>
          </m:d>
          <m:r>
            <m:rPr>
              <m:sty m:val="p"/>
            </m:rPr>
            <m:t>+</m:t>
          </m:r>
          <m:d>
            <m:dPr>
              <m:begChr m:val="("/>
              <m:endChr m:val=")"/>
              <m:sepChr m:val=""/>
              <m:grow/>
            </m:dPr>
            <m:e>
              <m:r>
                <m:t>f</m:t>
              </m:r>
              <m:r>
                <m:t>c</m:t>
              </m:r>
              <m:r>
                <m:t>s</m:t>
              </m:r>
              <m:r>
                <m:rPr>
                  <m:sty m:val="p"/>
                </m:rPr>
                <m:t>_</m:t>
              </m:r>
              <m:r>
                <m:t>f</m:t>
              </m:r>
              <m:r>
                <m:t>r</m:t>
              </m:r>
              <m:r>
                <m:t>u</m:t>
              </m:r>
              <m:r>
                <m:t>i</m:t>
              </m:r>
              <m:r>
                <m:t>t</m:t>
              </m:r>
              <m:r>
                <m:rPr>
                  <m:sty m:val="p"/>
                </m:rPr>
                <m:t>×</m:t>
              </m:r>
              <m:r>
                <m:t>1</m:t>
              </m:r>
            </m:e>
          </m:d>
          <m:r>
            <m:rPr>
              <m:sty m:val="p"/>
            </m:rPr>
            <m:t>+</m:t>
          </m:r>
          <m:d>
            <m:dPr>
              <m:begChr m:val="("/>
              <m:endChr m:val=")"/>
              <m:sepChr m:val=""/>
              <m:grow/>
            </m:dPr>
            <m:e>
              <m:r>
                <m:t>f</m:t>
              </m:r>
              <m:r>
                <m:t>c</m:t>
              </m:r>
              <m:r>
                <m:t>s</m:t>
              </m:r>
              <m:r>
                <m:rPr>
                  <m:sty m:val="p"/>
                </m:rPr>
                <m:t>_</m:t>
              </m:r>
              <m:r>
                <m:t>f</m:t>
              </m:r>
              <m:r>
                <m:t>a</m:t>
              </m:r>
              <m:r>
                <m:t>t</m:t>
              </m:r>
              <m:r>
                <m:rPr>
                  <m:sty m:val="p"/>
                </m:rPr>
                <m:t>×</m:t>
              </m:r>
              <m:r>
                <m:t>0.5</m:t>
              </m:r>
            </m:e>
          </m:d>
          <m:r>
            <m:rPr>
              <m:sty m:val="p"/>
            </m:rPr>
            <m:t>+</m:t>
          </m:r>
          <m:d>
            <m:dPr>
              <m:begChr m:val="("/>
              <m:endChr m:val=")"/>
              <m:sepChr m:val=""/>
              <m:grow/>
            </m:dPr>
            <m:e>
              <m:r>
                <m:t>f</m:t>
              </m:r>
              <m:r>
                <m:t>c</m:t>
              </m:r>
              <m:r>
                <m:t>s</m:t>
              </m:r>
              <m:r>
                <m:rPr>
                  <m:sty m:val="p"/>
                </m:rPr>
                <m:t>_</m:t>
              </m:r>
              <m:r>
                <m:t>s</m:t>
              </m:r>
              <m:r>
                <m:t>u</m:t>
              </m:r>
              <m:r>
                <m:t>g</m:t>
              </m:r>
              <m:r>
                <m:t>a</m:t>
              </m:r>
              <m:r>
                <m:t>r</m:t>
              </m:r>
              <m:r>
                <m:rPr>
                  <m:sty m:val="p"/>
                </m:rPr>
                <m:t>×</m:t>
              </m:r>
              <m:r>
                <m:t>0.5</m:t>
              </m:r>
            </m:e>
          </m:d>
          <m:r>
            <m:rPr>
              <m:sty m:val="p"/>
            </m:rPr>
            <m:t>+</m:t>
          </m:r>
          <m:d>
            <m:dPr>
              <m:begChr m:val="("/>
              <m:endChr m:val=")"/>
              <m:sepChr m:val=""/>
              <m:grow/>
            </m:dPr>
            <m:e>
              <m:r>
                <m:t>f</m:t>
              </m:r>
              <m:r>
                <m:t>c</m:t>
              </m:r>
              <m:r>
                <m:t>s</m:t>
              </m:r>
              <m:r>
                <m:rPr>
                  <m:sty m:val="p"/>
                </m:rPr>
                <m:t>_</m:t>
              </m:r>
              <m:r>
                <m:t>c</m:t>
              </m:r>
              <m:r>
                <m:t>o</m:t>
              </m:r>
              <m:r>
                <m:t>n</m:t>
              </m:r>
              <m:r>
                <m:t>d</m:t>
              </m:r>
              <m:r>
                <m:rPr>
                  <m:sty m:val="p"/>
                </m:rPr>
                <m:t>×</m:t>
              </m:r>
              <m:r>
                <m:t>0.5</m:t>
              </m:r>
            </m:e>
          </m:d>
        </m:oMath>
      </m:oMathPara>
    </w:p>
    <w:bookmarkEnd w:id="38"/>
    <w:bookmarkStart w:id="39" w:name="Xeab30258c93da29df59be36c7274661e8d567ea"/>
    <w:p>
      <w:pPr>
        <w:pStyle w:val="Titre3"/>
      </w:pPr>
      <w:r>
        <w:t xml:space="preserve">c. Tableau illustrant les poids attribués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Tableau illustrant les poids attribués</w:t>
      </w:r>
    </w:p>
    <w:tbl xmlns:w14="http://schemas.microsoft.com/office/word/2010/wordml">
      <w:tblPr>
        <w:tblLayout w:type="fixed"/>
        <w:jc w:val="center"/>
        <w:tblLook w:firstRow="1" w:lastRow="0" w:firstColumn="0" w:lastColumn="0" w:noHBand="0" w:noVBand="1"/>
      </w:tblPr>
      <w:tblGrid>
        <w:gridCol w:w="2734"/>
        <w:gridCol w:w="2942"/>
        <w:gridCol w:w="1462"/>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Groupe.alimentaire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Exemples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Poids.FCS</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Céréales, tubercules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Riz, pain, manioc, igname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Haricots, lentilles, pois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Lait, yaourt, fromage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Viandes/Poissons/Œufs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Viande, poisson,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Feuilles, gombo, carottes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Mangue, banane, orange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Graisses/Huiles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Huile, beurre, margarine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6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Sucre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Sucre, miel, confiture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Condiments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Sel, épices, thé, café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16.0</w:t>
            </w:r>
          </w:p>
        </w:tc>
      </w:tr>
    </w:tbl>
    <w:bookmarkEnd w:id="39"/>
    <w:bookmarkStart w:id="40" w:name="X1e52e6495c44167c527de38e338777b8d9d024c"/>
    <w:p>
      <w:pPr>
        <w:pStyle w:val="Titre3"/>
      </w:pPr>
      <w:r>
        <w:t xml:space="preserve">d. Catégorisation du SCA selon les seuil 21/35 et 28/42</w:t>
      </w:r>
    </w:p>
    <w:p>
      <w:pPr>
        <w:pStyle w:val="FirstParagraph"/>
      </w:pPr>
      <w:r>
        <w:t xml:space="preserve">Ici, on crée deux variables catégorielles à partir du score FCS selon différents seuils.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Grille de classification du FCS selon deux jeux de seuils</w:t>
      </w:r>
    </w:p>
    <w:tbl xmlns:w14="http://schemas.microsoft.com/office/word/2010/wordml">
      <w:tblPr>
        <w:tblLayout w:type="fixed"/>
        <w:jc w:val="center"/>
        <w:tblLook w:firstRow="1" w:lastRow="0" w:firstColumn="0" w:lastColumn="0" w:noHBand="0" w:noVBand="1"/>
      </w:tblPr>
      <w:tblGrid>
        <w:gridCol w:w="1499"/>
        <w:gridCol w:w="1834"/>
        <w:gridCol w:w="1834"/>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Catégorie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Grille_1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Grille_2</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Pauvre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 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 28</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Limite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 &lt; FCS ≤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 &lt; FCS ≤ 42</w:t>
            </w:r>
          </w:p>
        </w:tc>
      </w:tr>
      <w:tr>
        <w:trPr>
          <w:trHeight w:val="61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Acceptable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&gt; 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&gt; 42</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Classification des ménages selon les seuils FCS 21/35</w:t>
      </w:r>
    </w:p>
    <w:tbl xmlns:w14="http://schemas.microsoft.com/office/word/2010/wordml">
      <w:tblPr>
        <w:tblLayout w:type="fixed"/>
        <w:jc w:val="center"/>
        <w:tblLook w:firstRow="1" w:lastRow="0" w:firstColumn="0" w:lastColumn="0" w:noHBand="0" w:noVBand="1"/>
      </w:tblPr>
      <w:tblGrid>
        <w:gridCol w:w="1499"/>
        <w:gridCol w:w="961"/>
        <w:gridCol w:w="165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Catégorie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Pourcentage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Pauvre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Limite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13.0%</w:t>
            </w:r>
          </w:p>
        </w:tc>
      </w:tr>
      <w:tr>
        <w:trPr>
          <w:trHeight w:val="61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Acceptable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82.8%</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Classification des ménages selon les seuils FCS 28/42</w:t>
      </w:r>
    </w:p>
    <w:tbl xmlns:w14="http://schemas.microsoft.com/office/word/2010/wordml">
      <w:tblPr>
        <w:tblLayout w:type="fixed"/>
        <w:jc w:val="center"/>
        <w:tblLook w:firstRow="1" w:lastRow="0" w:firstColumn="0" w:lastColumn="0" w:noHBand="0" w:noVBand="1"/>
      </w:tblPr>
      <w:tblGrid>
        <w:gridCol w:w="1499"/>
        <w:gridCol w:w="961"/>
        <w:gridCol w:w="165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Catégorie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Pourcentage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Pauvre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9.5%</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Limite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18.5%</w:t>
            </w:r>
          </w:p>
        </w:tc>
      </w:tr>
      <w:tr>
        <w:trPr>
          <w:trHeight w:val="61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Acceptable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72.0%</w:t>
            </w:r>
          </w:p>
        </w:tc>
      </w:tr>
    </w:tbl>
    <w:bookmarkEnd w:id="40"/>
    <w:bookmarkStart w:id="41" w:name="Xb14746398e2ee37f48dea6ebba18ca3dafb0695"/>
    <w:p>
      <w:pPr>
        <w:pStyle w:val="Titre3"/>
      </w:pPr>
      <w:r>
        <w:t xml:space="preserve">e. Répresentation spatiale (région et département) du SCA et de ses différentes catégorisations</w:t>
      </w:r>
    </w:p>
    <w:p>
      <w:pPr>
        <w:pStyle w:val="FirstParagraph"/>
      </w:pPr>
      <w:r>
        <w:t xml:space="preserve">Ici, nous allons assurer une certaine harmonie entre les deux bases en faisant la jointure par code plutot que par nom de niveau administratif afin de réduire de nombre de N/A dans les calculs stratifié (région et département).</w:t>
      </w:r>
    </w:p>
    <w:p>
      <w:pPr>
        <w:pStyle w:val="BodyText"/>
      </w:pPr>
      <w:r>
        <w:t xml:space="preserve">Catégorisons les régions en fonction de leurs moyennes FCS suivant les deux seuils. Pour ce faire, nous allons créer une nouvelle base de données</w:t>
      </w:r>
      <w:r>
        <w:t xml:space="preserve"> </w:t>
      </w:r>
      <w:r>
        <w:t xml:space="preserve">“</w:t>
      </w:r>
      <w:r>
        <w:t xml:space="preserve">régionale</w:t>
      </w:r>
      <w:r>
        <w:t xml:space="preserve">”</w:t>
      </w:r>
      <w:r>
        <w:t xml:space="preserve"> </w:t>
      </w:r>
      <w:r>
        <w:t xml:space="preserve">et procéder aux représentations.</w:t>
      </w:r>
    </w:p>
    <w:p>
      <w:pPr>
        <w:jc w:val="center"/>
        <w:pStyle w:val="Figure"/>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ed9ff557-19be-4910-8746-9fcb465c35b3" w:name="analyse-sca-representation_regions_grille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d9ff557-19be-4910-8746-9fcb465c35b3"/>
      <w:r>
        <w:rPr>
          <w:rFonts/>
          <w:b w:val="true"/>
        </w:rPr>
        <w:t xml:space="preserve">: </w:t>
      </w:r>
      <w:r>
        <w:t xml:space="preserve">Catégorisation du FCS par région selon le seuil 21/35</w:t>
      </w:r>
    </w:p>
    <w:p>
      <w:pPr>
        <w:jc w:val="center"/>
        <w:pStyle w:val="Figure"/>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12ec9593-0852-4af3-ad26-ec7f58c79243" w:name="analyse-sca-representation_regions_grille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2ec9593-0852-4af3-ad26-ec7f58c79243"/>
      <w:r>
        <w:rPr>
          <w:rFonts/>
          <w:b w:val="true"/>
        </w:rPr>
        <w:t xml:space="preserve">: </w:t>
      </w:r>
      <w:r>
        <w:t xml:space="preserve">Catégorisation du FCS par région selon le seuil 28/42</w:t>
      </w:r>
    </w:p>
    <w:p>
      <w:pPr>
        <w:pStyle w:val="BodyText"/>
      </w:pPr>
      <w:r>
        <w:t xml:space="preserve">Catégorisons maintenant les départements en fonction de leurs moyennes FCS suivant les deux seuils. Pour ce faire, nous allons créer une nouvelle base de données</w:t>
      </w:r>
      <w:r>
        <w:t xml:space="preserve"> </w:t>
      </w:r>
      <w:r>
        <w:t xml:space="preserve">“</w:t>
      </w:r>
      <w:r>
        <w:t xml:space="preserve">départementale</w:t>
      </w:r>
      <w:r>
        <w:t xml:space="preserve">”</w:t>
      </w:r>
      <w:r>
        <w:t xml:space="preserve"> </w:t>
      </w:r>
      <w:r>
        <w:t xml:space="preserve">et procéder aux représentations.</w:t>
      </w:r>
    </w:p>
    <w:p>
      <w:pPr>
        <w:jc w:val="center"/>
        <w:pStyle w:val="Figure"/>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5c014971-d188-40fb-80c4-6d99157e9884" w:name="analyse-sca-representation_departement_grille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c014971-d188-40fb-80c4-6d99157e9884"/>
      <w:r>
        <w:rPr>
          <w:rFonts/>
          <w:b w:val="true"/>
        </w:rPr>
        <w:t xml:space="preserve">: </w:t>
      </w:r>
      <w:r>
        <w:t xml:space="preserve">Catégorisation du FCS par département selon le seuil 21/35</w:t>
      </w:r>
    </w:p>
    <w:p>
      <w:pPr>
        <w:jc w:val="center"/>
        <w:pStyle w:val="Figure"/>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e0d120ed-9a99-42da-b750-cc0fc3f327ee" w:name="analyse-sca-representation_departement_grille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0d120ed-9a99-42da-b750-cc0fc3f327ee"/>
      <w:r>
        <w:rPr>
          <w:rFonts/>
          <w:b w:val="true"/>
        </w:rPr>
        <w:t xml:space="preserve">: </w:t>
      </w:r>
      <w:r>
        <w:t xml:space="preserve">Catégorisation du FCS par département selon le seuil 28/42</w:t>
      </w:r>
    </w:p>
    <w:bookmarkEnd w:id="41"/>
    <w:bookmarkEnd w:id="42"/>
    <w:bookmarkStart w:id="47" w:name="X6a364015f8ddad6cca8e03528131f99f6a7f581"/>
    <w:p>
      <w:pPr>
        <w:pStyle w:val="Titre2"/>
      </w:pPr>
      <w:r>
        <w:t xml:space="preserve">4. L’indice réduit des stratégies de survie (rCSI)</w:t>
      </w:r>
    </w:p>
    <w:p>
      <w:pPr>
        <w:pStyle w:val="FirstParagraph"/>
      </w:pPr>
      <w:r>
        <w:t xml:space="preserve">L’indice réduit des stratégies de survie (rCSI) est un indicateur clé pour évaluer le niveau de stress d’un ménage face à une pénurie alimentaire. Il mesure les comportements d’adaptation que les ménages adoptent lorsqu’ils n’ont pas accès à suffisamment de nourriture ou lorsqu’ils anticipent une diminution de leur sécurité alimentaire.</w:t>
      </w:r>
    </w:p>
    <w:bookmarkStart w:id="43" w:name="X8024b8620b15966fa7f18ad0907cbbfc6a04eac"/>
    <w:p>
      <w:pPr>
        <w:pStyle w:val="Titre3"/>
      </w:pPr>
      <w:r>
        <w:t xml:space="preserve">a. Analyse descriptive des variables composant le RCSI</w:t>
      </w:r>
    </w:p>
    <w:p>
      <w:pPr>
        <w:pStyle w:val="FirstParagraph"/>
      </w:pPr>
      <w:r>
        <w:t xml:space="preserve">Commençons par examiner les variables qui composent l’indice RCSI dans notre jeu de données.</w:t>
      </w:r>
    </w:p>
    <w:p>
      <w:pPr>
        <w:pStyle w:val="BodyText"/>
      </w:pPr>
      <w:r>
        <w:t xml:space="preserve">Les variables composant le RCSI sont : r_csi_less_qlty, r_csi_borrow, r_csi_meal_size, r_csi_meal_adult, r_csi_meal_nb</w:t>
      </w:r>
    </w:p>
    <w:bookmarkEnd w:id="43"/>
    <w:bookmarkStart w:id="44" w:name="b.-calcul-du-score-rcsi"/>
    <w:p>
      <w:pPr>
        <w:pStyle w:val="Titre3"/>
      </w:pPr>
      <w:r>
        <w:t xml:space="preserve">b. Calcul du score RCSI</w:t>
      </w:r>
    </w:p>
    <w:p>
      <w:pPr>
        <w:pStyle w:val="FirstParagraph"/>
      </w:pPr>
      <w:r>
        <w:t xml:space="preserve">Voici la formule de calcul de l’indicateur :</w:t>
      </w:r>
    </w:p>
    <w:p>
      <w:pPr>
        <w:pStyle w:val="BodyText"/>
      </w:pPr>
      <m:oMathPara>
        <m:oMathParaPr>
          <m:jc m:val="center"/>
        </m:oMathParaPr>
        <m:oMath>
          <m:r>
            <m:t>r</m:t>
          </m:r>
          <m:r>
            <m:t>C</m:t>
          </m:r>
          <m:r>
            <m:t>S</m:t>
          </m:r>
          <m:r>
            <m:t>I</m:t>
          </m:r>
          <m:r>
            <m:rPr>
              <m:sty m:val="p"/>
            </m:rPr>
            <m:t>=</m:t>
          </m:r>
          <m:d>
            <m:dPr>
              <m:begChr m:val="("/>
              <m:endChr m:val=")"/>
              <m:sepChr m:val=""/>
              <m:grow/>
            </m:dPr>
            <m:e>
              <m:r>
                <m:t>r</m:t>
              </m:r>
              <m:r>
                <m:rPr>
                  <m:sty m:val="p"/>
                </m:rPr>
                <m:t>_</m:t>
              </m:r>
              <m:r>
                <m:t>c</m:t>
              </m:r>
              <m:r>
                <m:t>s</m:t>
              </m:r>
              <m:r>
                <m:t>i</m:t>
              </m:r>
              <m:r>
                <m:rPr>
                  <m:sty m:val="p"/>
                </m:rPr>
                <m:t>_</m:t>
              </m:r>
              <m:r>
                <m:t>l</m:t>
              </m:r>
              <m:r>
                <m:t>e</m:t>
              </m:r>
              <m:r>
                <m:t>s</m:t>
              </m:r>
              <m:r>
                <m:t>s</m:t>
              </m:r>
              <m:r>
                <m:rPr>
                  <m:sty m:val="p"/>
                </m:rPr>
                <m:t>_</m:t>
              </m:r>
              <m:r>
                <m:t>q</m:t>
              </m:r>
              <m:r>
                <m:t>l</m:t>
              </m:r>
              <m:r>
                <m:t>t</m:t>
              </m:r>
              <m:r>
                <m:t>y</m:t>
              </m:r>
              <m:r>
                <m:rPr>
                  <m:sty m:val="p"/>
                </m:rPr>
                <m:t>×</m:t>
              </m:r>
              <m:r>
                <m:t>1</m:t>
              </m:r>
            </m:e>
          </m:d>
          <m:r>
            <m:rPr>
              <m:sty m:val="p"/>
            </m:rPr>
            <m:t>+</m:t>
          </m:r>
          <m:d>
            <m:dPr>
              <m:begChr m:val="("/>
              <m:endChr m:val=")"/>
              <m:sepChr m:val=""/>
              <m:grow/>
            </m:dPr>
            <m:e>
              <m:r>
                <m:t>r</m:t>
              </m:r>
              <m:r>
                <m:rPr>
                  <m:sty m:val="p"/>
                </m:rPr>
                <m:t>_</m:t>
              </m:r>
              <m:r>
                <m:t>c</m:t>
              </m:r>
              <m:r>
                <m:t>s</m:t>
              </m:r>
              <m:r>
                <m:t>i</m:t>
              </m:r>
              <m:r>
                <m:rPr>
                  <m:sty m:val="p"/>
                </m:rPr>
                <m:t>_</m:t>
              </m:r>
              <m:r>
                <m:t>b</m:t>
              </m:r>
              <m:r>
                <m:t>o</m:t>
              </m:r>
              <m:r>
                <m:t>r</m:t>
              </m:r>
              <m:r>
                <m:t>r</m:t>
              </m:r>
              <m:r>
                <m:t>o</m:t>
              </m:r>
              <m:r>
                <m:t>w</m:t>
              </m:r>
              <m:r>
                <m:rPr>
                  <m:sty m:val="p"/>
                </m:rPr>
                <m:t>×</m:t>
              </m:r>
              <m:r>
                <m:t>2</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s</m:t>
              </m:r>
              <m:r>
                <m:t>i</m:t>
              </m:r>
              <m:r>
                <m:t>z</m:t>
              </m:r>
              <m:r>
                <m:t>e</m:t>
              </m:r>
              <m:r>
                <m:rPr>
                  <m:sty m:val="p"/>
                </m:rPr>
                <m:t>×</m:t>
              </m:r>
              <m:r>
                <m:t>1</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a</m:t>
              </m:r>
              <m:r>
                <m:t>d</m:t>
              </m:r>
              <m:r>
                <m:t>u</m:t>
              </m:r>
              <m:r>
                <m:t>l</m:t>
              </m:r>
              <m:r>
                <m:t>t</m:t>
              </m:r>
              <m:r>
                <m:rPr>
                  <m:sty m:val="p"/>
                </m:rPr>
                <m:t>×</m:t>
              </m:r>
              <m:r>
                <m:t>3</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n</m:t>
              </m:r>
              <m:r>
                <m:t>b</m:t>
              </m:r>
              <m:r>
                <m:rPr>
                  <m:sty m:val="p"/>
                </m:rPr>
                <m:t>×</m:t>
              </m:r>
              <m:r>
                <m:t>1</m:t>
              </m:r>
            </m:e>
          </m:d>
        </m:oMath>
      </m:oMathPara>
    </w:p>
    <w:bookmarkEnd w:id="44"/>
    <w:bookmarkStart w:id="45" w:name="c.-table"/>
    <w:p>
      <w:pPr>
        <w:pStyle w:val="Titre3"/>
      </w:pPr>
      <w:r>
        <w:t xml:space="preserve">c. Table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Poids pour le calcul du RCSI</w:t>
      </w:r>
    </w:p>
    <w:tbl xmlns:w14="http://schemas.microsoft.com/office/word/2010/wordml">
      <w:tblPr>
        <w:tblLayout w:type="fixed"/>
        <w:jc w:val="center"/>
        <w:tblLook w:firstRow="1" w:lastRow="0" w:firstColumn="0" w:lastColumn="0" w:noHBand="0" w:noVBand="1"/>
      </w:tblPr>
      <w:tblGrid>
        <w:gridCol w:w="7203"/>
        <w:gridCol w:w="154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Stratégie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Poids RCSI</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Consommer des aliments moins préférés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Emprunter de la nourriture ou de l'argent pour acheter de la nourriture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la taille des repas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la consommation des adultes pour les enfants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w:t>
            </w:r>
          </w:p>
        </w:tc>
      </w:tr>
      <w:tr>
        <w:trPr>
          <w:trHeight w:val="615"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le nombre de repas par jour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bl>
    <w:p>
      <w:pPr>
        <w:pStyle w:val="FirstParagraph"/>
      </w:pPr>
      <w:r>
        <w:t xml:space="preserve">Le tableau ci-dessus présente les poids standards attribués à chaque stratégie d’adaptation pour le calcul de l’indice RCSI. La somme totale des poids est de 8, ce qui signifie que le score maximal théorique serait de 56 (si toutes les stratégies étaient utilisées tous les jours de la semaine).</w:t>
      </w:r>
    </w:p>
    <w:bookmarkEnd w:id="45"/>
    <w:bookmarkStart w:id="46" w:name="X12ff2740b1bfd5897c6f25de061eeb6a6b7d02b"/>
    <w:p>
      <w:pPr>
        <w:pStyle w:val="Titre3"/>
      </w:pPr>
      <w:r>
        <w:t xml:space="preserve">d. Représentation spatiale du RCSI par région et département</w:t>
      </w:r>
    </w:p>
    <w:p>
      <w:pPr>
        <w:pStyle w:val="FirstParagraph"/>
      </w:pPr>
      <w:r>
        <w:t xml:space="preserve">Analysons maintenant la distribution spatiale de l’indice RCSI au niveau des régions et départements du Tchad (moyenne).</w:t>
      </w:r>
    </w:p>
    <w:p>
      <w:pPr>
        <w:jc w:val="center"/>
        <w:pStyle w:val="Figure"/>
      </w:pPr>
      <w:r>
        <w:rPr/>
        <w:drawing>
          <wp:inline distT="0" distB="0" distL="0" distR="0">
            <wp:extent cx="4572000"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92983dc2-bf5d-4124-a8e1-8702b377f9f2" w:name="representation-rcsi_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2983dc2-bf5d-4124-a8e1-8702b377f9f2"/>
      <w:r>
        <w:rPr>
          <w:rFonts/>
          <w:b w:val="true"/>
        </w:rPr>
        <w:t xml:space="preserve">: </w:t>
      </w:r>
      <w:r>
        <w:t xml:space="preserve">Distribution spatiale du rCSI par région (moyenne)</w:t>
      </w:r>
    </w:p>
    <w:p>
      <w:pPr>
        <w:jc w:val="center"/>
        <w:pStyle w:val="Figure"/>
      </w:pPr>
      <w:r>
        <w:rPr/>
        <w:drawing>
          <wp:inline distT="0" distB="0" distL="0" distR="0">
            <wp:extent cx="4572000"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c1674ed-1101-4b48-a5bd-adb547e0404d" w:name="representation-rcsi_de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c1674ed-1101-4b48-a5bd-adb547e0404d"/>
      <w:r>
        <w:rPr>
          <w:rFonts/>
          <w:b w:val="true"/>
        </w:rPr>
        <w:t xml:space="preserve">: </w:t>
      </w:r>
      <w:r>
        <w:t xml:space="preserve">Distribution spatiale du rCSI par département (moyenne)</w:t>
      </w:r>
    </w:p>
    <w:bookmarkEnd w:id="46"/>
    <w:bookmarkEnd w:id="47"/>
    <w:bookmarkStart w:id="51" w:name="X33a1165d97efc642e00c134c3d58785365995b5"/>
    <w:p>
      <w:pPr>
        <w:pStyle w:val="Titre2"/>
      </w:pPr>
      <w:r>
        <w:t xml:space="preserve">4. Stratégies d’adaptation aux moyens d’existence (LhCSI)</w:t>
      </w:r>
    </w:p>
    <w:bookmarkStart w:id="48" w:name="X6ee1ea8e0ec2bb0154832664c34528e41bd94dc"/>
    <w:p>
      <w:pPr>
        <w:pStyle w:val="Titre3"/>
      </w:pPr>
      <w:r>
        <w:t xml:space="preserve">a.Analyse descriptive des variables qui composent le LhCSI</w:t>
      </w:r>
    </w:p>
    <w:p>
      <w:pPr>
        <w:pStyle w:val="FirstParagraph"/>
      </w:pPr>
      <w:r>
        <w:t xml:space="preserve">Commençons par examiner les variables qui composent l’indice</w:t>
      </w:r>
      <w:r>
        <w:t xml:space="preserve"> </w:t>
      </w:r>
      <w:r>
        <w:rPr>
          <w:iCs/>
          <w:i/>
        </w:rPr>
        <w:t xml:space="preserve">Livelihood Coping Strategies Index</w:t>
      </w:r>
      <w:r>
        <w:t xml:space="preserve"> </w:t>
      </w:r>
      <w:r>
        <w:t xml:space="preserve">dans notre jeu de données.</w:t>
      </w:r>
    </w:p>
    <w:p>
      <w:pPr>
        <w:pStyle w:val="BodyText"/>
      </w:pPr>
      <w:r>
        <w:t xml:space="preserve">Les variables d’intéret sont : lh_csi_stress1, lh_csi_stress2, lh_csi_stress3, lh_csi_stress4, lh_csi_crisis1, lh_csi_crisis2, lh_csi_crisis3, lh_csi_emergency1, lh_csi_emergency2, lh_csi_emergency3.</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Tableau descriptif des variables LhCSI</w:t>
      </w:r>
    </w:p>
    <w:tbl xmlns:w14="http://schemas.microsoft.com/office/word/2010/wordml">
      <w:tblPr>
        <w:tblLayout w:type="fixed"/>
        <w:jc w:val="center"/>
        <w:tblLook w:firstRow="1" w:lastRow="0" w:firstColumn="0" w:lastColumn="0" w:noHBand="0" w:noVBand="1"/>
      </w:tblPr>
      <w:tblGrid>
        <w:gridCol w:w="2306"/>
        <w:gridCol w:w="5865"/>
      </w:tblGrid>
      <w:tr>
        <w:trPr>
          <w:trHeight w:val="61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Description</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Dépenses alimentaires réduites</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Utilisation d’épargne pour acheter de la nourriture</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Achat de nourriture à crédit ou emprunt</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Réduction des portions des adultes pour les enfants</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lh_csi_crisis1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Vente de biens non productifs (ex. bijoux, meubles)</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lh_csi_crisis2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Réduction des dépenses essentielles (santé, éducation)</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lh_csi_crisis3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Aide financière extérieure ou dette importante</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lh_csi_emergency1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Vente d'actifs productifs (terre, bétail, outils)</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lh_csi_emergency2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Migration d’un membre pour travail alimentaire</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lh_csi_emergency3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Exploitation illégale ou dangereuse pour la survie</w:t>
            </w:r>
          </w:p>
        </w:tc>
      </w:tr>
    </w:tbl>
    <w:bookmarkEnd w:id="48"/>
    <w:bookmarkStart w:id="49" w:name="Xf8daf73e8acb4d36ff1d6ec19779f8380601a30"/>
    <w:p>
      <w:pPr>
        <w:pStyle w:val="Titre3"/>
      </w:pPr>
      <w:r>
        <w:t xml:space="preserve">b. Calcul des proportions de menage en situation de stress, de crise et d’urgence en 2022 et 2023</w:t>
      </w:r>
    </w:p>
    <w:p>
      <w:pPr>
        <w:pStyle w:val="FirstParagraph"/>
      </w:pPr>
      <w:r>
        <w:t xml:space="preserve">Voici les formules de calculs :</w:t>
      </w:r>
    </w:p>
    <w:p>
      <w:pPr>
        <w:pStyle w:val="BodyText"/>
      </w:pPr>
      <m:oMathPara>
        <m:oMathParaPr>
          <m:jc m:val="center"/>
        </m:oMathParaPr>
        <m:oMath>
          <m:r>
            <m:rPr>
              <m:nor/>
              <m:sty m:val="p"/>
            </m:rPr>
            <m:t>Prop_Stress</m:t>
          </m:r>
          <m:r>
            <m:rPr>
              <m:sty m:val="p"/>
            </m:rPr>
            <m:t>=</m:t>
          </m:r>
          <m:f>
            <m:fPr>
              <m:type m:val="bar"/>
            </m:fPr>
            <m:num>
              <m:r>
                <m:rPr>
                  <m:nor/>
                  <m:sty m:val="p"/>
                </m:rPr>
                <m:t>Nombre de ménages ayant utilisé au moins une stratégie de stress (== 3)</m:t>
              </m:r>
            </m:num>
            <m:den>
              <m:r>
                <m:rPr>
                  <m:nor/>
                  <m:sty m:val="p"/>
                </m:rPr>
                <m:t>Nombre total de ménages</m:t>
              </m:r>
            </m:den>
          </m:f>
        </m:oMath>
      </m:oMathPara>
    </w:p>
    <w:p>
      <w:pPr>
        <w:pStyle w:val="FirstParagraph"/>
      </w:pPr>
      <m:oMathPara>
        <m:oMathParaPr>
          <m:jc m:val="center"/>
        </m:oMathParaPr>
        <m:oMath>
          <m:r>
            <m:rPr>
              <m:nor/>
              <m:sty m:val="p"/>
            </m:rPr>
            <m:t>Prop_Crise</m:t>
          </m:r>
          <m:r>
            <m:rPr>
              <m:sty m:val="p"/>
            </m:rPr>
            <m:t>=</m:t>
          </m:r>
          <m:f>
            <m:fPr>
              <m:type m:val="bar"/>
            </m:fPr>
            <m:num>
              <m:r>
                <m:rPr>
                  <m:nor/>
                  <m:sty m:val="p"/>
                </m:rPr>
                <m:t>Nombre de ménages ayant utilisé au moins une stratégie de crise (== 3)</m:t>
              </m:r>
            </m:num>
            <m:den>
              <m:r>
                <m:rPr>
                  <m:nor/>
                  <m:sty m:val="p"/>
                </m:rPr>
                <m:t>Nombre total de ménages</m:t>
              </m:r>
            </m:den>
          </m:f>
        </m:oMath>
      </m:oMathPara>
    </w:p>
    <w:p>
      <w:pPr>
        <w:pStyle w:val="FirstParagraph"/>
      </w:pPr>
      <m:oMathPara>
        <m:oMathParaPr>
          <m:jc m:val="center"/>
        </m:oMathParaPr>
        <m:oMath>
          <m:r>
            <m:rPr>
              <m:nor/>
              <m:sty m:val="p"/>
            </m:rPr>
            <m:t>Prop_Urgence</m:t>
          </m:r>
          <m:r>
            <m:rPr>
              <m:sty m:val="p"/>
            </m:rPr>
            <m:t>=</m:t>
          </m:r>
          <m:f>
            <m:fPr>
              <m:type m:val="bar"/>
            </m:fPr>
            <m:num>
              <m:r>
                <m:rPr>
                  <m:nor/>
                  <m:sty m:val="p"/>
                </m:rPr>
                <m:t>Nombre de ménages ayant utilisé au moins une stratégie d’urgence (== 3)</m:t>
              </m:r>
            </m:num>
            <m:den>
              <m:r>
                <m:rPr>
                  <m:nor/>
                  <m:sty m:val="p"/>
                </m:rPr>
                <m:t>Nombre total de ménages</m:t>
              </m:r>
            </m:den>
          </m:f>
        </m:oMath>
      </m:oMathPara>
    </w:p>
    <w:p>
      <w:pPr>
        <w:pStyle w:val="FirstParagraph"/>
      </w:pPr>
      <w:r>
        <w:t xml:space="preserve">En 2022, la proportion de ménages en situation de stress est de 34.2, NA %, en situation de crise 6.1, NA %,</w:t>
      </w:r>
      <w:r>
        <w:t xml:space="preserve"> </w:t>
      </w:r>
      <w:r>
        <w:t xml:space="preserve">et en urgence 5.3, NA %.</w:t>
      </w:r>
    </w:p>
    <w:p>
      <w:pPr>
        <w:pStyle w:val="BodyText"/>
      </w:pPr>
      <w:r>
        <w:t xml:space="preserve">En 2023, ces proportions sont respectivement de 17.8, NA %, 4.2, NA %, et 4.9, NA %.</w:t>
      </w:r>
    </w:p>
    <w:bookmarkEnd w:id="49"/>
    <w:bookmarkStart w:id="50" w:name="X48664b6af3e2d21ee4e5e1c2981a331d0d57879"/>
    <w:p>
      <w:pPr>
        <w:pStyle w:val="Titre3"/>
      </w:pPr>
      <w:r>
        <w:t xml:space="preserve">c. Représentation spatiale (region et departement) des strategies d’adaptation par année</w:t>
      </w:r>
    </w:p>
    <w:p>
      <w:pPr>
        <w:pStyle w:val="FirstParagraph"/>
      </w:pPr>
      <w:r>
        <w:rPr>
          <w:iCs/>
          <w:i/>
        </w:rPr>
        <w:t xml:space="preserve">Représentation régionale des strategies d’adaptation par année</w:t>
      </w:r>
    </w:p>
    <w:p>
      <w:pPr>
        <w:numPr>
          <w:ilvl w:val="0"/>
          <w:numId w:val="1003"/>
        </w:numPr>
        <w:pStyle w:val="Compact"/>
      </w:pPr>
      <w:r>
        <w:t xml:space="preserve">Stress + région</w:t>
      </w:r>
    </w:p>
    <w:p>
      <w:pPr>
        <w:jc w:val="center"/>
        <w:pStyle w:val="Figure"/>
      </w:pPr>
      <w:r>
        <w:rPr/>
        <w:drawing>
          <wp:inline distT="0" distB="0" distL="0" distR="0">
            <wp:extent cx="4572000"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e4f93325-a5ea-43d7-98ae-3a9b4a6e9ce4" w:name="representation_lhcsi_re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4f93325-a5ea-43d7-98ae-3a9b4a6e9ce4"/>
      <w:r>
        <w:rPr>
          <w:rFonts/>
          <w:b w:val="true"/>
        </w:rPr>
        <w:t xml:space="preserve">: </w:t>
      </w:r>
      <w:r>
        <w:t xml:space="preserve">Proportion de ménages en situation de stress par région</w:t>
      </w:r>
    </w:p>
    <w:p>
      <w:pPr>
        <w:numPr>
          <w:ilvl w:val="0"/>
          <w:numId w:val="1004"/>
        </w:numPr>
        <w:pStyle w:val="Compact"/>
      </w:pPr>
      <w:r>
        <w:t xml:space="preserve">Crise + region</w:t>
      </w:r>
    </w:p>
    <w:p>
      <w:pPr>
        <w:jc w:val="center"/>
        <w:pStyle w:val="Figure"/>
      </w:pPr>
      <w:r>
        <w:rPr/>
        <w:drawing>
          <wp:inline distT="0" distB="0" distL="0" distR="0">
            <wp:extent cx="4572000"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9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558cc8c3-31a0-4d2e-80be-fdbb6ff47dc1" w:name="representation_lhcsi_reg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58cc8c3-31a0-4d2e-80be-fdbb6ff47dc1"/>
      <w:r>
        <w:rPr>
          <w:rFonts/>
          <w:b w:val="true"/>
        </w:rPr>
        <w:t xml:space="preserve">: </w:t>
      </w:r>
      <w:r>
        <w:t xml:space="preserve">Proportion de ménages en situation de crise par région</w:t>
      </w:r>
    </w:p>
    <w:p>
      <w:pPr>
        <w:numPr>
          <w:ilvl w:val="0"/>
          <w:numId w:val="1005"/>
        </w:numPr>
        <w:pStyle w:val="Compact"/>
      </w:pPr>
      <w:r>
        <w:t xml:space="preserve">Urgence + region</w:t>
      </w:r>
    </w:p>
    <w:p>
      <w:pPr>
        <w:jc w:val="center"/>
        <w:pStyle w:val="Figure"/>
      </w:pPr>
      <w:r>
        <w:rPr/>
        <w:drawing>
          <wp:inline distT="0" distB="0" distL="0" distR="0">
            <wp:extent cx="4572000" cy="36576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9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8f84a50b-ea9d-4143-90c8-f16935a4e8b0" w:name="representation_lhcsi_reg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f84a50b-ea9d-4143-90c8-f16935a4e8b0"/>
      <w:r>
        <w:rPr>
          <w:rFonts/>
          <w:b w:val="true"/>
        </w:rPr>
        <w:t xml:space="preserve">: </w:t>
      </w:r>
      <w:r>
        <w:t xml:space="preserve">Proportion de ménages en situation d’urgence par région</w:t>
      </w:r>
    </w:p>
    <w:p>
      <w:pPr>
        <w:pStyle w:val="BodyText"/>
      </w:pPr>
      <w:r>
        <w:rPr>
          <w:iCs/>
          <w:i/>
        </w:rPr>
        <w:t xml:space="preserve">Représentation spatiale départementale des strategies d’adaptation par année</w:t>
      </w:r>
    </w:p>
    <w:p>
      <w:pPr>
        <w:numPr>
          <w:ilvl w:val="0"/>
          <w:numId w:val="1006"/>
        </w:numPr>
        <w:pStyle w:val="Compact"/>
      </w:pPr>
      <w:r>
        <w:t xml:space="preserve">Stress + Département</w:t>
      </w:r>
    </w:p>
    <w:p>
      <w:pPr>
        <w:jc w:val="center"/>
        <w:pStyle w:val="Figure"/>
      </w:pPr>
      <w:r>
        <w:rPr/>
        <w:drawing>
          <wp:inline distT="0" distB="0" distL="0" distR="0">
            <wp:extent cx="4572000" cy="36576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9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d191f646-1a7d-4b69-a2b2-2255278487e2" w:name="representation_lhcsi_dep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191f646-1a7d-4b69-a2b2-2255278487e2"/>
      <w:r>
        <w:rPr>
          <w:rFonts/>
          <w:b w:val="true"/>
        </w:rPr>
        <w:t xml:space="preserve">: </w:t>
      </w:r>
      <w:r>
        <w:t xml:space="preserve">Proportion de ménages en situation de stress par département</w:t>
      </w:r>
    </w:p>
    <w:p>
      <w:pPr>
        <w:numPr>
          <w:ilvl w:val="0"/>
          <w:numId w:val="1007"/>
        </w:numPr>
        <w:pStyle w:val="Compact"/>
      </w:pPr>
      <w:r>
        <w:t xml:space="preserve">Crise + Département</w:t>
      </w:r>
    </w:p>
    <w:p>
      <w:pPr>
        <w:jc w:val="center"/>
        <w:pStyle w:val="Figure"/>
      </w:pPr>
      <w:r>
        <w:rPr/>
        <w:drawing>
          <wp:inline distT="0" distB="0" distL="0" distR="0">
            <wp:extent cx="4572000" cy="36576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cstate="print" r:embed="rId9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85410154-496d-4b6d-b454-1b2e5b0084c1" w:name="representation_lhcsi_dep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5410154-496d-4b6d-b454-1b2e5b0084c1"/>
      <w:r>
        <w:rPr>
          <w:rFonts/>
          <w:b w:val="true"/>
        </w:rPr>
        <w:t xml:space="preserve">: </w:t>
      </w:r>
      <w:r>
        <w:t xml:space="preserve">Proportion de ménages en situation de crise par département</w:t>
      </w:r>
    </w:p>
    <w:p>
      <w:pPr>
        <w:numPr>
          <w:ilvl w:val="0"/>
          <w:numId w:val="1008"/>
        </w:numPr>
        <w:pStyle w:val="Compact"/>
      </w:pPr>
      <w:r>
        <w:t xml:space="preserve">Urgence + Département</w:t>
      </w:r>
    </w:p>
    <w:p>
      <w:pPr>
        <w:jc w:val="center"/>
        <w:pStyle w:val="Figure"/>
      </w:pPr>
      <w:r>
        <w:rPr/>
        <w:drawing>
          <wp:inline distT="0" distB="0" distL="0" distR="0">
            <wp:extent cx="4572000" cy="3657600"/>
            <wp:docPr id="35" name="" descr=""/>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cstate="print" r:embed="rId9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647fb14c-7253-4588-a743-a768d16a3252" w:name="representation_lhcsi_dep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47fb14c-7253-4588-a743-a768d16a3252"/>
      <w:r>
        <w:rPr>
          <w:rFonts/>
          <w:b w:val="true"/>
        </w:rPr>
        <w:t xml:space="preserve">: </w:t>
      </w:r>
      <w:r>
        <w:t xml:space="preserve">Proportion de ménages en situation d’urgence par département</w:t>
      </w:r>
    </w:p>
    <w:bookmarkEnd w:id="50"/>
    <w:bookmarkEnd w:id="51"/>
    <w:bookmarkStart w:id="55" w:name="score-de-diversité-alimentaire"/>
    <w:p>
      <w:pPr>
        <w:pStyle w:val="Titre2"/>
      </w:pPr>
      <w:r>
        <w:t xml:space="preserve">5. Score de diversité alimentaire</w:t>
      </w:r>
    </w:p>
    <w:bookmarkStart w:id="52" w:name="X2053310767cd3f407ea093eac92dcc5fec0e847"/>
    <w:p>
      <w:pPr>
        <w:pStyle w:val="Titre3"/>
      </w:pPr>
      <w:r>
        <w:t xml:space="preserve">a. Analyse descriptive des variables qui composent le module HDDS</w:t>
      </w:r>
    </w:p>
    <w:p>
      <w:pPr>
        <w:pStyle w:val="FirstParagraph"/>
      </w:pPr>
      <w:r>
        <w:t xml:space="preserve">Les variables retenus sont hdds_ch, hdds_stap_cer, hdds_stap_root, hdds_pulse, hdds_veg_org, hdds_veg_gre, hdds_veg_oth, hdds_fruit_org, hdds_fruit_oth, hdds_pr_meat_f, hdds_pr_meat_o, hdds_pr_fish, hdds_pr_egg, hdds_dairy, hdds_sugar, hdds_fat, hdds_cond, hdds_pr_meat.</w:t>
      </w:r>
    </w:p>
    <w:bookmarkEnd w:id="52"/>
    <w:bookmarkStart w:id="53" w:name="X07e6598e9098c40cddad44fbcf9da56d8eb33ff"/>
    <w:p>
      <w:pPr>
        <w:pStyle w:val="Titre3"/>
      </w:pPr>
      <w:r>
        <w:t xml:space="preserve">b. Calculer le score de diversité alimentaire des ménages</w:t>
      </w:r>
    </w:p>
    <w:bookmarkEnd w:id="53"/>
    <w:bookmarkStart w:id="54" w:name="X7979e0e06801749089cc5382e0b0b453b59e409"/>
    <w:p>
      <w:pPr>
        <w:pStyle w:val="Titre3"/>
      </w:pPr>
      <w:r>
        <w:t xml:space="preserve">c. Faites une representation spatiale (region et departement) du score de diversité alimentaire</w:t>
      </w:r>
    </w:p>
    <w:p>
      <w:pPr>
        <w:jc w:val="center"/>
        <w:pStyle w:val="Figure"/>
      </w:pPr>
      <w:r>
        <w:rPr/>
        <w:drawing>
          <wp:inline distT="0" distB="0" distL="0" distR="0">
            <wp:extent cx="4572000" cy="3657600"/>
            <wp:docPr id="37" name="" descr=""/>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cstate="print" r:embed="rId10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d495a175-321c-41ea-aa96-2f867e2cfb41" w:name="representation_hdds_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495a175-321c-41ea-aa96-2f867e2cfb41"/>
      <w:r>
        <w:rPr>
          <w:rFonts/>
          <w:b w:val="true"/>
        </w:rPr>
        <w:t xml:space="preserve">: </w:t>
      </w:r>
      <w:r>
        <w:t xml:space="preserve">Score de diversité alimentaire par région</w:t>
      </w:r>
    </w:p>
    <w:p>
      <w:pPr>
        <w:jc w:val="center"/>
        <w:pStyle w:val="Figure"/>
      </w:pPr>
      <w:r>
        <w:rPr/>
        <w:drawing>
          <wp:inline distT="0" distB="0" distL="0" distR="0">
            <wp:extent cx="4572000" cy="3657600"/>
            <wp:docPr id="39" name="" descr=""/>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cstate="print" r:embed="rId10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974c8e06-5a58-4687-9bc0-0ac5a7b8eb49" w:name="representation_hdds_de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74c8e06-5a58-4687-9bc0-0ac5a7b8eb49"/>
      <w:r>
        <w:rPr>
          <w:rFonts/>
          <w:b w:val="true"/>
        </w:rPr>
        <w:t xml:space="preserve">: </w:t>
      </w:r>
      <w:r>
        <w:t xml:space="preserve">Score de diversité alimentaire par département</w:t>
      </w:r>
    </w:p>
    <w:bookmarkEnd w:id="54"/>
    <w:bookmarkEnd w:id="55"/>
    <w:bookmarkStart w:id="59" w:name="score-de-résilience-auto-évaluée-sers"/>
    <w:p>
      <w:pPr>
        <w:pStyle w:val="Titre2"/>
      </w:pPr>
      <w:r>
        <w:t xml:space="preserve">6. Score de résilience auto-évaluée (SERS)</w:t>
      </w:r>
    </w:p>
    <w:bookmarkStart w:id="56" w:name="X19fbd2ee5d7c45cefe4f3fec56ac40104305d06"/>
    <w:p>
      <w:pPr>
        <w:pStyle w:val="Titre3"/>
      </w:pPr>
      <w:r>
        <w:t xml:space="preserve">a. Analyse descriptive des variables qui composent le module SERS</w:t>
      </w:r>
    </w:p>
    <w:p>
      <w:pPr>
        <w:pStyle w:val="FirstParagraph"/>
      </w:pPr>
      <w:r>
        <w:t xml:space="preserve">Les variables retenus sont sers_rebondir, sers_revenue, sers_moyen, sers_difficultes, sers_survivre, sers_fam_amis, sers_politiciens, sers_lecons, sers_preparer_future, sers_avertissement_even.</w:t>
      </w:r>
    </w:p>
    <w:bookmarkEnd w:id="56"/>
    <w:bookmarkStart w:id="57" w:name="b.-calcul-du-score-sers"/>
    <w:p>
      <w:pPr>
        <w:pStyle w:val="Titre3"/>
      </w:pPr>
      <w:r>
        <w:t xml:space="preserve">b. Calcul du score SERS</w:t>
      </w:r>
    </w:p>
    <w:bookmarkEnd w:id="57"/>
    <w:bookmarkStart w:id="58" w:name="c.-représentations-spatiales"/>
    <w:p>
      <w:pPr>
        <w:pStyle w:val="Titre3"/>
      </w:pPr>
      <w:r>
        <w:t xml:space="preserve">c. Représentations spatiales</w:t>
      </w:r>
    </w:p>
    <w:p>
      <w:pPr>
        <w:jc w:val="center"/>
        <w:pStyle w:val="Figure"/>
      </w:pPr>
      <w:r>
        <w:rPr/>
        <w:drawing>
          <wp:inline distT="0" distB="0" distL="0" distR="0">
            <wp:extent cx="4572000" cy="3657600"/>
            <wp:docPr id="41" name="" descr=""/>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cstate="print" r:embed="rId10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bec28e8a-378f-413a-bf56-e427db30a826" w:name="representation_sers_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ec28e8a-378f-413a-bf56-e427db30a826"/>
      <w:r>
        <w:rPr>
          <w:rFonts/>
          <w:b w:val="true"/>
        </w:rPr>
        <w:t xml:space="preserve">: </w:t>
      </w:r>
      <w:r>
        <w:t xml:space="preserve">Score de résilience auto-évaluée (SERS) par région catégorisé</w:t>
      </w:r>
    </w:p>
    <w:p>
      <w:pPr>
        <w:jc w:val="center"/>
        <w:pStyle w:val="Figure"/>
      </w:pPr>
      <w:r>
        <w:rPr/>
        <w:drawing>
          <wp:inline distT="0" distB="0" distL="0" distR="0">
            <wp:extent cx="4572000" cy="3657600"/>
            <wp:docPr id="43" name="" descr=""/>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cstate="print" r:embed="rId10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37295e8e-0bb3-426f-b4f0-e2ec5ffa7130" w:name="representation_sers_de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7295e8e-0bb3-426f-b4f0-e2ec5ffa7130"/>
      <w:r>
        <w:rPr>
          <w:rFonts/>
          <w:b w:val="true"/>
        </w:rPr>
        <w:t xml:space="preserve">: </w:t>
      </w:r>
      <w:r>
        <w:t xml:space="preserve">Score de résilience auto-évaluée (SERS) par département catégorisé</w:t>
      </w:r>
    </w:p>
    <w:bookmarkEnd w:id="58"/>
    <w:bookmarkEnd w:id="59"/>
    <w:bookmarkStart w:id="64" w:name="Xe68221218a91fcc458e7ec437554bc4960635b6"/>
    <w:p>
      <w:pPr>
        <w:pStyle w:val="Titre2"/>
      </w:pPr>
      <w:r>
        <w:t xml:space="preserve">7. Régime alimentaire minimum acceptable (MAD)</w:t>
      </w:r>
    </w:p>
    <w:p>
      <w:pPr>
        <w:pStyle w:val="FirstParagraph"/>
      </w:pPr>
      <w:r>
        <w:t xml:space="preserve">Ici, nous étudions la proportion d’enfants âgés de 6 à 23 mois bénéficiant d’un régime alimentaire minimum acceptable.</w:t>
      </w:r>
    </w:p>
    <w:bookmarkStart w:id="60" w:name="X6b5f0fa5828ef6f3bc773e62125a24d7a1465f7"/>
    <w:p>
      <w:pPr>
        <w:pStyle w:val="Titre3"/>
      </w:pPr>
      <w:r>
        <w:t xml:space="preserve">a. Créer une variable qui renseigne le nombre de groupes d’aliments consommé par un enfant</w:t>
      </w:r>
    </w:p>
    <w:p>
      <w:pPr>
        <w:pStyle w:val="FirstParagraph"/>
      </w:pPr>
      <w:r>
        <w:t xml:space="preserve">Nous créons ici une nouvelle variable,</w:t>
      </w:r>
      <w:r>
        <w:t xml:space="preserve"> </w:t>
      </w:r>
      <w:r>
        <w:rPr>
          <w:rStyle w:val="VerbatimChar"/>
        </w:rPr>
        <w:t xml:space="preserve">nb_groupes_alim</w:t>
      </w:r>
      <w:r>
        <w:t xml:space="preserve">, qui comptabilise, pour chaque enfant, le</w:t>
      </w:r>
      <w:r>
        <w:t xml:space="preserve"> </w:t>
      </w:r>
      <w:r>
        <w:rPr>
          <w:bCs/>
          <w:b/>
        </w:rPr>
        <w:t xml:space="preserve">nombre de groupes d’aliments pour lesquels la réponse est</w:t>
      </w:r>
      <w:r>
        <w:rPr>
          <w:bCs/>
          <w:b/>
        </w:rPr>
        <w:t xml:space="preserve"> </w:t>
      </w:r>
      <w:r>
        <w:rPr>
          <w:bCs/>
          <w:b/>
        </w:rPr>
        <w:t xml:space="preserve">“</w:t>
      </w:r>
      <w:r>
        <w:rPr>
          <w:bCs/>
          <w:b/>
        </w:rPr>
        <w:t xml:space="preserve">Oui</w:t>
      </w:r>
      <w:r>
        <w:rPr>
          <w:bCs/>
          <w:b/>
        </w:rPr>
        <w:t xml:space="preserve">”</w:t>
      </w:r>
      <w:r>
        <w:t xml:space="preserve">.</w:t>
      </w:r>
    </w:p>
    <w:bookmarkEnd w:id="60"/>
    <w:bookmarkStart w:id="61" w:name="Xc8fd829d6e0d915a3fd77346ed999c2424d39c1"/>
    <w:p>
      <w:pPr>
        <w:pStyle w:val="Titre3"/>
      </w:pPr>
      <w:r>
        <w:t xml:space="preserve">b.Créer une variable DDM qui indique si l’enfant a consommé au moins cinq groupes d’aliments</w:t>
      </w:r>
    </w:p>
    <w:bookmarkEnd w:id="61"/>
    <w:bookmarkStart w:id="62" w:name="X47efb00a8c4e59d03153c82e801353d1f4fd62b"/>
    <w:p>
      <w:pPr>
        <w:pStyle w:val="Titre3"/>
      </w:pPr>
      <w:r>
        <w:t xml:space="preserve">c. Quelle est la proportion d’enfants âgés de 6 à 23 mois bénéficiant d’un régime alimentaire minimum acceptable</w:t>
      </w:r>
    </w:p>
    <w:p>
      <w:pPr>
        <w:pStyle w:val="FirstParagraph"/>
      </w:pPr>
      <w:r>
        <w:t xml:space="preserve">La proportion d’enfants âgés de 6 à 23 mois bénéficiant d’un régime alimentaire minimum acceptable est %.</w:t>
      </w:r>
    </w:p>
    <w:bookmarkEnd w:id="62"/>
    <w:bookmarkStart w:id="63" w:name="X81fde21d064091f3936aa11c095af1fbbe1f2ed"/>
    <w:p>
      <w:pPr>
        <w:pStyle w:val="Titre3"/>
      </w:pPr>
      <w:r>
        <w:t xml:space="preserve">d. Statistiques descriptives de cette variable suivant le sexe du chef de menage, l’année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Présence d'un régime MAD suivant l'année et le sexe du chef de ménage</w:t>
      </w:r>
    </w:p>
    <w:tbl xmlns:w14="http://schemas.microsoft.com/office/word/2010/wordml">
      <w:tblPr>
        <w:tblLayout w:type="autofit"/>
        <w:jc w:val="center"/>
        <w:tblW w:type="pct" w:w="0"/>
        <w:tblLook w:firstRow="1" w:lastRow="0" w:firstColumn="0" w:lastColumn="0" w:noHBand="0" w:noVBand="1"/>
      </w:tblPr>
      <w:tr>
        <w:trPr>
          <w:trHeight w:val="26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2022</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2023</w:t>
            </w:r>
          </w:p>
        </w:tc>
      </w:tr>
      <w:tr>
        <w:trPr>
          <w:trHeight w:val="398"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Femme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1,744</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Homme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1,642</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Femme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2,262</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Homme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3,431</w:t>
            </w:r>
            <w:r>
              <w:rPr>
                <w:rFonts w:ascii="Arial" w:hAnsi="Arial" w:eastAsia="Arial" w:cs="Arial"/>
                <w:i w:val="false"/>
                <w:b w:val="false"/>
                <w:u w:val="none"/>
                <w:vertAlign w:val="superscript"/>
                <w:sz w:val="16"/>
                <w:szCs w:val="16"/>
                <w:color w:val="000000"/>
              </w:rPr>
              <w:t xml:space="preserve">1</w:t>
            </w:r>
          </w:p>
        </w:tc>
      </w:tr>
      <w:tr>
        <w:trPr>
          <w:trHeight w:val="29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A un régime MAD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1,717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1,598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2,208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3,338 (97%)</w:t>
            </w:r>
          </w:p>
        </w:tc>
      </w:tr>
      <w:tr>
        <w:trPr>
          <w:trHeight w:val="294"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44 (2.7%)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93 (2.7%)</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Nombre et pourcentage de ménages</w:t>
            </w:r>
          </w:p>
        </w:tc>
      </w:tr>
    </w:tbl>
    <w:bookmarkEnd w:id="63"/>
    <w:bookmarkEnd w:id="64"/>
    <w:bookmarkEnd w:id="65"/>
    <w:bookmarkStart w:id="70" w:name="Xce2da958fde749da3f8648a0d1c2bb771b45805"/>
    <w:p>
      <w:pPr>
        <w:pStyle w:val="Titre1"/>
      </w:pPr>
      <w:r>
        <w:t xml:space="preserve">III. Analyse comparative des indicateurs calculés suivant le genre du chef de ménage</w:t>
      </w:r>
    </w:p>
    <w:bookmarkStart w:id="66" w:name="tableau-comparative"/>
    <w:p>
      <w:pPr>
        <w:pStyle w:val="Titre2"/>
      </w:pPr>
      <w:r>
        <w:t xml:space="preserve">Tableau comparative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Analyse comparative des indicateurs de sécurité alimentaire selon le genre du chef de ménage</w:t>
      </w:r>
    </w:p>
    <w:tbl xmlns:w14="http://schemas.microsoft.com/office/word/2010/wordml">
      <w:tblPr>
        <w:tblLayout w:type="autofit"/>
        <w:jc w:val="center"/>
        <w:tblW w:type="pct" w:w="0"/>
        <w:tblLook w:firstRow="1" w:lastRow="0" w:firstColumn="0" w:lastColumn="0" w:noHBand="0" w:noVBand="1"/>
      </w:tblPr>
      <w:tr>
        <w:trPr>
          <w:trHeight w:val="398"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Femme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4,006</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Homme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5,073</w:t>
            </w:r>
            <w:r>
              <w:rPr>
                <w:rFonts w:ascii="Arial" w:hAnsi="Arial" w:eastAsia="Arial" w:cs="Arial"/>
                <w:i w:val="false"/>
                <w:b w:val="false"/>
                <w:u w:val="none"/>
                <w:vertAlign w:val="superscript"/>
                <w:sz w:val="16"/>
                <w:szCs w:val="16"/>
                <w:color w:val="000000"/>
              </w:rPr>
              <w:t xml:space="preserve">1</w:t>
            </w:r>
          </w:p>
        </w:tc>
      </w:tr>
      <w:tr>
        <w:trPr>
          <w:trHeight w:val="29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Score de consommation alimentaire (FCS)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59 (27)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61 (25)</w:t>
            </w:r>
          </w:p>
        </w:tc>
      </w:tr>
      <w:tr>
        <w:trPr>
          <w:trHeight w:val="29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Score de diversité alimentaire (HDDS)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6.98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7.10 (2.47)</w:t>
            </w:r>
          </w:p>
        </w:tc>
      </w:tr>
      <w:tr>
        <w:trPr>
          <w:trHeight w:val="29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Score de stratégies d'adaptation (SERS)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 (6)</w:t>
            </w:r>
          </w:p>
        </w:tc>
      </w:tr>
      <w:tr>
        <w:trPr>
          <w:trHeight w:val="29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Score réduit d'adoption de stratégies (rCSI)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(9)</w:t>
            </w:r>
          </w:p>
        </w:tc>
      </w:tr>
      <w:tr>
        <w:trPr>
          <w:trHeight w:val="29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Fréquence alimentaire minimale (MMF)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262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339 (32%)</w:t>
            </w:r>
          </w:p>
        </w:tc>
      </w:tr>
      <w:tr>
        <w:trPr>
          <w:trHeight w:val="29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Nombre de groupes alimentaires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0.63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0.71 (2.09)</w:t>
            </w:r>
          </w:p>
        </w:tc>
      </w:tr>
      <w:tr>
        <w:trPr>
          <w:trHeight w:val="29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Situation d'urgence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203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255 (5.0%)</w:t>
            </w:r>
          </w:p>
        </w:tc>
      </w:tr>
      <w:tr>
        <w:trPr>
          <w:trHeight w:val="29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Situation de stress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865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1,265 (25%)</w:t>
            </w:r>
          </w:p>
        </w:tc>
      </w:tr>
      <w:tr>
        <w:trPr>
          <w:trHeight w:val="294"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Situation de crise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247 (6.2%)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204 (4.0%)</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88"/>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Mean (SD); n (%)</w:t>
            </w:r>
          </w:p>
        </w:tc>
      </w:tr>
    </w:tbl>
    <w:bookmarkEnd w:id="66"/>
    <w:bookmarkStart w:id="67" w:name="interprétation-effectif"/>
    <w:p>
      <w:pPr>
        <w:pStyle w:val="Titre2"/>
      </w:pPr>
      <w:r>
        <w:t xml:space="preserve">Interprétation : Effectif</w:t>
      </w:r>
    </w:p>
    <w:p>
      <w:pPr>
        <w:pStyle w:val="FirstParagraph"/>
      </w:pPr>
      <w:r>
        <w:t xml:space="preserve">L’échantillon est composé de 4006 ménages dirigés par une femme et 5073 par un homme, soit une répartition relativement équilibrée.</w:t>
      </w:r>
    </w:p>
    <w:bookmarkEnd w:id="67"/>
    <w:bookmarkStart w:id="68" w:name="X635963812c8d70b695d3c71089abec46e2e1f32"/>
    <w:p>
      <w:pPr>
        <w:pStyle w:val="Titre2"/>
      </w:pPr>
      <w:r>
        <w:t xml:space="preserve">Interprétation : Indicateurs de consommation alimentaire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Comparaison globale des indicateurs de sécurité alimentaire selon le genre du chef de ménage</w:t>
      </w:r>
    </w:p>
    <w:tbl xmlns:w14="http://schemas.microsoft.com/office/word/2010/wordml">
      <w:tblPr>
        <w:tblLayout w:type="fixed"/>
        <w:jc w:val="center"/>
        <w:tblLook w:firstRow="1" w:lastRow="0" w:firstColumn="0" w:lastColumn="0" w:noHBand="0" w:noVBand="1"/>
      </w:tblPr>
      <w:tblGrid>
        <w:gridCol w:w="3600"/>
        <w:gridCol w:w="2160"/>
        <w:gridCol w:w="2160"/>
        <w:gridCol w:w="7200"/>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Indicateur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Interprétation</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(Score de consommation alimentaire)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59 (±27)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61 (±25)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Légèrement plus élevé chez les hommes, suggérant une meilleure consommation alimentaire en moyenne.</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 (Diversité alimentaire)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6.98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7.10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Légèrement plus diversifiée dans les ménages dirigés par un homme.</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MMF (Fréquence alimentaire minimale)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262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339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Proportion comparable entre les deux genres.</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Nombre de groupes alimentaires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0.63 (±1.91)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0.71 (±2.09)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Légère diversité alimentaire supérieure chez les hommes.</w:t>
            </w:r>
          </w:p>
        </w:tc>
      </w:tr>
    </w:tbl>
    <w:bookmarkEnd w:id="68"/>
    <w:bookmarkStart w:id="69" w:name="X6b944a19e43ed63617f6199f06ee3b72e3d8274"/>
    <w:p>
      <w:pPr>
        <w:pStyle w:val="Titre2"/>
      </w:pPr>
      <w:r>
        <w:t xml:space="preserve">Interprétation : Stratégies d’adaptation et stress alimentaire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Comparaison globale des stratégies d’adaptation et des chocs selon le genre du chef de ménage</w:t>
      </w:r>
    </w:p>
    <w:tbl xmlns:w14="http://schemas.microsoft.com/office/word/2010/wordml">
      <w:tblPr>
        <w:tblLayout w:type="fixed"/>
        <w:jc w:val="center"/>
        <w:tblLook w:firstRow="1" w:lastRow="0" w:firstColumn="0" w:lastColumn="0" w:noHBand="0" w:noVBand="1"/>
      </w:tblPr>
      <w:tblGrid>
        <w:gridCol w:w="3798"/>
        <w:gridCol w:w="1156"/>
        <w:gridCol w:w="1181"/>
        <w:gridCol w:w="11893"/>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Indicateur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Interprétation</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 (Stratégies d’adaptation)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 (±6)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Scores similaires entre genres.</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 (Score de stratégies réduites)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Légèrement plus élevé chez les femmes, indiquant une adoption plus fréquente de stratégies d’adaptation.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Urgence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Aucune différence significative.</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Plus fréquent chez les hommes, ce qui peut refléter une pression socio-économique plus forte.</w:t>
            </w:r>
          </w:p>
        </w:tc>
      </w:tr>
      <w:tr>
        <w:trPr>
          <w:trHeight w:val="617"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Crise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Plus fréquent chez les femmes, ce qui pourrait refléter une plus grande vulnérabilité à l’insécurité alimentaire extrême.</w:t>
            </w:r>
          </w:p>
        </w:tc>
      </w:tr>
    </w:tbl>
    <w:p>
      <w:r>
        <w:br w:type="page"/>
      </w:r>
    </w:p>
    <w:bookmarkEnd w:id="69"/>
    <w:bookmarkEnd w:id="70"/>
    <w:bookmarkStart w:id="71" w:name="conclusion"/>
    <w:p>
      <w:pPr>
        <w:pStyle w:val="Titre1"/>
      </w:pPr>
      <w:r>
        <w:t xml:space="preserve">Conclusion</w:t>
      </w:r>
    </w:p>
    <w:p>
      <w:pPr>
        <w:pStyle w:val="FirstParagraph"/>
      </w:pPr>
      <w:r>
        <w:t xml:space="preserve">Dans le cadre de notre projet, nous avons adopté une approche rigoureuse, intégrée et reproductible, en nous appuyant sur un ensemble cohérent de packages de l’écosystème R.</w:t>
      </w:r>
    </w:p>
    <w:p>
      <w:pPr>
        <w:pStyle w:val="BodyText"/>
      </w:pPr>
      <w:r>
        <w:t xml:space="preserve">Ce projet a mobilisé l’ensemble des compétences acquises en traitement, analyse statistique et visualisation de données avec R. À travers les différents modules – Score de Consommation Alimentaire (SCA), Indices de Stratégies de Survie (rCSI, LhCSI), Score de Diversité Alimentaire (HDDS), Score de Résilience Auto-Évaluée (SERS) et Régime Alimentaire Minimum Acceptable (MAD) – nous avons pu analyser la situation des ménages sous plusieurs dimensions de la sécurité alimentaire et de la résilience.</w:t>
      </w:r>
    </w:p>
    <w:p>
      <w:pPr>
        <w:pStyle w:val="BodyText"/>
      </w:pPr>
      <w:r>
        <w:t xml:space="preserve">Chaque indicateur a été construit selon les standards internationaux, accompagné de visualisations spatiales mettant en évidence les disparités régionales et départementales. Une attention particulière a été portée à l’analyse selon le genre du chef de ménage, afin de souligner des inégalités potentielles. Enfin, un outil interactif développé avec Shiny permet une exploration dynamique et intuitive des résultats.</w:t>
      </w:r>
    </w:p>
    <w:p>
      <w:pPr>
        <w:pStyle w:val="BodyText"/>
      </w:pPr>
      <w:r>
        <w:t xml:space="preserve">Ce travail illustre la puissance de l’écosystème R pour transformer des données complexes en informations exploitables, et démontre l’intérêt d’une approche intégrée, reproductible et rigoureuse dans la production d’analyses statistiques utiles à la prise de décision.</w:t>
      </w:r>
    </w:p>
    <w:p>
      <w:r>
        <w:br w:type="page"/>
      </w:r>
    </w:p>
    <w:bookmarkEnd w:id="71"/>
    <w:bookmarkStart w:id="72" w:name="table-des-matières"/>
    <w:p>
      <w:pPr>
        <w:pStyle w:val="Titre1"/>
      </w:pPr>
      <w:r>
        <w:t xml:space="preserve">Table des matières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72"/>
    <w:bookmarkStart w:id="84" w:name="références-bibliographiques"/>
    <w:p>
      <w:pPr>
        <w:pStyle w:val="Titre1"/>
      </w:pPr>
      <w:r>
        <w:t xml:space="preserve">Références bibliographiques</w:t>
      </w:r>
    </w:p>
    <w:bookmarkStart w:id="83" w:name="refs"/>
    <w:bookmarkStart w:id="74" w:name="ref-gtsummary2025"/>
    <w:p>
      <w:pPr>
        <w:pStyle w:val="Bibliography"/>
      </w:pPr>
      <w:r>
        <w:t xml:space="preserve">Awa Diaw and Albert Paulinah Rasamoelina Nihaviana. 2025.</w:t>
      </w:r>
      <w:r>
        <w:t xml:space="preserve"> </w:t>
      </w:r>
      <w:r>
        <w:t xml:space="preserve">“Tableaux Avec Gtsummary.”</w:t>
      </w:r>
      <w:r>
        <w:t xml:space="preserve"> </w:t>
      </w:r>
      <w:r>
        <w:t xml:space="preserve">2025.</w:t>
      </w:r>
      <w:r>
        <w:t xml:space="preserve"> </w:t>
      </w:r>
      <w:hyperlink r:id="rId73">
        <w:r>
          <w:rPr>
            <w:rStyle w:val="Lienhypertexte"/>
          </w:rPr>
          <w:t xml:space="preserve">https://github.com/awa-d/TP10_RProject2025_TableauxAvecGtsummary</w:t>
        </w:r>
      </w:hyperlink>
      <w:r>
        <w:t xml:space="preserve">.</w:t>
      </w:r>
    </w:p>
    <w:bookmarkEnd w:id="74"/>
    <w:bookmarkStart w:id="76" w:name="ref-rmarkdown2025"/>
    <w:p>
      <w:pPr>
        <w:pStyle w:val="Bibliography"/>
      </w:pPr>
      <w:r>
        <w:t xml:space="preserve">Khadidiatou Diakhaté and Dior Mbegue and Francis Haba Fromo. 2025.</w:t>
      </w:r>
      <w:r>
        <w:t xml:space="preserve"> </w:t>
      </w:r>
      <w:r>
        <w:t xml:space="preserve">“Automatisation Des Rapports Avec r : Le Package Rmarkdown.”</w:t>
      </w:r>
      <w:r>
        <w:t xml:space="preserve"> </w:t>
      </w:r>
      <w:r>
        <w:t xml:space="preserve">2025.</w:t>
      </w:r>
      <w:r>
        <w:t xml:space="preserve"> </w:t>
      </w:r>
      <w:hyperlink r:id="rId75">
        <w:r>
          <w:rPr>
            <w:rStyle w:val="Lienhypertexte"/>
          </w:rPr>
          <w:t xml:space="preserve">https://github.com/dior204/Theme13-Autonomisation-des-rapports-avec-R-Le-package-Rmarkdown</w:t>
        </w:r>
      </w:hyperlink>
      <w:r>
        <w:t xml:space="preserve">.</w:t>
      </w:r>
    </w:p>
    <w:bookmarkEnd w:id="76"/>
    <w:bookmarkStart w:id="78" w:name="ref-tidyverse2025"/>
    <w:p>
      <w:pPr>
        <w:pStyle w:val="Bibliography"/>
      </w:pPr>
      <w:r>
        <w:t xml:space="preserve">Malick SENE and Dyvana Kerencia Seunkam. 2025.</w:t>
      </w:r>
      <w:r>
        <w:t xml:space="preserve"> </w:t>
      </w:r>
      <w:r>
        <w:t xml:space="preserve">“Traitement de Données Avec Le Package Tidyverse.”</w:t>
      </w:r>
      <w:r>
        <w:t xml:space="preserve"> </w:t>
      </w:r>
      <w:r>
        <w:t xml:space="preserve">2025.</w:t>
      </w:r>
      <w:r>
        <w:t xml:space="preserve"> </w:t>
      </w:r>
      <w:hyperlink r:id="rId77">
        <w:r>
          <w:rPr>
            <w:rStyle w:val="Lienhypertexte"/>
          </w:rPr>
          <w:t xml:space="preserve">https://github.com/malickseneisep2/Tidyverse</w:t>
        </w:r>
      </w:hyperlink>
      <w:r>
        <w:t xml:space="preserve">.</w:t>
      </w:r>
    </w:p>
    <w:bookmarkEnd w:id="78"/>
    <w:bookmarkStart w:id="80" w:name="ref-wfp_fcs"/>
    <w:p>
      <w:pPr>
        <w:pStyle w:val="Bibliography"/>
      </w:pPr>
      <w:r>
        <w:t xml:space="preserve">Programme, World Food. 2008.</w:t>
      </w:r>
      <w:r>
        <w:t xml:space="preserve"> </w:t>
      </w:r>
      <w:r>
        <w:t xml:space="preserve">“Food Consumption Score: Guidelines for Data Analysis.”</w:t>
      </w:r>
      <w:r>
        <w:t xml:space="preserve"> </w:t>
      </w:r>
      <w:hyperlink r:id="rId79">
        <w:r>
          <w:rPr>
            <w:rStyle w:val="Lienhypertexte"/>
          </w:rPr>
          <w:t xml:space="preserve">https://resources.vam.wfp.org/data-analysis/quantitative/food-consumption-score</w:t>
        </w:r>
      </w:hyperlink>
      <w:r>
        <w:t xml:space="preserve">.</w:t>
      </w:r>
    </w:p>
    <w:bookmarkEnd w:id="80"/>
    <w:bookmarkStart w:id="82" w:name="ref-janitor2025"/>
    <w:p>
      <w:pPr>
        <w:pStyle w:val="Bibliography"/>
      </w:pPr>
      <w:r>
        <w:t xml:space="preserve">Yves Djarekei and Hildegarde Edima Biyenda. 2025.</w:t>
      </w:r>
      <w:r>
        <w:t xml:space="preserve"> </w:t>
      </w:r>
      <w:r>
        <w:t xml:space="preserve">“Le Package Janitor.”</w:t>
      </w:r>
      <w:r>
        <w:t xml:space="preserve"> </w:t>
      </w:r>
      <w:r>
        <w:t xml:space="preserve">2025.</w:t>
      </w:r>
      <w:r>
        <w:t xml:space="preserve"> </w:t>
      </w:r>
      <w:hyperlink r:id="rId81">
        <w:r>
          <w:rPr>
            <w:rStyle w:val="Lienhypertexte"/>
          </w:rPr>
          <w:t xml:space="preserve">https://github.com/DJERAKEI221/-Groupe10_Theme8_Package_Janitor</w:t>
        </w:r>
      </w:hyperlink>
      <w:r>
        <w:t xml:space="preserve">.</w:t>
      </w:r>
    </w:p>
    <w:bookmarkEnd w:id="82"/>
    <w:bookmarkEnd w:id="83"/>
    <w:bookmarkEnd w:id="84"/>
    <w:sectPr w:rsidR="00963BF9" w:rsidRPr="000C5C07" w:rsidSect="00C402C3">
      <w:headerReference r:id="rId9" w:type="default"/>
      <w:footerReference r:id="rId11" w:type="default"/>
      <w:headerReference r:id="rId10" w:type="first"/>
      <w:type w:val="continuous"/>
      <w:pgSz w:h="16838" w:w="11906"/>
      <w:pgMar w:bottom="1440" w:footer="708" w:gutter="0" w:header="708" w:left="1440" w:right="1440" w:top="1440"/>
      <w:pgBorders w:display="firstPage" w:offsetFrom="page">
        <w:top w:color="833C0B" w:space="24" w:sz="24" w:themeColor="accent2" w:themeShade="80" w:val="threeDEngrave"/>
        <w:left w:color="833C0B" w:space="24" w:sz="24" w:themeColor="accent2" w:themeShade="80" w:val="threeDEngrave"/>
        <w:bottom w:color="833C0B" w:space="24" w:sz="24" w:themeColor="accent2" w:themeShade="80" w:val="threeDEngrave"/>
        <w:right w:color="833C0B" w:space="24" w:sz="24" w:themeColor="accent2" w:themeShade="80" w:val="threeDEngrave"/>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color w:val="833C0B" w:themeColor="accent2" w:themeShade="80"/>
        <w:szCs w:val="24"/>
      </w:rPr>
      <w:id w:val="-1059314233"/>
      <w:docPartObj>
        <w:docPartGallery w:val="Page Numbers (Bottom of Page)"/>
        <w:docPartUnique/>
      </w:docPartObj>
    </w:sdtPr>
    <w:sdtContent>
      <w:p w14:paraId="4158D35E" w14:textId="27B18602" w:rsidR="00F72993" w:rsidRPr="00963BF9" w:rsidRDefault="00963BF9" w:rsidP="001C7F77">
        <w:pPr>
          <w:pStyle w:val="Pieddepage"/>
          <w:rPr>
            <w:rFonts w:cs="Times New Roman"/>
            <w:color w:val="833C0B" w:themeColor="accent2" w:themeShade="80"/>
            <w:szCs w:val="24"/>
          </w:rPr>
        </w:pPr>
        <w:r w:rsidRPr="00963BF9">
          <w:rPr>
            <w:noProof/>
            <w:color w:val="833C0B" w:themeColor="accent2" w:themeShade="80"/>
          </w:rPr>
          <mc:AlternateContent>
            <mc:Choice Requires="wps">
              <w:drawing>
                <wp:anchor distT="0" distB="0" distL="114300" distR="114300" simplePos="0" relativeHeight="251660288" behindDoc="0" locked="0" layoutInCell="1" allowOverlap="1" wp14:anchorId="0E61C7AF" wp14:editId="2BE5E27A">
                  <wp:simplePos x="0" y="0"/>
                  <wp:positionH relativeFrom="margin">
                    <wp:align>center</wp:align>
                  </wp:positionH>
                  <wp:positionV relativeFrom="bottomMargin">
                    <wp:align>center</wp:align>
                  </wp:positionV>
                  <wp:extent cx="551815" cy="238760"/>
                  <wp:effectExtent l="19050" t="19050" r="19685" b="18415"/>
                  <wp:wrapNone/>
                  <wp:docPr id="45"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5B77DE0" w14:textId="77777777" w:rsidR="00963BF9" w:rsidRDefault="00963BF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E61C7A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5B77DE0" w14:textId="77777777" w:rsidR="00963BF9" w:rsidRDefault="00963BF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963BF9">
          <w:rPr>
            <w:noProof/>
            <w:color w:val="833C0B" w:themeColor="accent2" w:themeShade="80"/>
          </w:rPr>
          <mc:AlternateContent>
            <mc:Choice Requires="wps">
              <w:drawing>
                <wp:anchor distT="0" distB="0" distL="114300" distR="114300" simplePos="0" relativeHeight="251659264" behindDoc="0" locked="0" layoutInCell="1" allowOverlap="1" wp14:anchorId="583649BB" wp14:editId="488B35F7">
                  <wp:simplePos x="0" y="0"/>
                  <wp:positionH relativeFrom="margin">
                    <wp:align>center</wp:align>
                  </wp:positionH>
                  <wp:positionV relativeFrom="bottomMargin">
                    <wp:align>center</wp:align>
                  </wp:positionV>
                  <wp:extent cx="5518150" cy="0"/>
                  <wp:effectExtent l="9525" t="9525" r="6350" b="9525"/>
                  <wp:wrapNone/>
                  <wp:docPr id="46"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60F3A9" id="_x0000_t32" coordsize="21600,21600" o:spt="32" o:oned="t" path="m,l21600,21600e" filled="f">
                  <v:path arrowok="t" fillok="f" o:connecttype="none"/>
                  <o:lock v:ext="edit" shapetype="t"/>
                </v:shapetype>
                <v:shape id="Connecteur droit avec flèche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D7D7" w14:textId="784F24FF" w:rsidR="00F72993" w:rsidRPr="002D6EB7" w:rsidRDefault="005815F5" w:rsidP="00133EED">
    <w:pPr>
      <w:pStyle w:val="En-tte"/>
      <w:jc w:val="center"/>
      <w:rPr>
        <w:i/>
        <w:iCs/>
        <w:color w:val="833C0B" w:themeColor="accent2" w:themeShade="80"/>
        <w:u w:val="dotted"/>
      </w:rPr>
    </w:pPr>
    <w:r w:rsidRPr="002D6EB7">
      <w:rPr>
        <w:i/>
        <w:iCs/>
        <w:color w:val="833C0B" w:themeColor="accent2" w:themeShade="80"/>
        <w:u w:val="dotted"/>
      </w:rPr>
      <w:t>Diagnostic de la sécurité alimentaire</w:t>
    </w:r>
    <w:r w:rsidR="00CF5280" w:rsidRPr="002D6EB7">
      <w:rPr>
        <w:i/>
        <w:iCs/>
        <w:color w:val="833C0B" w:themeColor="accent2" w:themeShade="80"/>
        <w:u w:val="dotted"/>
      </w:rPr>
      <w:t xml:space="preserve"> au Tchad</w:t>
    </w:r>
    <w:r w:rsidRPr="002D6EB7">
      <w:rPr>
        <w:i/>
        <w:iCs/>
        <w:color w:val="833C0B" w:themeColor="accent2" w:themeShade="80"/>
        <w:u w:val="dotted"/>
      </w:rPr>
      <w:t xml:space="preserve"> : approche par indicateurs</w:t>
    </w:r>
    <w:r w:rsidR="00896D38" w:rsidRPr="002D6EB7">
      <w:rPr>
        <w:i/>
        <w:iCs/>
        <w:color w:val="833C0B" w:themeColor="accent2" w:themeShade="80"/>
        <w:u w:val="dotted"/>
      </w:rPr>
      <w:t xml:space="preserve"> </w:t>
    </w:r>
    <w:r w:rsidRPr="002D6EB7">
      <w:rPr>
        <w:i/>
        <w:iCs/>
        <w:color w:val="833C0B" w:themeColor="accent2" w:themeShade="80"/>
        <w:u w:val="dotted"/>
      </w:rPr>
      <w:t>–</w:t>
    </w:r>
    <w:r w:rsidR="00896D38" w:rsidRPr="002D6EB7">
      <w:rPr>
        <w:i/>
        <w:iCs/>
        <w:color w:val="833C0B" w:themeColor="accent2" w:themeShade="80"/>
        <w:u w:val="dotted"/>
      </w:rPr>
      <w:t xml:space="preserve"> </w:t>
    </w:r>
    <w:r w:rsidRPr="002D6EB7">
      <w:rPr>
        <w:i/>
        <w:iCs/>
        <w:color w:val="833C0B" w:themeColor="accent2" w:themeShade="80"/>
        <w:u w:val="dotted"/>
      </w:rPr>
      <w:t>Awa Diaw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E9253" w14:textId="178F9CD0" w:rsidR="00A25DBD" w:rsidRPr="006404D1" w:rsidRDefault="00A25DBD" w:rsidP="006404D1">
    <w:pPr>
      <w:pStyle w:val="En-tte"/>
      <w:jc w:val="center"/>
      <w:rPr>
        <w:i/>
        <w:iCs/>
        <w:color w:val="833C0B" w:themeColor="accent2" w:themeShade="8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00A990"/>
    <w:multiLevelType w:val="multilevel"/>
    <w:tmpl w:val="0D9A431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3">
    <w:nsid w:val="0000A991"/>
    <w:multiLevelType w:val="multilevel"/>
    <w:tmpl w:val="C09C9D7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4">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5">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7">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8">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9">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0">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4">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5">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6">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9">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0">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2">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3">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4">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9">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30">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33899377" w:numId="1">
    <w:abstractNumId w:val="25"/>
  </w:num>
  <w:num w16cid:durableId="2060740682" w:numId="2">
    <w:abstractNumId w:val="9"/>
  </w:num>
  <w:num w16cid:durableId="237130544" w:numId="3">
    <w:abstractNumId w:val="0"/>
  </w:num>
  <w:num w16cid:durableId="569996856" w:numId="4">
    <w:abstractNumId w:val="1"/>
  </w:num>
  <w:num w16cid:durableId="228542923" w:numId="5">
    <w:abstractNumId w:val="36"/>
  </w:num>
  <w:num w16cid:durableId="2003043400" w:numId="6">
    <w:abstractNumId w:val="20"/>
  </w:num>
  <w:num w16cid:durableId="1929579143" w:numId="7">
    <w:abstractNumId w:val="35"/>
  </w:num>
  <w:num w16cid:durableId="491532652" w:numId="8">
    <w:abstractNumId w:val="24"/>
  </w:num>
  <w:num w16cid:durableId="1319728919" w:numId="9">
    <w:abstractNumId w:val="20"/>
    <w:lvlOverride w:ilvl="0">
      <w:startOverride w:val="1"/>
    </w:lvlOverride>
  </w:num>
  <w:num w16cid:durableId="1777557001" w:numId="10">
    <w:abstractNumId w:val="4"/>
  </w:num>
  <w:num w16cid:durableId="359748361" w:numId="11">
    <w:abstractNumId w:val="15"/>
  </w:num>
  <w:num w16cid:durableId="49233093" w:numId="12">
    <w:abstractNumId w:val="11"/>
  </w:num>
  <w:num w16cid:durableId="2052145588" w:numId="13">
    <w:abstractNumId w:val="8"/>
  </w:num>
  <w:num w16cid:durableId="1754399714" w:numId="14">
    <w:abstractNumId w:val="33"/>
  </w:num>
  <w:num w16cid:durableId="1799643222" w:numId="15">
    <w:abstractNumId w:val="22"/>
  </w:num>
  <w:num w16cid:durableId="570434528" w:numId="16">
    <w:abstractNumId w:val="16"/>
  </w:num>
  <w:num w16cid:durableId="378818242" w:numId="17">
    <w:abstractNumId w:val="34"/>
  </w:num>
  <w:num w16cid:durableId="1409573572" w:numId="18">
    <w:abstractNumId w:val="17"/>
  </w:num>
  <w:num w16cid:durableId="1472020813" w:numId="19">
    <w:abstractNumId w:val="23"/>
  </w:num>
  <w:num w16cid:durableId="2023968511" w:numId="20">
    <w:abstractNumId w:val="19"/>
  </w:num>
  <w:num w16cid:durableId="277571489"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1782209" w:numId="22">
    <w:abstractNumId w:val="18"/>
  </w:num>
  <w:num w16cid:durableId="867916506" w:numId="23">
    <w:abstractNumId w:val="6"/>
  </w:num>
  <w:num w16cid:durableId="871311399" w:numId="24">
    <w:abstractNumId w:val="26"/>
  </w:num>
  <w:num w16cid:durableId="125661845" w:numId="25">
    <w:abstractNumId w:val="14"/>
  </w:num>
  <w:num w16cid:durableId="456488026" w:numId="26">
    <w:abstractNumId w:val="31"/>
  </w:num>
  <w:num w16cid:durableId="263000154" w:numId="27">
    <w:abstractNumId w:val="7"/>
  </w:num>
  <w:num w16cid:durableId="2144692744" w:numId="28">
    <w:abstractNumId w:val="29"/>
  </w:num>
  <w:num w16cid:durableId="1398014640" w:numId="29">
    <w:abstractNumId w:val="12"/>
  </w:num>
  <w:num w16cid:durableId="106047694" w:numId="30">
    <w:abstractNumId w:val="27"/>
  </w:num>
  <w:num w16cid:durableId="348681068" w:numId="31">
    <w:abstractNumId w:val="32"/>
  </w:num>
  <w:num w16cid:durableId="1937058689" w:numId="32">
    <w:abstractNumId w:val="28"/>
  </w:num>
  <w:num w16cid:durableId="758218484" w:numId="33">
    <w:abstractNumId w:val="5"/>
  </w:num>
  <w:num w16cid:durableId="392824121" w:numId="34">
    <w:abstractNumId w:val="30"/>
  </w:num>
  <w:num w16cid:durableId="298994872" w:numId="35">
    <w:abstractNumId w:val="21"/>
  </w:num>
  <w:num w16cid:durableId="392119288" w:numId="36">
    <w:abstractNumId w:val="10"/>
  </w:num>
  <w:num w16cid:durableId="1494687942" w:numId="37">
    <w:abstractNumId w:val="13"/>
  </w:num>
  <w:num w16cid:durableId="1266888279" w:numId="38">
    <w:abstractNumId w:val="2"/>
  </w:num>
  <w:num w16cid:durableId="1273509392" w:numId="39">
    <w:abstractNumId w:val="3"/>
  </w:num>
  <w:num w16cid:durableId="1169445661" w:numId="40">
    <w:abstractNumId w:val="3"/>
  </w:num>
  <w:num w16cid:durableId="1421288961" w:numId="41">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w="http://schemas.openxmlformats.org/wordprocessingml/2006/main">
  <w:zoom w:percent="100"/>
  <w:defaultTabStop w:val="709"/>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C57BE"/>
    <w:pPr>
      <w:spacing w:line="360" w:lineRule="auto"/>
    </w:pPr>
    <w:rPr>
      <w:rFonts w:ascii="Times New Roman" w:hAnsi="Times New Roman"/>
      <w:sz w:val="24"/>
    </w:rPr>
  </w:style>
  <w:style w:styleId="Titre1" w:type="paragraph">
    <w:name w:val="heading 1"/>
    <w:basedOn w:val="Sansinterligne"/>
    <w:link w:val="Titre1Car"/>
    <w:autoRedefine/>
    <w:uiPriority w:val="9"/>
    <w:qFormat/>
    <w:rsid w:val="002D6EB7"/>
    <w:pPr>
      <w:pBdr>
        <w:top w:color="833C0B" w:space="1" w:sz="24" w:themeColor="accent2" w:themeShade="80" w:val="threeDEngrave"/>
        <w:bottom w:color="833C0B" w:space="1" w:sz="24" w:themeColor="accent2" w:themeShade="80" w:val="threeDEngrave"/>
      </w:pBdr>
      <w:shd w:color="auto" w:fill="FFFFFF" w:themeFill="background1" w:val="clear"/>
      <w:spacing w:after="40" w:before="300" w:line="360" w:lineRule="auto"/>
      <w:jc w:val="center"/>
      <w:outlineLvl w:val="0"/>
    </w:pPr>
    <w:rPr>
      <w:rFonts w:ascii="Times New Roman" w:hAnsi="Times New Roman"/>
      <w:b/>
      <w:smallCaps/>
      <w:color w:themeColor="accent2" w:themeShade="80" w:val="833C0B"/>
      <w:sz w:val="32"/>
      <w:szCs w:val="32"/>
    </w:rPr>
  </w:style>
  <w:style w:styleId="Titre2" w:type="paragraph">
    <w:name w:val="heading 2"/>
    <w:basedOn w:val="Titre3"/>
    <w:link w:val="Titre2Car"/>
    <w:uiPriority w:val="9"/>
    <w:unhideWhenUsed/>
    <w:qFormat/>
    <w:rsid w:val="00515EC9"/>
    <w:pPr>
      <w:outlineLvl w:val="1"/>
    </w:pPr>
    <w:rPr>
      <w:i/>
      <w:smallCaps/>
      <w:szCs w:val="28"/>
    </w:rPr>
  </w:style>
  <w:style w:styleId="Titre3" w:type="paragraph">
    <w:name w:val="heading 3"/>
    <w:basedOn w:val="Titre4"/>
    <w:link w:val="Titre3Car"/>
    <w:uiPriority w:val="9"/>
    <w:unhideWhenUsed/>
    <w:qFormat/>
    <w:rsid w:val="00515EC9"/>
    <w:pPr>
      <w:spacing w:after="120" w:before="120" w:line="360" w:lineRule="auto"/>
      <w:jc w:val="both"/>
      <w:outlineLvl w:val="2"/>
    </w:pPr>
    <w:rPr>
      <w:i w:val="0"/>
      <w:color w:themeColor="accent2" w:themeShade="80" w:val="833C0B"/>
      <w:spacing w:val="5"/>
      <w:sz w:val="24"/>
      <w:szCs w:val="24"/>
      <w:u w:val="none"/>
    </w:rPr>
  </w:style>
  <w:style w:styleId="Titre4" w:type="paragraph">
    <w:name w:val="heading 4"/>
    <w:basedOn w:val="Titre5"/>
    <w:link w:val="Titre4Car"/>
    <w:uiPriority w:val="9"/>
    <w:unhideWhenUsed/>
    <w:qFormat/>
    <w:rsid w:val="005B6698"/>
    <w:pPr>
      <w:spacing w:line="480" w:lineRule="auto"/>
      <w:outlineLvl w:val="3"/>
    </w:pPr>
    <w:rPr>
      <w:i/>
      <w:iCs/>
      <w:smallCaps w:val="0"/>
      <w:color w:val="00B0F0"/>
      <w:u w:val="single"/>
    </w:rPr>
  </w:style>
  <w:style w:styleId="Titre5" w:type="paragraph">
    <w:name w:val="heading 5"/>
    <w:basedOn w:val="Normal"/>
    <w:next w:val="Normal"/>
    <w:link w:val="Titre5Car"/>
    <w:uiPriority w:val="9"/>
    <w:semiHidden/>
    <w:unhideWhenUsed/>
    <w:qFormat/>
    <w:rsid w:val="00EA6DD7"/>
    <w:pPr>
      <w:spacing w:after="0"/>
      <w:jc w:val="left"/>
      <w:outlineLvl w:val="4"/>
    </w:pPr>
    <w:rPr>
      <w:smallCaps/>
      <w:color w:themeColor="accent6" w:themeShade="BF" w:val="538135"/>
      <w:spacing w:val="10"/>
      <w:sz w:val="22"/>
      <w:szCs w:val="22"/>
    </w:rPr>
  </w:style>
  <w:style w:styleId="Titre6" w:type="paragraph">
    <w:name w:val="heading 6"/>
    <w:basedOn w:val="Normal"/>
    <w:next w:val="Normal"/>
    <w:link w:val="Titre6Car"/>
    <w:uiPriority w:val="9"/>
    <w:semiHidden/>
    <w:unhideWhenUsed/>
    <w:qFormat/>
    <w:rsid w:val="00EA6DD7"/>
    <w:pPr>
      <w:spacing w:after="0"/>
      <w:jc w:val="left"/>
      <w:outlineLvl w:val="5"/>
    </w:pPr>
    <w:rPr>
      <w:smallCaps/>
      <w:color w:themeColor="accent6" w:val="70AD47"/>
      <w:spacing w:val="5"/>
      <w:sz w:val="22"/>
      <w:szCs w:val="22"/>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2D6EB7"/>
    <w:rPr>
      <w:rFonts w:ascii="Times New Roman" w:hAnsi="Times New Roman"/>
      <w:b/>
      <w:smallCaps/>
      <w:color w:themeColor="accent2" w:themeShade="80" w:val="833C0B"/>
      <w:sz w:val="32"/>
      <w:szCs w:val="32"/>
      <w:shd w:color="auto" w:fill="FFFFFF" w:themeFill="background1" w:val="clear"/>
    </w:rPr>
  </w:style>
  <w:style w:customStyle="1" w:styleId="Titre2Car" w:type="character">
    <w:name w:val="Titre 2 Car"/>
    <w:basedOn w:val="Policepardfaut"/>
    <w:link w:val="Titre2"/>
    <w:uiPriority w:val="9"/>
    <w:rsid w:val="00515EC9"/>
    <w:rPr>
      <w:rFonts w:ascii="Times New Roman" w:hAnsi="Times New Roman"/>
      <w:i/>
      <w:iCs/>
      <w:smallCaps/>
      <w:color w:themeColor="accent2" w:themeShade="80" w:val="833C0B"/>
      <w:spacing w:val="5"/>
      <w:sz w:val="24"/>
      <w:szCs w:val="28"/>
    </w:rPr>
  </w:style>
  <w:style w:customStyle="1" w:styleId="Titre3Car" w:type="character">
    <w:name w:val="Titre 3 Car"/>
    <w:basedOn w:val="Policepardfaut"/>
    <w:link w:val="Titre3"/>
    <w:uiPriority w:val="9"/>
    <w:rsid w:val="00515EC9"/>
    <w:rPr>
      <w:rFonts w:ascii="Times New Roman" w:hAnsi="Times New Roman"/>
      <w:iCs/>
      <w:color w:themeColor="accent2" w:themeShade="80" w:val="833C0B"/>
      <w:spacing w:val="5"/>
      <w:sz w:val="24"/>
      <w:szCs w:val="24"/>
    </w:rPr>
  </w:style>
  <w:style w:customStyle="1" w:styleId="Titre4Car" w:type="character">
    <w:name w:val="Titre 4 Car"/>
    <w:basedOn w:val="Policepardfaut"/>
    <w:link w:val="Titre4"/>
    <w:uiPriority w:val="9"/>
    <w:rsid w:val="006F73A9"/>
    <w:rPr>
      <w:rFonts w:ascii="Times New Roman" w:hAnsi="Times New Roman"/>
      <w:i/>
      <w:iCs/>
      <w:color w:val="00B0F0"/>
      <w:spacing w:val="10"/>
      <w:sz w:val="22"/>
      <w:szCs w:val="22"/>
      <w:u w:val="single"/>
    </w:rPr>
  </w:style>
  <w:style w:customStyle="1" w:styleId="Titre5Car" w:type="character">
    <w:name w:val="Titre 5 Car"/>
    <w:basedOn w:val="Policepardfaut"/>
    <w:link w:val="Titre5"/>
    <w:uiPriority w:val="9"/>
    <w:semiHidden/>
    <w:rsid w:val="00EA6DD7"/>
    <w:rPr>
      <w:smallCaps/>
      <w:color w:themeColor="accent6" w:themeShade="BF" w:val="538135"/>
      <w:spacing w:val="10"/>
      <w:sz w:val="22"/>
      <w:szCs w:val="22"/>
    </w:rPr>
  </w:style>
  <w:style w:customStyle="1" w:styleId="Titre6Car" w:type="character">
    <w:name w:val="Titre 6 Car"/>
    <w:basedOn w:val="Policepardfaut"/>
    <w:link w:val="Titre6"/>
    <w:uiPriority w:val="9"/>
    <w:semiHidden/>
    <w:rsid w:val="00EA6DD7"/>
    <w:rPr>
      <w:smallCaps/>
      <w:color w:themeColor="accent6" w:val="70AD47"/>
      <w:spacing w:val="5"/>
      <w:sz w:val="22"/>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customStyle="1" w:styleId="ImageCaption" w:type="paragraph">
    <w:name w:val="Image Caption"/>
    <w:qFormat/>
    <w:rsid w:val="00515EC9"/>
    <w:pPr>
      <w:spacing w:line="360" w:lineRule="auto"/>
      <w:jc w:val="left"/>
    </w:pPr>
    <w:rPr>
      <w:rFonts w:ascii="Times New Roman" w:hAnsi="Times New Roman"/>
      <w:color w:themeColor="accent2" w:themeShade="80" w:val="833C0B"/>
      <w:u w:val="single"/>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Figure" w:type="paragraph">
    <w:name w:val="Figure"/>
    <w:basedOn w:val="Normal"/>
    <w:link w:val="FigureCar"/>
    <w:qFormat/>
    <w:rsid w:val="00F10ADC"/>
    <w:rPr>
      <w:i/>
      <w:u w:val="single"/>
    </w:rPr>
  </w:style>
  <w:style w:customStyle="1" w:styleId="FigureCar" w:type="character">
    <w:name w:val="Figure Car"/>
    <w:basedOn w:val="Policepardfaut"/>
    <w:link w:val="Figure"/>
    <w:rsid w:val="00F10ADC"/>
    <w:rPr>
      <w:rFonts w:ascii="Times New Roman" w:hAnsi="Times New Roman"/>
      <w:i/>
      <w:sz w:val="24"/>
      <w:u w:val="single"/>
    </w:rPr>
  </w:style>
  <w:style w:customStyle="1" w:styleId="Table" w:type="paragraph">
    <w:name w:val="Table"/>
    <w:basedOn w:val="Figure"/>
    <w:link w:val="TableCar"/>
    <w:qFormat/>
    <w:rsid w:val="005E2450"/>
    <w:pPr>
      <w:jc w:val="left"/>
    </w:pPr>
    <w:rPr>
      <w:i w:val="0"/>
      <w:color w:themeColor="accent2" w:themeShade="80" w:val="833C0B"/>
    </w:rPr>
  </w:style>
  <w:style w:customStyle="1" w:styleId="TableCar" w:type="character">
    <w:name w:val="Table Car"/>
    <w:basedOn w:val="FigureCar"/>
    <w:link w:val="Table"/>
    <w:rsid w:val="005E2450"/>
    <w:rPr>
      <w:rFonts w:ascii="Times New Roman" w:hAnsi="Times New Roman"/>
      <w:i w:val="0"/>
      <w:color w:themeColor="accent2" w:themeShade="80" w:val="833C0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81" Type="http://schemas.openxmlformats.org/officeDocument/2006/relationships/hyperlink" Target="https://github.com/DJERAKEI221/-Groupe10_Theme8_Package_Janitor" TargetMode="External"/>
<Relationship Id="rId73" Type="http://schemas.openxmlformats.org/officeDocument/2006/relationships/hyperlink" Target="https://github.com/awa-d/TP10_RProject2025_TableauxAvecGtsummary" TargetMode="External"/>
<Relationship Id="rId75" Type="http://schemas.openxmlformats.org/officeDocument/2006/relationships/hyperlink" Target="https://github.com/dior204/Theme13-Autonomisation-des-rapports-avec-R-Le-package-Rmarkdown" TargetMode="External"/>
<Relationship Id="rId77" Type="http://schemas.openxmlformats.org/officeDocument/2006/relationships/hyperlink" Target="https://github.com/malickseneisep2/Tidyverse" TargetMode="External"/>
<Relationship Id="rId79" Type="http://schemas.openxmlformats.org/officeDocument/2006/relationships/hyperlink" Target="https://resources.vam.wfp.org/data-analysis/quantitative/food-consumption-score" TargetMode="External"/>
<Relationship Id="rId82" Type="http://schemas.openxmlformats.org/officeDocument/2006/relationships/image" Target="media/d9da42409f319b5e56a9a735619d114e87c00bef.jpeg"/>
<Relationship Id="rId83" Type="http://schemas.openxmlformats.org/officeDocument/2006/relationships/image" Target="media/fb33ff86d356a318d77bd9c7c20a21bdf9626e9d.jpg"/>
<Relationship Id="rId84" Type="http://schemas.openxmlformats.org/officeDocument/2006/relationships/image" Target="media/b942d0168d53d7e82862374f4c26df6d2af4b534.jpg"/>
<Relationship Id="rId85" Type="http://schemas.openxmlformats.org/officeDocument/2006/relationships/image" Target="media/adbb325092ea67152a1853270e49f79e4c20a5d9.jpg"/>
<Relationship Id="rId86" Type="http://schemas.openxmlformats.org/officeDocument/2006/relationships/image" Target="media/34f669c4a747cdb537a1b34528b15ec5f5cfd6c6.png"/>
<Relationship Id="rId87" Type="http://schemas.openxmlformats.org/officeDocument/2006/relationships/image" Target="media/632853dc91adc100f05bc969d7fac987f16fd0d8.png"/>
<Relationship Id="rId88" Type="http://schemas.openxmlformats.org/officeDocument/2006/relationships/image" Target="media/0b7825fc56344f8c509a0b03778303a242272200.png"/>
<Relationship Id="rId89" Type="http://schemas.openxmlformats.org/officeDocument/2006/relationships/image" Target="media/6d6ea4e805bf1e97ab5049a0efae69c4d37d9c51.png"/>
<Relationship Id="rId90" Type="http://schemas.openxmlformats.org/officeDocument/2006/relationships/image" Target="media/aff7956c15a4f5419d17224b6f7bd918ab2d0957.png"/>
<Relationship Id="rId91" Type="http://schemas.openxmlformats.org/officeDocument/2006/relationships/image" Target="media/28e7d6397dd625e71ea0dfd5a05acb2c22e2e639.png"/>
<Relationship Id="rId92" Type="http://schemas.openxmlformats.org/officeDocument/2006/relationships/image" Target="media/cd1739a34e6ce3e40a54335113c14f44209b79ce.png"/>
<Relationship Id="rId93" Type="http://schemas.openxmlformats.org/officeDocument/2006/relationships/image" Target="media/c2a86e293efba00251e7837542a702070d7622c5.png"/>
<Relationship Id="rId94" Type="http://schemas.openxmlformats.org/officeDocument/2006/relationships/image" Target="media/0dc9f73819d4e1a027a01b07efe342e2a7524d22.png"/>
<Relationship Id="rId95" Type="http://schemas.openxmlformats.org/officeDocument/2006/relationships/image" Target="media/188b80ca915d65012ce8165a40ff897fb6f243c2.png"/>
<Relationship Id="rId96" Type="http://schemas.openxmlformats.org/officeDocument/2006/relationships/image" Target="media/050f6219b5abe43875b453559745233632a4da82.png"/>
<Relationship Id="rId97" Type="http://schemas.openxmlformats.org/officeDocument/2006/relationships/image" Target="media/29ef6af35aa645336088749b472592e079269e00.png"/>
<Relationship Id="rId98" Type="http://schemas.openxmlformats.org/officeDocument/2006/relationships/image" Target="media/ba2ca9116b383739a850fba90931430f9b636568.png"/>
<Relationship Id="rId99" Type="http://schemas.openxmlformats.org/officeDocument/2006/relationships/image" Target="media/1a56e8c4bd860cc32642894a8dcf61da850e0b3c.png"/>
<Relationship Id="rId100" Type="http://schemas.openxmlformats.org/officeDocument/2006/relationships/image" Target="media/80dbfec83afa67654b048284a8ef8a4abb99c44e.png"/>
<Relationship Id="rId101" Type="http://schemas.openxmlformats.org/officeDocument/2006/relationships/image" Target="media/16d10944041218d45949efd1d888e0f7e760ef91.png"/>
<Relationship Id="rId102" Type="http://schemas.openxmlformats.org/officeDocument/2006/relationships/image" Target="media/d5c661201987bc2aba5d5b157b5a2d6f770c681a.png"/>
<Relationship Id="rId103" Type="http://schemas.openxmlformats.org/officeDocument/2006/relationships/image" Target="media/1c8bcf41b033e84089203e3245c67223028833cf.png"/>
</Relationships>

</file>

<file path=word/_rels/footnotes.xml.rels><?xml version="1.0" encoding="UTF-8" standalone="yes"?>

<Relationships  xmlns="http://schemas.openxmlformats.org/package/2006/relationships">
<Relationship Id="rId81" Type="http://schemas.openxmlformats.org/officeDocument/2006/relationships/hyperlink" Target="https://github.com/DJERAKEI221/-Groupe10_Theme8_Package_Janitor" TargetMode="External"/>
<Relationship Id="rId73" Type="http://schemas.openxmlformats.org/officeDocument/2006/relationships/hyperlink" Target="https://github.com/awa-d/TP10_RProject2025_TableauxAvecGtsummary" TargetMode="External"/>
<Relationship Id="rId75" Type="http://schemas.openxmlformats.org/officeDocument/2006/relationships/hyperlink" Target="https://github.com/dior204/Theme13-Autonomisation-des-rapports-avec-R-Le-package-Rmarkdown" TargetMode="External"/>
<Relationship Id="rId77" Type="http://schemas.openxmlformats.org/officeDocument/2006/relationships/hyperlink" Target="https://github.com/malickseneisep2/Tidyverse" TargetMode="External"/>
<Relationship Id="rId79" Type="http://schemas.openxmlformats.org/officeDocument/2006/relationships/hyperlink" Target="https://resources.vam.wfp.org/data-analysis/quantitative/food-consumption-score"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Words>
  <Characters>22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Tendances mondiales de la consommation de café</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2025-05-20T14:11:02Z</dcterms:created>
  <dcterms:modified xsi:type="dcterms:W3CDTF">2025-05-20T14:11:06Z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
  </property>
  <property fmtid="{D5CDD505-2E9C-101B-9397-08002B2CF9AE}" pid="4" name="output">
    <vt:lpwstr/>
  </property>
</Properties>
</file>