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jc w:val="center"/>
        <w:pStyle w:val="Figure"/>
      </w:pPr>
      <w:r>
        <w:rPr/>
        <w:drawing>
          <wp:inline distT="0" distB="0" distL="0" distR="0">
            <wp:extent cx="1828800" cy="146304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67"/>
                    <a:stretch>
                      <a:fillRect/>
                    </a:stretch>
                  </pic:blipFill>
                  <pic:spPr bwMode="auto">
                    <a:xfrm>
                      <a:off x="0" y="0"/>
                      <a:ext cx="25400" cy="2032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4"/>
                <w:szCs w:val="24"/>
                <w:color w:val="000000"/>
              </w:rPr>
            </w:pPr>
            <w:r>
              <w:rPr>
                <w:rFonts w:ascii="Times New Roman" w:hAnsi="Times New Roman" w:eastAsia="Times New Roman" w:cs="Times New Roman"/>
                <w:i w:val="true"/>
                <w:b w:val="true"/>
                <w:u w:val="none"/>
                <w:sz w:val="24"/>
                <w:szCs w:val="24"/>
                <w:color w:val="000000"/>
              </w:rPr>
              <w:t xml:space="preserve">Agence nationale de la Statistique et de la démographie</w:t>
            </w:r>
          </w:p>
        </w:tc>
      </w:tr>
    </w:tbl>
    <w:p>
      <w:pPr>
        <w:jc w:val="center"/>
        <w:pStyle w:val="Figure"/>
      </w:pPr>
      <w:r>
        <w:rPr/>
        <w:drawing>
          <wp:inline distT="0" distB="0" distL="0" distR="0">
            <wp:extent cx="1828800" cy="146304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68"/>
                    <a:stretch>
                      <a:fillRect/>
                    </a:stretch>
                  </pic:blipFill>
                  <pic:spPr bwMode="auto">
                    <a:xfrm>
                      <a:off x="0" y="0"/>
                      <a:ext cx="25400" cy="2032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Ecole nationale de la Statistique et de l'Analyse économique Pierre Ndiaye</w:t>
            </w:r>
          </w:p>
        </w:tc>
      </w:tr>
    </w:tbl>
    <w:p>
      <w:pPr>
        <w:jc w:val="center"/>
        <w:pStyle w:val="Figure"/>
      </w:pPr>
      <w:r>
        <w:rPr/>
        <w:drawing>
          <wp:inline distT="0" distB="0" distL="0" distR="0">
            <wp:extent cx="914400" cy="73152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69"/>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0" w:before="200" w:line="240"/>
              <w:ind w:left="200" w:right="200" w:firstLine="0" w:firstLineChars="0"/>
              <w:rPr>
                <w:rFonts w:ascii="Times New Roman" w:hAnsi="Times New Roman" w:eastAsia="Times New Roman" w:cs="Times New Roman"/>
                <w:i w:val="false"/>
                <w:b w:val="true"/>
                <w:u w:val="none"/>
                <w:sz w:val="20"/>
                <w:szCs w:val="20"/>
                <w:color w:val="000000"/>
              </w:rPr>
            </w:pPr>
            <w:r>
              <w:rPr>
                <w:rFonts w:ascii="Times New Roman" w:hAnsi="Times New Roman" w:eastAsia="Times New Roman" w:cs="Times New Roman"/>
                <w:i w:val="false"/>
                <w:b w:val="true"/>
                <w:u w:val="none"/>
                <w:sz w:val="20"/>
                <w:szCs w:val="20"/>
                <w:color w:val="000000"/>
              </w:rPr>
              <w:t xml:space="preserve">Examen final : Projet statistique avec R</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32"/>
                <w:szCs w:val="32"/>
                <w:color w:val="000000"/>
              </w:rPr>
            </w:pPr>
            <w:r>
              <w:rPr>
                <w:rFonts w:ascii="Times New Roman" w:hAnsi="Times New Roman" w:eastAsia="Times New Roman" w:cs="Times New Roman"/>
                <w:i w:val="true"/>
                <w:b w:val="true"/>
                <w:u w:val="none"/>
                <w:sz w:val="32"/>
                <w:szCs w:val="32"/>
                <w:color w:val="000000"/>
              </w:rPr>
              <w:t xml:space="preserve">Diagnostic de la sécurité alimentaire au Tchad : approche par indicateurs</w:t>
            </w:r>
          </w:p>
        </w:tc>
      </w:tr>
    </w:tbl>
    <w:p>
      <w:pPr>
        <w:jc w:val="center"/>
        <w:pStyle w:val="Figure"/>
      </w:pPr>
      <w:r>
        <w:rPr/>
        <w:drawing>
          <wp:inline distT="0" distB="0" distL="0" distR="0">
            <wp:extent cx="1828800" cy="146304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70"/>
                    <a:stretch>
                      <a:fillRect/>
                    </a:stretch>
                  </pic:blipFill>
                  <pic:spPr bwMode="auto">
                    <a:xfrm>
                      <a:off x="0" y="0"/>
                      <a:ext cx="25400" cy="2032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Rédigé par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Sous la supervision de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Awa Diaw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Élève en ISE1 cycle 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Research analyst à IFPRI</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6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Année académique 2024-2025</w:t>
            </w:r>
          </w:p>
        </w:tc>
      </w:tr>
    </w:tbl>
    <w:p>
      <w:r>
        <w:br w:type="page"/>
      </w:r>
    </w:p>
    <w:bookmarkStart w:id="20" w:name="sommaire"/>
    <w:p>
      <w:pPr>
        <w:pStyle w:val="Titre1"/>
      </w:pPr>
      <w:r>
        <w:t xml:space="preserve">Sommaire</w:t>
      </w:r>
    </w:p>
    <w:p>
      <w:r>
        <w:br w:type="page"/>
      </w:r>
    </w:p>
    <w:bookmarkEnd w:id="20"/>
    <w:bookmarkStart w:id="21"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e-des-tableaux"/>
    <w:p>
      <w:pPr>
        <w:pStyle w:val="Titre1"/>
      </w:pPr>
      <w:r>
        <w:t xml:space="preserve">Liste des tableaux</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4" w:name="introduction"/>
    <w:p>
      <w:pPr>
        <w:pStyle w:val="Titre1"/>
      </w:pPr>
      <w:r>
        <w:t xml:space="preserve">Introduction</w:t>
      </w:r>
    </w:p>
    <w:p>
      <w:pPr>
        <w:pStyle w:val="FirstParagraph"/>
      </w:pPr>
      <w:r>
        <w:t xml:space="preserve">Ce rapport présente une analyse statistique complète réalisée dans le cadre de l’examen de projet statistique sur R pour ISE1 cycle long</w:t>
      </w:r>
      <w:r>
        <w:rPr>
          <w:rStyle w:val="FootnoteReference"/>
        </w:rPr>
        <w:footnoteReference w:id="23"/>
      </w:r>
      <w:r>
        <w:t xml:space="preserve">. L’objectif est d’analyser un ensemble de données relatives à la sécurité alimentaire et aux stratégies d’adaptation des ménages. Ce rapport suit les instructions fournies dans le sujet d’examen et comprend une analyse de consistance des données, le calcul d’indicateurs de sécurité alimentaire, des analyses socio-démographiques et des visualisations spatiales.</w:t>
      </w:r>
      <w:r>
        <w:t xml:space="preserve"> </w:t>
      </w:r>
      <w:r>
        <w:t xml:space="preserve">L’ensemble des traitements a été réalisé avec des outils du langage R, garantissant rigueur, reproductibilité et lisibilité des résultats.</w:t>
      </w:r>
    </w:p>
    <w:p>
      <w:r>
        <w:br w:type="page"/>
      </w:r>
    </w:p>
    <w:bookmarkEnd w:id="24"/>
    <w:bookmarkStart w:id="31" w:name="Xc5fd7e062d63a769cab45545655a23473cf9487"/>
    <w:p>
      <w:pPr>
        <w:pStyle w:val="Titre1"/>
      </w:pPr>
      <w:r>
        <w:t xml:space="preserve">I. Importation et Analyse de consistance des bases</w:t>
      </w:r>
    </w:p>
    <w:bookmarkStart w:id="25" w:name="importation-des-jeux-de-données"/>
    <w:p>
      <w:pPr>
        <w:pStyle w:val="Titre2"/>
      </w:pPr>
      <w:r>
        <w:t xml:space="preserve">1. Importation des jeux de données</w:t>
      </w:r>
    </w:p>
    <w:p>
      <w:pPr>
        <w:pStyle w:val="FirstParagraph"/>
      </w:pPr>
      <w:r>
        <w:t xml:space="preserve">La base</w:t>
      </w:r>
      <w:r>
        <w:t xml:space="preserve"> </w:t>
      </w:r>
      <w:r>
        <w:rPr>
          <w:rStyle w:val="VerbatimChar"/>
        </w:rPr>
        <w:t xml:space="preserve">Base_MAD.dta</w:t>
      </w:r>
      <w:r>
        <w:t xml:space="preserve"> </w:t>
      </w:r>
      <w:r>
        <w:t xml:space="preserve">compte 26 variables pour</w:t>
      </w:r>
      <w:r>
        <w:t xml:space="preserve"> </w:t>
      </w:r>
      <w:r>
        <w:rPr>
          <w:rStyle w:val="VerbatimChar"/>
        </w:rPr>
        <w:t xml:space="preserve">nrow(mad_dataset)</w:t>
      </w:r>
      <w:r>
        <w:t xml:space="preserve"> </w:t>
      </w:r>
      <w:r>
        <w:t xml:space="preserve">observations.</w:t>
      </w:r>
      <w:r>
        <w:br/>
      </w:r>
      <w:r>
        <w:t xml:space="preserve">Alors que la base</w:t>
      </w:r>
      <w:r>
        <w:t xml:space="preserve"> </w:t>
      </w:r>
      <w:r>
        <w:rPr>
          <w:rStyle w:val="VerbatimChar"/>
        </w:rPr>
        <w:t xml:space="preserve">Base_Principale.dta</w:t>
      </w:r>
      <w:r>
        <w:t xml:space="preserve"> </w:t>
      </w:r>
      <w:r>
        <w:t xml:space="preserve">compte 100 variables pour</w:t>
      </w:r>
      <w:r>
        <w:t xml:space="preserve"> </w:t>
      </w:r>
      <w:r>
        <w:rPr>
          <w:rStyle w:val="VerbatimChar"/>
        </w:rPr>
        <w:t xml:space="preserve">nrow(principal_dataset)</w:t>
      </w:r>
      <w:r>
        <w:t xml:space="preserve"> </w:t>
      </w:r>
      <w:r>
        <w:t xml:space="preserve">observations.</w:t>
      </w:r>
    </w:p>
    <w:bookmarkEnd w:id="25"/>
    <w:bookmarkStart w:id="29" w:name="analyse-de-consistance"/>
    <w:p>
      <w:pPr>
        <w:pStyle w:val="Titre2"/>
      </w:pPr>
      <w:r>
        <w:t xml:space="preserve">2. Analyse de consistance</w:t>
      </w:r>
    </w:p>
    <w:p>
      <w:pPr>
        <w:pStyle w:val="FirstParagraph"/>
      </w:pPr>
      <w:r>
        <w:t xml:space="preserve">L’analyse de consistance est une étape cruciale pour s’assurer de la qualité des données avant de procéder à des analyses plus poussées.Nous allons nettoyer les bases avec janitor</w:t>
      </w:r>
      <w:r>
        <w:t xml:space="preserve">(Yves Djarekei and Hildegarde Edima Biyenda 2025)</w:t>
      </w:r>
      <w:r>
        <w:t xml:space="preserve">.avant de procéder à leur fusion afin de garantir une jointure correcte. Fusionner sans nettoyage peut entraîner des erreurs, des doublons ou la perte d’informations.</w:t>
      </w:r>
    </w:p>
    <w:bookmarkStart w:id="26" w:name="nettoyage"/>
    <w:p>
      <w:pPr>
        <w:pStyle w:val="Titre3"/>
      </w:pPr>
      <w:r>
        <w:t xml:space="preserve">1. Nettoyage</w:t>
      </w:r>
    </w:p>
    <w:bookmarkEnd w:id="26"/>
    <w:bookmarkStart w:id="27" w:name="cohérence-des-variables"/>
    <w:p>
      <w:pPr>
        <w:pStyle w:val="Titre3"/>
      </w:pPr>
      <w:r>
        <w:t xml:space="preserve">2. Cohérence des variables</w:t>
      </w:r>
    </w:p>
    <w:p>
      <w:pPr>
        <w:pStyle w:val="FirstParagraph"/>
      </w:pPr>
      <w:r>
        <w:t xml:space="preserve">Dans la base initiale mad_dataset, la valeur 888 est utilisée pour indiquer que la réponse est « ne sait pas ». Afin d’éviter que cette valeur soit interprétée comme une donnée réelle lors des analyses statistiques ou graphiques,c’est pourquoi dans la suite du nettoyage, elle doit être convertie en NA, la représentation standard des valeurs manquantes en R.</w:t>
      </w:r>
    </w:p>
    <w:bookmarkEnd w:id="27"/>
    <w:bookmarkStart w:id="28" w:name="valeurs-manquantes"/>
    <w:p>
      <w:pPr>
        <w:pStyle w:val="Titre3"/>
      </w:pPr>
      <w:r>
        <w:t xml:space="preserve">3. Valeurs manquantes</w:t>
      </w:r>
    </w:p>
    <w:p>
      <w:pPr>
        <w:numPr>
          <w:ilvl w:val="0"/>
          <w:numId w:val="1001"/>
        </w:numPr>
        <w:pStyle w:val="Compact"/>
      </w:pPr>
      <w:r>
        <w:t xml:space="preserve">Visualisation des missings</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71"/>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72"/>
                    <a:stretch>
                      <a:fillRect/>
                    </a:stretch>
                  </pic:blipFill>
                  <pic:spPr bwMode="auto">
                    <a:xfrm>
                      <a:off x="0" y="0"/>
                      <a:ext cx="63500" cy="50800"/>
                    </a:xfrm>
                    <a:prstGeom prst="rect">
                      <a:avLst/>
                    </a:prstGeom>
                    <a:noFill/>
                  </pic:spPr>
                </pic:pic>
              </a:graphicData>
            </a:graphic>
          </wp:inline>
        </w:drawing>
      </w:r>
    </w:p>
    <w:p>
      <w:pPr>
        <w:pStyle w:val="FirstParagraph"/>
      </w:pPr>
      <w:r>
        <w:t xml:space="preserve">Dans cette analyse de consistance, nous avons standardisé les noms des variables en utilisant</w:t>
      </w:r>
      <w:r>
        <w:t xml:space="preserve"> </w:t>
      </w:r>
      <w:r>
        <w:rPr>
          <w:rStyle w:val="VerbatimChar"/>
        </w:rPr>
        <w:t xml:space="preserve">clean_names()</w:t>
      </w:r>
      <w:r>
        <w:t xml:space="preserve"> </w:t>
      </w:r>
      <w:r>
        <w:t xml:space="preserve">du package</w:t>
      </w:r>
      <w:r>
        <w:t xml:space="preserve"> </w:t>
      </w:r>
      <w:r>
        <w:rPr>
          <w:rStyle w:val="VerbatimChar"/>
        </w:rPr>
        <w:t xml:space="preserve">janitor</w:t>
      </w:r>
      <w:r>
        <w:t xml:space="preserve">.</w:t>
      </w:r>
    </w:p>
    <w:p>
      <w:pPr>
        <w:pStyle w:val="BodyText"/>
      </w:pPr>
      <w:r>
        <w:t xml:space="preserve">Concernant les valeurs manquantes, les N/A ne signifient pas toujours des données absentes. Par exemple, dans la variable</w:t>
      </w:r>
      <w:r>
        <w:t xml:space="preserve"> </w:t>
      </w:r>
      <w:r>
        <w:rPr>
          <w:rStyle w:val="VerbatimChar"/>
        </w:rPr>
        <w:t xml:space="preserve">everbreast</w:t>
      </w:r>
      <w:r>
        <w:t xml:space="preserve"> </w:t>
      </w:r>
      <w:r>
        <w:t xml:space="preserve">un</w:t>
      </w:r>
      <w:r>
        <w:t xml:space="preserve"> </w:t>
      </w:r>
      <w:r>
        <w:t xml:space="preserve">“</w:t>
      </w:r>
      <w:r>
        <w:t xml:space="preserve">ne sait pas</w:t>
      </w:r>
      <w:r>
        <w:t xml:space="preserve">”</w:t>
      </w:r>
      <w:r>
        <w:t xml:space="preserve"> </w:t>
      </w:r>
      <w:r>
        <w:t xml:space="preserve">pourrait expliquer la présence de N/A. C’est pourquoi nous n’allons pas procéder à des imputations.</w:t>
      </w:r>
    </w:p>
    <w:bookmarkEnd w:id="28"/>
    <w:bookmarkEnd w:id="29"/>
    <w:bookmarkStart w:id="30" w:name="fusion-des-deux-bases"/>
    <w:p>
      <w:pPr>
        <w:pStyle w:val="Titre2"/>
      </w:pPr>
      <w:r>
        <w:t xml:space="preserve">4. Fusion des deux bases</w:t>
      </w:r>
    </w:p>
    <w:p>
      <w:pPr>
        <w:pStyle w:val="FirstParagraph"/>
      </w:pPr>
      <w:r>
        <w:t xml:space="preserve">Dans la suite des analyses, il est impératif de fusionner les deux bases.</w:t>
      </w:r>
      <w:r>
        <w:t xml:space="preserve"> </w:t>
      </w:r>
      <w:r>
        <w:t xml:space="preserve">Nous avons utilisé right_join() car principal_dataset constitue la base principale d’analyse, contenant 8950 observations. Nous souhaitons y ajouter les informations complémentaires de mad_dataset2 2204, sans perdre aucune unité statistique présente dans la base principale.</w:t>
      </w:r>
    </w:p>
    <w:bookmarkEnd w:id="30"/>
    <w:bookmarkEnd w:id="31"/>
    <w:bookmarkStart w:id="60" w:name="X4ad41f3e4a0cda3b75da8985f8b37c4b76d246b"/>
    <w:p>
      <w:pPr>
        <w:pStyle w:val="Titre1"/>
      </w:pPr>
      <w:r>
        <w:t xml:space="preserve">II. Analyse des données et calcul d’indicateurs</w:t>
      </w:r>
    </w:p>
    <w:p>
      <w:pPr>
        <w:pStyle w:val="FirstParagraph"/>
      </w:pPr>
      <w:r>
        <w:t xml:space="preserve">Commençons par explorer notre base de données :</w:t>
      </w:r>
    </w:p>
    <w:bookmarkStart w:id="37" w:name="analyse-socio-démographique-des-ménages"/>
    <w:p>
      <w:pPr>
        <w:pStyle w:val="Titre2"/>
      </w:pPr>
      <w:r>
        <w:t xml:space="preserve">1. Analyse socio-démographique des ménages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1 : Analyse socio-démographique des ménages</w:t>
      </w:r>
    </w:p>
    <w:tbl xmlns:w14="http://schemas.microsoft.com/office/word/2010/wordml">
      <w:tblPr>
        <w:tblLayout w:type="fixed"/>
        <w:jc w:val="center"/>
        <w:tblLook w:firstRow="1" w:lastRow="0" w:firstColumn="0" w:lastColumn="0" w:noHBand="0" w:noVBand="1"/>
      </w:tblPr>
      <w:tblGrid>
        <w:gridCol w:w="2270"/>
        <w:gridCol w:w="4220"/>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Variables socio-démographiques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Description</w:t>
            </w:r>
          </w:p>
        </w:tc>
      </w:tr>
      <w:tr>
        <w:trPr>
          <w:trHeight w:val="61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Taille du ménage</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Sexe du chef de ménage</w:t>
            </w:r>
          </w:p>
        </w:tc>
      </w:tr>
      <w:tr>
        <w:trPr>
          <w:trHeight w:val="654"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Âge du chef de ménage</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hhh_edu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Niveau d'éducation du chef de ménage</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hh_source_income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Source de revenu du ménage</w:t>
            </w:r>
          </w:p>
        </w:tc>
      </w:tr>
      <w:tr>
        <w:trPr>
          <w:trHeight w:val="615"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admin1name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Région</w:t>
            </w:r>
          </w:p>
        </w:tc>
      </w:tr>
      <w:tr>
        <w:trPr>
          <w:trHeight w:val="613"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admin2name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Département</w:t>
            </w:r>
          </w:p>
        </w:tc>
      </w:tr>
    </w:tbl>
    <w:p>
      <w:pPr>
        <w:pStyle w:val="FirstParagraph"/>
      </w:pPr>
      <w:r>
        <w:t xml:space="preserve">Le tableau ci-dessus</w:t>
      </w:r>
      <w:r>
        <w:t xml:space="preserve"> </w:t>
      </w:r>
      <w:hyperlink w:anchor="tab_variables">
        <w:r xmlns:w14="http://schemas.microsoft.com/office/word/2010/wordml">
          <w:rPr/>
          <w:fldChar w:fldCharType="begin" w:dirty="true"/>
        </w:r>
        <w:r xmlns:w14="http://schemas.microsoft.com/office/word/2010/wordml">
          <w:rPr/>
          <w:instrText xml:space="preserve" w:dirty="true"> REF tab_variables \h</w:instrText>
        </w:r>
        <w:r xmlns:w14="http://schemas.microsoft.com/office/word/2010/wordml">
          <w:rPr/>
          <w:fldChar w:fldCharType="end" w:dirty="true"/>
        </w:r>
      </w:hyperlink>
      <w:r>
        <w:t xml:space="preserve"> </w:t>
      </w:r>
      <w:r>
        <w:t xml:space="preserve">récapitule les variables sociodémographiques.Les variables sur la situation matrimoniale et l’activité du chef de ménage n’ont que des valeurs manquantes.Elles n’ont pas été prises en compte.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2 : Caractéristiques socio démographiques des ménages tchadiens</w:t>
      </w:r>
    </w:p>
    <w:tbl xmlns:w14="http://schemas.microsoft.com/office/word/2010/wordml">
      <w:tblPr>
        <w:tblLayout w:type="autofit"/>
        <w:jc w:val="center"/>
        <w:tblW w:type="pct" w:w="0"/>
        <w:tblLook w:firstRow="1" w:lastRow="0" w:firstColumn="0" w:lastColumn="0" w:noHBand="0" w:noVBand="1"/>
      </w:tblPr>
      <w:tr>
        <w:trPr>
          <w:trHeight w:val="7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Variables socio-démographiques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Tchad</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9,079</w:t>
            </w:r>
            <w:r>
              <w:rPr>
                <w:rFonts w:ascii="Arial" w:hAnsi="Arial" w:eastAsia="Arial" w:cs="Arial"/>
                <w:i w:val="false"/>
                <w:b w:val="false"/>
                <w:u w:val="none"/>
                <w:vertAlign w:val="superscript"/>
                <w:sz w:val="16"/>
                <w:szCs w:val="16"/>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Taille du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7.64 (13.59)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Sexe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4,006 (44%)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5,073 (56%)</w:t>
            </w:r>
          </w:p>
        </w:tc>
      </w:tr>
      <w:tr>
        <w:trPr>
          <w:trHeight w:val="65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Âge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Niveau d'éducation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Aucune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1,878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3,728 (62%)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273 (4.5%)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131 (2.2%)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 (0.4%)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Source de revenu du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Agriculture vivrière/ou de rente (hors maraîchage)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880 (51%)</w:t>
            </w:r>
          </w:p>
        </w:tc>
      </w:tr>
      <w:tr>
        <w:trPr>
          <w:trHeight w:val="6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Élevage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 (1.6%)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des produits maraîchers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188 (11%)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d'animaux ou de produits d'élevage (lait, fromage, œufs,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(0.3%)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la pêche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 (2.0%)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chasse/cueillette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 (1.3%)</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Commerce des produits alimentaires ou animaux non produits par le ménage lui-même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 (1.9%)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Petit commerce de produits non alimentaires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 (3.9%)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Artisanat/Petits métiers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 (4.9%)</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journalier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156 (9.0%)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Salarié/Pension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 (1.4%)</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 (0.7%)</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Aides/dons et transfert d'argent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105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spécialisé (mécanicien, maçon, tailleur, coiffeur, gros commerce/commerce 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 (1.8%)</w:t>
            </w:r>
          </w:p>
        </w:tc>
      </w:tr>
      <w:tr>
        <w:trPr>
          <w:trHeight w:val="617"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Autres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69 (4.0%)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n (%)</w:t>
            </w:r>
          </w:p>
        </w:tc>
      </w:tr>
    </w:tbl>
    <w:p>
      <w:pPr>
        <w:pStyle w:val="BodyText"/>
      </w:pPr>
      <w:r>
        <w:t xml:space="preserve">L’analyse socio-démographique</w:t>
      </w:r>
      <w:r>
        <w:t xml:space="preserve"> </w:t>
      </w:r>
      <w:hyperlink w:anchor="table_socio_demo">
        <w:r xmlns:w14="http://schemas.microsoft.com/office/word/2010/wordml">
          <w:rPr/>
          <w:fldChar w:fldCharType="begin" w:dirty="true"/>
        </w:r>
        <w:r xmlns:w14="http://schemas.microsoft.com/office/word/2010/wordml">
          <w:rPr/>
          <w:instrText xml:space="preserve" w:dirty="true"> REF table_socio_demo \h</w:instrText>
        </w:r>
        <w:r xmlns:w14="http://schemas.microsoft.com/office/word/2010/wordml">
          <w:rPr/>
          <w:fldChar w:fldCharType="end" w:dirty="true"/>
        </w:r>
      </w:hyperlink>
      <w:r>
        <w:t xml:space="preserve"> </w:t>
      </w:r>
      <w:r>
        <w:t xml:space="preserve">révèle des différences significatives entre les années maddataset et pdataset concernant la distribution par sexe des chefs de ménage, leur âge moyen et la taille des ménages. On observe notamment une légère augmentation de la proportion de femmes chefs de ménage entre maddataset et pdataset.</w:t>
      </w:r>
    </w:p>
    <w:p>
      <w:pPr>
        <w:pStyle w:val="BodyText"/>
      </w:pPr>
      <w:r>
        <w:t xml:space="preserve">##2. Calcul du Score de Consommation Alimentaire (FCS)</w:t>
      </w:r>
    </w:p>
    <w:p>
      <w:pPr>
        <w:pStyle w:val="BodyText"/>
      </w:pPr>
      <w:r>
        <w:t xml:space="preserve">Le Score de Consommation Alimentaire (FCS) est un indicateur proxy de la sécurité alimentaire des ménages développé par le Programme Alimentaire Mondial (PAM).</w:t>
      </w:r>
    </w:p>
    <w:bookmarkStart w:id="32" w:name="X4999cffaace4eb00c0125ea508af082bb1cf4bb"/>
    <w:p>
      <w:pPr>
        <w:pStyle w:val="Titre3"/>
      </w:pPr>
      <w:r>
        <w:t xml:space="preserve">a. Les variables nécessaires pour le calcul du FCS</w:t>
      </w:r>
    </w:p>
    <w:p>
      <w:pPr>
        <w:pStyle w:val="FirstParagraph"/>
      </w:pPr>
      <w:r>
        <w:t xml:space="preserve">Ce sont les variables commençant par FCS</w:t>
      </w:r>
    </w:p>
    <w:p>
      <w:pPr>
        <w:pStyle w:val="BodyText"/>
      </w:pPr>
      <w:r>
        <w:t xml:space="preserve">Les variables concernées sont : fcs_stap, fcs_stap_s_rf, fcs_pulse, fcs_pulse_s_rf, fcs_dairy, fcs_dairy_s_rf, fcs_pr, fcs_pr_s_rf, fcs_pr_meat_f, fcs_pr_meat_o, fcs_pr_fish, fcs_pr_egg, fcs_veg, fcs_veg_s_rf, fcs_veg_org, fcs_veg_gre, fcs_fruit, fcs_fruit_s_rf, fcs_fruit_org, fcs_fat, fcs_fat_s_rf, fcs_sugar, fcs_sugar_s_rf, fcs_cond, fcs_cond_s_rf.</w:t>
      </w:r>
    </w:p>
    <w:bookmarkEnd w:id="32"/>
    <w:bookmarkStart w:id="33" w:name="X3e79965a5f590481b78518dba0ab023a6a84f0a"/>
    <w:p>
      <w:pPr>
        <w:pStyle w:val="Titre3"/>
      </w:pPr>
      <w:r>
        <w:t xml:space="preserve">b.Calculer le score de consommation alimentaire</w:t>
      </w:r>
    </w:p>
    <w:p>
      <w:pPr>
        <w:pStyle w:val="FirstParagraph"/>
      </w:pPr>
      <w:r>
        <w:t xml:space="preserve">Les scores ont été trouvé au</w:t>
      </w:r>
      <w:r>
        <w:t xml:space="preserve"> </w:t>
      </w:r>
      <w:r>
        <w:t xml:space="preserve">(Programme 2008)</w:t>
      </w:r>
      <w:r>
        <w:t xml:space="preserve">.Voici, la formule de calcul du fcs :</w:t>
      </w:r>
    </w:p>
    <w:p>
      <w:pPr>
        <w:pStyle w:val="BodyText"/>
      </w:pPr>
      <m:oMathPara>
        <m:oMathParaPr>
          <m:jc m:val="center"/>
        </m:oMathParaPr>
        <m:oMath>
          <m:r>
            <m:t>F</m:t>
          </m:r>
          <m:r>
            <m:t>C</m:t>
          </m:r>
          <m:r>
            <m:t>S</m:t>
          </m:r>
          <m:r>
            <m:rPr>
              <m:sty m:val="p"/>
            </m:rPr>
            <m:t>=</m:t>
          </m:r>
          <m:d>
            <m:dPr>
              <m:begChr m:val="("/>
              <m:endChr m:val=")"/>
              <m:sepChr m:val=""/>
              <m:grow/>
            </m:dPr>
            <m:e>
              <m:r>
                <m:t>f</m:t>
              </m:r>
              <m:r>
                <m:t>c</m:t>
              </m:r>
              <m:r>
                <m:t>s</m:t>
              </m:r>
              <m:r>
                <m:rPr>
                  <m:sty m:val="p"/>
                </m:rPr>
                <m:t>_</m:t>
              </m:r>
              <m:r>
                <m:t>s</m:t>
              </m:r>
              <m:r>
                <m:t>t</m:t>
              </m:r>
              <m:r>
                <m:t>a</m:t>
              </m:r>
              <m:r>
                <m:t>p</m:t>
              </m:r>
              <m:r>
                <m:rPr>
                  <m:sty m:val="p"/>
                </m:rPr>
                <m:t>×</m:t>
              </m:r>
              <m:r>
                <m:t>2</m:t>
              </m:r>
            </m:e>
          </m:d>
          <m:r>
            <m:rPr>
              <m:sty m:val="p"/>
            </m:rPr>
            <m:t>+</m:t>
          </m:r>
          <m:d>
            <m:dPr>
              <m:begChr m:val="("/>
              <m:endChr m:val=")"/>
              <m:sepChr m:val=""/>
              <m:grow/>
            </m:dPr>
            <m:e>
              <m:r>
                <m:t>f</m:t>
              </m:r>
              <m:r>
                <m:t>c</m:t>
              </m:r>
              <m:r>
                <m:t>s</m:t>
              </m:r>
              <m:r>
                <m:rPr>
                  <m:sty m:val="p"/>
                </m:rPr>
                <m:t>_</m:t>
              </m:r>
              <m:r>
                <m:t>p</m:t>
              </m:r>
              <m:r>
                <m:t>u</m:t>
              </m:r>
              <m:r>
                <m:t>l</m:t>
              </m:r>
              <m:r>
                <m:t>s</m:t>
              </m:r>
              <m:r>
                <m:t>e</m:t>
              </m:r>
              <m:r>
                <m:rPr>
                  <m:sty m:val="p"/>
                </m:rPr>
                <m:t>×</m:t>
              </m:r>
              <m:r>
                <m:t>3</m:t>
              </m:r>
            </m:e>
          </m:d>
          <m:r>
            <m:rPr>
              <m:sty m:val="p"/>
            </m:rPr>
            <m:t>+</m:t>
          </m:r>
          <m:d>
            <m:dPr>
              <m:begChr m:val="("/>
              <m:endChr m:val=")"/>
              <m:sepChr m:val=""/>
              <m:grow/>
            </m:dPr>
            <m:e>
              <m:r>
                <m:t>f</m:t>
              </m:r>
              <m:r>
                <m:t>c</m:t>
              </m:r>
              <m:r>
                <m:t>s</m:t>
              </m:r>
              <m:r>
                <m:rPr>
                  <m:sty m:val="p"/>
                </m:rPr>
                <m:t>_</m:t>
              </m:r>
              <m:r>
                <m:t>d</m:t>
              </m:r>
              <m:r>
                <m:t>a</m:t>
              </m:r>
              <m:r>
                <m:t>i</m:t>
              </m:r>
              <m:r>
                <m:t>r</m:t>
              </m:r>
              <m:r>
                <m:t>y</m:t>
              </m:r>
              <m:r>
                <m:rPr>
                  <m:sty m:val="p"/>
                </m:rPr>
                <m:t>×</m:t>
              </m:r>
              <m:r>
                <m:t>4</m:t>
              </m:r>
            </m:e>
          </m:d>
          <m:r>
            <m:rPr>
              <m:sty m:val="p"/>
            </m:rPr>
            <m:t>+</m:t>
          </m:r>
          <m:d>
            <m:dPr>
              <m:begChr m:val="("/>
              <m:endChr m:val=")"/>
              <m:sepChr m:val=""/>
              <m:grow/>
            </m:dPr>
            <m:e>
              <m:r>
                <m:t>f</m:t>
              </m:r>
              <m:r>
                <m:t>c</m:t>
              </m:r>
              <m:r>
                <m:t>s</m:t>
              </m:r>
              <m:r>
                <m:rPr>
                  <m:sty m:val="p"/>
                </m:rPr>
                <m:t>_</m:t>
              </m:r>
              <m:r>
                <m:t>p</m:t>
              </m:r>
              <m:r>
                <m:t>r</m:t>
              </m:r>
              <m:r>
                <m:rPr>
                  <m:sty m:val="p"/>
                </m:rPr>
                <m:t>×</m:t>
              </m:r>
              <m:r>
                <m:t>4</m:t>
              </m:r>
            </m:e>
          </m:d>
          <m:r>
            <m:rPr>
              <m:sty m:val="p"/>
            </m:rPr>
            <m:t>+</m:t>
          </m:r>
          <m:d>
            <m:dPr>
              <m:begChr m:val="("/>
              <m:endChr m:val=")"/>
              <m:sepChr m:val=""/>
              <m:grow/>
            </m:dPr>
            <m:e>
              <m:r>
                <m:t>f</m:t>
              </m:r>
              <m:r>
                <m:t>c</m:t>
              </m:r>
              <m:r>
                <m:t>s</m:t>
              </m:r>
              <m:r>
                <m:rPr>
                  <m:sty m:val="p"/>
                </m:rPr>
                <m:t>_</m:t>
              </m:r>
              <m:r>
                <m:t>v</m:t>
              </m:r>
              <m:r>
                <m:t>e</m:t>
              </m:r>
              <m:r>
                <m:t>g</m:t>
              </m:r>
              <m:r>
                <m:rPr>
                  <m:sty m:val="p"/>
                </m:rPr>
                <m:t>×</m:t>
              </m:r>
              <m:r>
                <m:t>1</m:t>
              </m:r>
            </m:e>
          </m:d>
          <m:r>
            <m:rPr>
              <m:sty m:val="p"/>
            </m:rPr>
            <m:t>+</m:t>
          </m:r>
          <m:d>
            <m:dPr>
              <m:begChr m:val="("/>
              <m:endChr m:val=")"/>
              <m:sepChr m:val=""/>
              <m:grow/>
            </m:dPr>
            <m:e>
              <m:r>
                <m:t>f</m:t>
              </m:r>
              <m:r>
                <m:t>c</m:t>
              </m:r>
              <m:r>
                <m:t>s</m:t>
              </m:r>
              <m:r>
                <m:rPr>
                  <m:sty m:val="p"/>
                </m:rPr>
                <m:t>_</m:t>
              </m:r>
              <m:r>
                <m:t>f</m:t>
              </m:r>
              <m:r>
                <m:t>r</m:t>
              </m:r>
              <m:r>
                <m:t>u</m:t>
              </m:r>
              <m:r>
                <m:t>i</m:t>
              </m:r>
              <m:r>
                <m:t>t</m:t>
              </m:r>
              <m:r>
                <m:rPr>
                  <m:sty m:val="p"/>
                </m:rPr>
                <m:t>×</m:t>
              </m:r>
              <m:r>
                <m:t>1</m:t>
              </m:r>
            </m:e>
          </m:d>
          <m:r>
            <m:rPr>
              <m:sty m:val="p"/>
            </m:rPr>
            <m:t>+</m:t>
          </m:r>
          <m:d>
            <m:dPr>
              <m:begChr m:val="("/>
              <m:endChr m:val=")"/>
              <m:sepChr m:val=""/>
              <m:grow/>
            </m:dPr>
            <m:e>
              <m:r>
                <m:t>f</m:t>
              </m:r>
              <m:r>
                <m:t>c</m:t>
              </m:r>
              <m:r>
                <m:t>s</m:t>
              </m:r>
              <m:r>
                <m:rPr>
                  <m:sty m:val="p"/>
                </m:rPr>
                <m:t>_</m:t>
              </m:r>
              <m:r>
                <m:t>f</m:t>
              </m:r>
              <m:r>
                <m:t>a</m:t>
              </m:r>
              <m:r>
                <m:t>t</m:t>
              </m:r>
              <m:r>
                <m:rPr>
                  <m:sty m:val="p"/>
                </m:rPr>
                <m:t>×</m:t>
              </m:r>
              <m:r>
                <m:t>0.5</m:t>
              </m:r>
            </m:e>
          </m:d>
          <m:r>
            <m:rPr>
              <m:sty m:val="p"/>
            </m:rPr>
            <m:t>+</m:t>
          </m:r>
          <m:d>
            <m:dPr>
              <m:begChr m:val="("/>
              <m:endChr m:val=")"/>
              <m:sepChr m:val=""/>
              <m:grow/>
            </m:dPr>
            <m:e>
              <m:r>
                <m:t>f</m:t>
              </m:r>
              <m:r>
                <m:t>c</m:t>
              </m:r>
              <m:r>
                <m:t>s</m:t>
              </m:r>
              <m:r>
                <m:rPr>
                  <m:sty m:val="p"/>
                </m:rPr>
                <m:t>_</m:t>
              </m:r>
              <m:r>
                <m:t>s</m:t>
              </m:r>
              <m:r>
                <m:t>u</m:t>
              </m:r>
              <m:r>
                <m:t>g</m:t>
              </m:r>
              <m:r>
                <m:t>a</m:t>
              </m:r>
              <m:r>
                <m:t>r</m:t>
              </m:r>
              <m:r>
                <m:rPr>
                  <m:sty m:val="p"/>
                </m:rPr>
                <m:t>×</m:t>
              </m:r>
              <m:r>
                <m:t>0.5</m:t>
              </m:r>
            </m:e>
          </m:d>
          <m:r>
            <m:rPr>
              <m:sty m:val="p"/>
            </m:rPr>
            <m:t>+</m:t>
          </m:r>
          <m:d>
            <m:dPr>
              <m:begChr m:val="("/>
              <m:endChr m:val=")"/>
              <m:sepChr m:val=""/>
              <m:grow/>
            </m:dPr>
            <m:e>
              <m:r>
                <m:t>f</m:t>
              </m:r>
              <m:r>
                <m:t>c</m:t>
              </m:r>
              <m:r>
                <m:t>s</m:t>
              </m:r>
              <m:r>
                <m:rPr>
                  <m:sty m:val="p"/>
                </m:rPr>
                <m:t>_</m:t>
              </m:r>
              <m:r>
                <m:t>c</m:t>
              </m:r>
              <m:r>
                <m:t>o</m:t>
              </m:r>
              <m:r>
                <m:t>n</m:t>
              </m:r>
              <m:r>
                <m:t>d</m:t>
              </m:r>
              <m:r>
                <m:rPr>
                  <m:sty m:val="p"/>
                </m:rPr>
                <m:t>×</m:t>
              </m:r>
              <m:r>
                <m:t>0.5</m:t>
              </m:r>
            </m:e>
          </m:d>
        </m:oMath>
      </m:oMathPara>
    </w:p>
    <w:bookmarkEnd w:id="33"/>
    <w:bookmarkStart w:id="34" w:name="Xeab30258c93da29df59be36c7274661e8d567ea"/>
    <w:p>
      <w:pPr>
        <w:pStyle w:val="Titre3"/>
      </w:pPr>
      <w:r>
        <w:t xml:space="preserve">c. Tableau illustrant les poids attribués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3 : Tableau illustrant les poids attribués</w:t>
      </w:r>
    </w:p>
    <w:tbl xmlns:w14="http://schemas.microsoft.com/office/word/2010/wordml">
      <w:tblPr>
        <w:tblLayout w:type="fixed"/>
        <w:jc w:val="center"/>
        <w:tblLook w:firstRow="1" w:lastRow="0" w:firstColumn="0" w:lastColumn="0" w:noHBand="0" w:noVBand="1"/>
      </w:tblPr>
      <w:tblGrid>
        <w:gridCol w:w="2734"/>
        <w:gridCol w:w="2942"/>
        <w:gridCol w:w="1462"/>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Exemples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Poids.FCS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Céréales,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Riz, pain, manioc, igname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Haricots, lentilles, pois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Lait, yaourt, fromage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Viandes/Poissons/Œufs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 poisson,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Feuilles, gombo, carottes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Mangue, banane, orange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Graisses/Huiles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Huile, beurre, margarine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 miel, confiture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Condiments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Sel, épices, thé, café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16.0</w:t>
            </w:r>
          </w:p>
        </w:tc>
      </w:tr>
    </w:tbl>
    <w:bookmarkEnd w:id="34"/>
    <w:bookmarkStart w:id="35" w:name="X1e52e6495c44167c527de38e338777b8d9d024c"/>
    <w:p>
      <w:pPr>
        <w:pStyle w:val="Titre3"/>
      </w:pPr>
      <w:r>
        <w:t xml:space="preserve">d. Catégorisation du SCA selon les seuil 21/35 et 28/42</w:t>
      </w:r>
    </w:p>
    <w:p>
      <w:pPr>
        <w:pStyle w:val="FirstParagraph"/>
      </w:pPr>
      <w:r>
        <w:t xml:space="preserve">Ici</w:t>
      </w:r>
      <w:r>
        <w:t xml:space="preserve"> </w:t>
      </w:r>
      <w:hyperlink w:anchor="grille-fcs-flextable">
        <w:r xmlns:w14="http://schemas.microsoft.com/office/word/2010/wordml">
          <w:rPr/>
          <w:fldChar w:fldCharType="begin" w:dirty="true"/>
        </w:r>
        <w:r xmlns:w14="http://schemas.microsoft.com/office/word/2010/wordml">
          <w:rPr/>
          <w:instrText xml:space="preserve" w:dirty="true"> REF grille-fcs-flextable \h</w:instrText>
        </w:r>
        <w:r xmlns:w14="http://schemas.microsoft.com/office/word/2010/wordml">
          <w:rPr/>
          <w:fldChar w:fldCharType="end" w:dirty="true"/>
        </w:r>
      </w:hyperlink>
      <w:r>
        <w:t xml:space="preserve">, on crée deux variables catégorielles à partir du score FCS selon différents seuils.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5 : Grille de classification du FCS selon deux jeux de seuils</w:t>
      </w:r>
    </w:p>
    <w:tbl xmlns:w14="http://schemas.microsoft.com/office/word/2010/wordml">
      <w:tblPr>
        <w:tblLayout w:type="fixed"/>
        <w:jc w:val="center"/>
        <w:tblLook w:firstRow="1" w:lastRow="0" w:firstColumn="0" w:lastColumn="0" w:noHBand="0" w:noVBand="1"/>
      </w:tblPr>
      <w:tblGrid>
        <w:gridCol w:w="1499"/>
        <w:gridCol w:w="1834"/>
        <w:gridCol w:w="1834"/>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Grille_1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Grille_2</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 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 28</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 &lt; FCS ≤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 &lt; FCS ≤ 42</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&gt; 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&gt; 42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4 : Classification des ménages selon les seuils FCS 21/35</w:t>
      </w:r>
    </w:p>
    <w:tbl xmlns:w14="http://schemas.microsoft.com/office/word/2010/wordml">
      <w:tblPr>
        <w:tblLayout w:type="fixed"/>
        <w:jc w:val="center"/>
        <w:tblLook w:firstRow="1" w:lastRow="0" w:firstColumn="0" w:lastColumn="0" w:noHBand="0" w:noVBand="1"/>
      </w:tblPr>
      <w:tblGrid>
        <w:gridCol w:w="1499"/>
        <w:gridCol w:w="961"/>
        <w:gridCol w:w="165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Pourcentage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13.0%</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82.8%</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6 : Classification des ménages selon les seuils FCS 28/42</w:t>
      </w:r>
    </w:p>
    <w:tbl xmlns:w14="http://schemas.microsoft.com/office/word/2010/wordml">
      <w:tblPr>
        <w:tblLayout w:type="fixed"/>
        <w:jc w:val="center"/>
        <w:tblLook w:firstRow="1" w:lastRow="0" w:firstColumn="0" w:lastColumn="0" w:noHBand="0" w:noVBand="1"/>
      </w:tblPr>
      <w:tblGrid>
        <w:gridCol w:w="1499"/>
        <w:gridCol w:w="961"/>
        <w:gridCol w:w="165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Pourcentage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9.5%</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18.5%</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72.0%</w:t>
            </w:r>
          </w:p>
        </w:tc>
      </w:tr>
    </w:tbl>
    <w:bookmarkEnd w:id="35"/>
    <w:bookmarkStart w:id="36" w:name="Xb14746398e2ee37f48dea6ebba18ca3dafb0695"/>
    <w:p>
      <w:pPr>
        <w:pStyle w:val="Titre3"/>
      </w:pPr>
      <w:r>
        <w:t xml:space="preserve">e. Répresentation spatiale (région et département) du SCA et de ses différentes catégorisations</w:t>
      </w:r>
    </w:p>
    <w:p>
      <w:pPr>
        <w:pStyle w:val="FirstParagraph"/>
      </w:pPr>
      <w:r>
        <w:t xml:space="preserve">Ici, nous allons assurer une certaine harmonie entre les deux bases (combined_dataset et tchad) en faisant la jointure par code plutot que par nom de niveau administratif afin de réduire de nombre de N/A dans les calculs stratifié (région et département).</w:t>
      </w:r>
    </w:p>
    <w:p>
      <w:pPr>
        <w:pStyle w:val="BodyText"/>
      </w:pPr>
      <w:r>
        <w:t xml:space="preserve">Catégorisons les régions en fonction de leurs moyennes FCS suivant les deux seuils. Pour ce faire, nous allons créer une nouvelle base de données</w:t>
      </w:r>
      <w:r>
        <w:t xml:space="preserve"> </w:t>
      </w:r>
      <w:r>
        <w:t xml:space="preserve">“</w:t>
      </w:r>
      <w:r>
        <w:t xml:space="preserve">régionale</w:t>
      </w:r>
      <w:r>
        <w:t xml:space="preserve">”</w:t>
      </w:r>
      <w:r>
        <w:t xml:space="preserve"> </w:t>
      </w:r>
      <w:r>
        <w:t xml:space="preserve">et procéder aux représentations.</w:t>
      </w:r>
    </w:p>
    <w:p>
      <w:pPr>
        <w:jc w:val="center"/>
        <w:pStyle w:val="Figure"/>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7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6c86bb04-b7d3-462e-a23b-631cca4e642e" w:name="analyse-sca-representation_regions_grille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c86bb04-b7d3-462e-a23b-631cca4e642e"/>
      <w:r>
        <w:rPr>
          <w:rFonts/>
          <w:b w:val="true"/>
        </w:rPr>
        <w:t xml:space="preserve">: </w:t>
      </w:r>
      <w:r>
        <w:t xml:space="preserve">Catégorisation du FCS par région selon le seuil 21/35</w:t>
      </w:r>
    </w:p>
    <w:p>
      <w:pPr>
        <w:jc w:val="center"/>
        <w:pStyle w:val="Figure"/>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7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c1284a0-43b9-44e3-9fda-ddb64d2e8661" w:name="analyse-sca-representation_regions_grille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c1284a0-43b9-44e3-9fda-ddb64d2e8661"/>
      <w:r>
        <w:rPr>
          <w:rFonts/>
          <w:b w:val="true"/>
        </w:rPr>
        <w:t xml:space="preserve">: </w:t>
      </w:r>
      <w:r>
        <w:t xml:space="preserve">Catégorisation du FCS par région selon le seuil 28/42</w:t>
      </w:r>
    </w:p>
    <w:p>
      <w:pPr>
        <w:pStyle w:val="BodyText"/>
      </w:pPr>
      <w:r>
        <w:t xml:space="preserve">Catégorisons maintenant les départements en fonction de leurs moyennes FCS suivant les deux seuils.Pour ce faire, nous allons créer une nouvelle base de données</w:t>
      </w:r>
      <w:r>
        <w:t xml:space="preserve"> </w:t>
      </w:r>
      <w:r>
        <w:t xml:space="preserve">“</w:t>
      </w:r>
      <w:r>
        <w:t xml:space="preserve">départementale</w:t>
      </w:r>
      <w:r>
        <w:t xml:space="preserve">”</w:t>
      </w:r>
      <w:r>
        <w:t xml:space="preserve"> </w:t>
      </w:r>
      <w:r>
        <w:t xml:space="preserve">et procéder aux représentations.</w:t>
      </w:r>
    </w:p>
    <w:p>
      <w:pPr>
        <w:jc w:val="center"/>
        <w:pStyle w:val="Figure"/>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7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e539ad49-de81-4180-9d19-8615d609d4e5" w:name="analyse-sca-representation_departement_grille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539ad49-de81-4180-9d19-8615d609d4e5"/>
      <w:r>
        <w:rPr>
          <w:rFonts/>
          <w:b w:val="true"/>
        </w:rPr>
        <w:t xml:space="preserve">: </w:t>
      </w:r>
      <w:r>
        <w:t xml:space="preserve">Catégorisation du FCS par département selon le seuil 21/35</w:t>
      </w:r>
    </w:p>
    <w:p>
      <w:pPr>
        <w:jc w:val="center"/>
        <w:pStyle w:val="Figure"/>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7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991ec336-c223-44fb-b4ea-174009d6be37" w:name="analyse-sca-representation_departement_grille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91ec336-c223-44fb-b4ea-174009d6be37"/>
      <w:r>
        <w:rPr>
          <w:rFonts/>
          <w:b w:val="true"/>
        </w:rPr>
        <w:t xml:space="preserve">: </w:t>
      </w:r>
      <w:r>
        <w:t xml:space="preserve">Catégorisation du FCS par département selon le seuil 28/42</w:t>
      </w:r>
    </w:p>
    <w:bookmarkEnd w:id="36"/>
    <w:bookmarkEnd w:id="37"/>
    <w:bookmarkStart w:id="42" w:name="X6a364015f8ddad6cca8e03528131f99f6a7f581"/>
    <w:p>
      <w:pPr>
        <w:pStyle w:val="Titre2"/>
      </w:pPr>
      <w:r>
        <w:t xml:space="preserve">4. L’indice réduit des stratégies de survie (rCSI)</w:t>
      </w:r>
    </w:p>
    <w:p>
      <w:pPr>
        <w:pStyle w:val="FirstParagraph"/>
      </w:pPr>
      <w:r>
        <w:t xml:space="preserve">L’indice réduit des stratégies de survie (rCSI) est un indicateur clé pour évaluer le niveau de stress d’un ménage face à une pénurie alimentaire. Il mesure les comportements d’adaptation que les ménages adoptent lorsqu’ils n’ont pas accès à suffisamment de nourriture ou lorsqu’ils anticipent une diminution de leur sécurité alimentaire.</w:t>
      </w:r>
    </w:p>
    <w:bookmarkStart w:id="38" w:name="X8024b8620b15966fa7f18ad0907cbbfc6a04eac"/>
    <w:p>
      <w:pPr>
        <w:pStyle w:val="Titre3"/>
      </w:pPr>
      <w:r>
        <w:t xml:space="preserve">a. Analyse descriptive des variables composant le rCSI</w:t>
      </w:r>
    </w:p>
    <w:p>
      <w:pPr>
        <w:pStyle w:val="FirstParagraph"/>
      </w:pPr>
      <w:r>
        <w:t xml:space="preserve">Commençons par examiner les variables qui composent l’indice RCSI dans notre jeu de données.</w:t>
      </w:r>
    </w:p>
    <w:p>
      <w:pPr>
        <w:pStyle w:val="SourceCode"/>
      </w:pPr>
      <w:r>
        <w:rPr>
          <w:rStyle w:val="VerbatimChar"/>
        </w:rPr>
        <w:t xml:space="preserve">FALSE [1] "r_csi_less_qlty"  "r_csi_borrow"     "r_csi_meal_size"  "r_csi_meal_adult"</w:t>
      </w:r>
      <w:r>
        <w:br/>
      </w:r>
      <w:r>
        <w:rPr>
          <w:rStyle w:val="VerbatimChar"/>
        </w:rPr>
        <w:t xml:space="preserve">FALSE [5] "r_csi_meal_nb"    "geometry"</w:t>
      </w:r>
    </w:p>
    <w:bookmarkEnd w:id="38"/>
    <w:bookmarkStart w:id="39" w:name="b.-calcul-du-score-rcsi"/>
    <w:p>
      <w:pPr>
        <w:pStyle w:val="Titre3"/>
      </w:pPr>
      <w:r>
        <w:t xml:space="preserve">b. Calcul du score RCSI</w:t>
      </w:r>
    </w:p>
    <w:p>
      <w:pPr>
        <w:pStyle w:val="FirstParagraph"/>
      </w:pPr>
      <w:r>
        <w:t xml:space="preserve">Voici la formule de calcul de l’indicateur :</w:t>
      </w:r>
    </w:p>
    <w:p>
      <w:pPr>
        <w:pStyle w:val="BodyText"/>
      </w:pPr>
      <m:oMathPara>
        <m:oMathParaPr>
          <m:jc m:val="center"/>
        </m:oMathParaPr>
        <m:oMath>
          <m:r>
            <m:t>r</m:t>
          </m:r>
          <m:r>
            <m:t>C</m:t>
          </m:r>
          <m:r>
            <m:t>S</m:t>
          </m:r>
          <m:r>
            <m:t>I</m:t>
          </m:r>
          <m:r>
            <m:rPr>
              <m:sty m:val="p"/>
            </m:rPr>
            <m:t>=</m:t>
          </m:r>
          <m:d>
            <m:dPr>
              <m:begChr m:val="("/>
              <m:endChr m:val=")"/>
              <m:sepChr m:val=""/>
              <m:grow/>
            </m:dPr>
            <m:e>
              <m:r>
                <m:t>r</m:t>
              </m:r>
              <m:r>
                <m:rPr>
                  <m:sty m:val="p"/>
                </m:rPr>
                <m:t>_</m:t>
              </m:r>
              <m:r>
                <m:t>c</m:t>
              </m:r>
              <m:r>
                <m:t>s</m:t>
              </m:r>
              <m:r>
                <m:t>i</m:t>
              </m:r>
              <m:r>
                <m:rPr>
                  <m:sty m:val="p"/>
                </m:rPr>
                <m:t>_</m:t>
              </m:r>
              <m:r>
                <m:t>l</m:t>
              </m:r>
              <m:r>
                <m:t>e</m:t>
              </m:r>
              <m:r>
                <m:t>s</m:t>
              </m:r>
              <m:r>
                <m:t>s</m:t>
              </m:r>
              <m:r>
                <m:rPr>
                  <m:sty m:val="p"/>
                </m:rPr>
                <m:t>_</m:t>
              </m:r>
              <m:r>
                <m:t>q</m:t>
              </m:r>
              <m:r>
                <m:t>l</m:t>
              </m:r>
              <m:r>
                <m:t>t</m:t>
              </m:r>
              <m:r>
                <m:t>y</m:t>
              </m:r>
              <m:r>
                <m:rPr>
                  <m:sty m:val="p"/>
                </m:rPr>
                <m:t>×</m:t>
              </m:r>
              <m:r>
                <m:t>1</m:t>
              </m:r>
            </m:e>
          </m:d>
          <m:r>
            <m:rPr>
              <m:sty m:val="p"/>
            </m:rPr>
            <m:t>+</m:t>
          </m:r>
          <m:d>
            <m:dPr>
              <m:begChr m:val="("/>
              <m:endChr m:val=")"/>
              <m:sepChr m:val=""/>
              <m:grow/>
            </m:dPr>
            <m:e>
              <m:r>
                <m:t>r</m:t>
              </m:r>
              <m:r>
                <m:rPr>
                  <m:sty m:val="p"/>
                </m:rPr>
                <m:t>_</m:t>
              </m:r>
              <m:r>
                <m:t>c</m:t>
              </m:r>
              <m:r>
                <m:t>s</m:t>
              </m:r>
              <m:r>
                <m:t>i</m:t>
              </m:r>
              <m:r>
                <m:rPr>
                  <m:sty m:val="p"/>
                </m:rPr>
                <m:t>_</m:t>
              </m:r>
              <m:r>
                <m:t>b</m:t>
              </m:r>
              <m:r>
                <m:t>o</m:t>
              </m:r>
              <m:r>
                <m:t>r</m:t>
              </m:r>
              <m:r>
                <m:t>r</m:t>
              </m:r>
              <m:r>
                <m:t>o</m:t>
              </m:r>
              <m:r>
                <m:t>w</m:t>
              </m:r>
              <m:r>
                <m:rPr>
                  <m:sty m:val="p"/>
                </m:rPr>
                <m:t>×</m:t>
              </m:r>
              <m:r>
                <m:t>2</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s</m:t>
              </m:r>
              <m:r>
                <m:t>i</m:t>
              </m:r>
              <m:r>
                <m:t>z</m:t>
              </m:r>
              <m:r>
                <m:t>e</m:t>
              </m:r>
              <m:r>
                <m:rPr>
                  <m:sty m:val="p"/>
                </m:rPr>
                <m:t>×</m:t>
              </m:r>
              <m:r>
                <m:t>1</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a</m:t>
              </m:r>
              <m:r>
                <m:t>d</m:t>
              </m:r>
              <m:r>
                <m:t>u</m:t>
              </m:r>
              <m:r>
                <m:t>l</m:t>
              </m:r>
              <m:r>
                <m:t>t</m:t>
              </m:r>
              <m:r>
                <m:rPr>
                  <m:sty m:val="p"/>
                </m:rPr>
                <m:t>×</m:t>
              </m:r>
              <m:r>
                <m:t>3</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n</m:t>
              </m:r>
              <m:r>
                <m:t>b</m:t>
              </m:r>
              <m:r>
                <m:rPr>
                  <m:sty m:val="p"/>
                </m:rPr>
                <m:t>×</m:t>
              </m:r>
              <m:r>
                <m:t>1</m:t>
              </m:r>
            </m:e>
          </m:d>
        </m:oMath>
      </m:oMathPara>
    </w:p>
    <w:bookmarkEnd w:id="39"/>
    <w:bookmarkStart w:id="40" w:name="c.-table"/>
    <w:p>
      <w:pPr>
        <w:pStyle w:val="Titre3"/>
      </w:pPr>
      <w:r>
        <w:t xml:space="preserve">c. Table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7 : Poids pour le calcul du RCSI</w:t>
      </w:r>
    </w:p>
    <w:tbl xmlns:w14="http://schemas.microsoft.com/office/word/2010/wordml">
      <w:tblPr>
        <w:tblLayout w:type="fixed"/>
        <w:jc w:val="center"/>
        <w:tblLook w:firstRow="1" w:lastRow="0" w:firstColumn="0" w:lastColumn="0" w:noHBand="0" w:noVBand="1"/>
      </w:tblPr>
      <w:tblGrid>
        <w:gridCol w:w="7203"/>
        <w:gridCol w:w="154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Stratégie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 RCSI</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Consommer des aliments moins préférés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Emprunter de la nourriture ou de l'argent pour acheter de la nourriture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taille des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consommation des adultes pour les enfants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w:t>
            </w:r>
          </w:p>
        </w:tc>
      </w:tr>
      <w:tr>
        <w:trPr>
          <w:trHeight w:val="615"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le nombre de repas par jour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bl>
    <w:p>
      <w:pPr>
        <w:pStyle w:val="FirstParagraph"/>
      </w:pPr>
      <w:r>
        <w:t xml:space="preserve">Le tableau ci-dessus présente les poids standards attribués à chaque stratégie d’adaptation pour le calcul de l’indice RCSI. La somme totale des poids est de 8, ce qui signifie que le score maximal théorique serait de 56 (si toutes les stratégies étaient utilisées tous les jours de la semaine).</w:t>
      </w:r>
    </w:p>
    <w:bookmarkEnd w:id="40"/>
    <w:bookmarkStart w:id="41" w:name="X12ff2740b1bfd5897c6f25de061eeb6a6b7d02b"/>
    <w:p>
      <w:pPr>
        <w:pStyle w:val="Titre3"/>
      </w:pPr>
      <w:r>
        <w:t xml:space="preserve">d. Représentation spatiale du rCSI par région et département</w:t>
      </w:r>
    </w:p>
    <w:p>
      <w:pPr>
        <w:pStyle w:val="FirstParagraph"/>
      </w:pPr>
      <w:r>
        <w:t xml:space="preserve">Analysons maintenant la distribution spatiale de l’indice RCSI au niveau des régions et départements du Tchad (moyenne).</w:t>
      </w:r>
    </w:p>
    <w:p>
      <w:pPr>
        <w:jc w:val="center"/>
        <w:pStyle w:val="Figure"/>
      </w:pPr>
      <w:r>
        <w:rPr/>
        <w:drawing>
          <wp:inline distT="0" distB="0" distL="0" distR="0">
            <wp:extent cx="45720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695c006f-8534-4933-9442-dd60a2b8f886" w:name="representation-rcsi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95c006f-8534-4933-9442-dd60a2b8f886"/>
      <w:r>
        <w:rPr>
          <w:rFonts/>
          <w:b w:val="true"/>
        </w:rPr>
        <w:t xml:space="preserve">: </w:t>
      </w:r>
      <w:r>
        <w:t xml:space="preserve">Distribution spatiale du rCSI par région (moyenne)</w:t>
      </w:r>
    </w:p>
    <w:p>
      <w:pPr>
        <w:jc w:val="center"/>
        <w:pStyle w:val="Figure"/>
      </w:pPr>
      <w:r>
        <w:rPr/>
        <w:drawing>
          <wp:inline distT="0" distB="0" distL="0" distR="0">
            <wp:extent cx="4572000"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de8fd614-9de5-43ee-9815-d997e249cd79" w:name="representation-rcsi_de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e8fd614-9de5-43ee-9815-d997e249cd79"/>
      <w:r>
        <w:rPr>
          <w:rFonts/>
          <w:b w:val="true"/>
        </w:rPr>
        <w:t xml:space="preserve">: </w:t>
      </w:r>
      <w:r>
        <w:t xml:space="preserve">Distribution spatiale du rCSI par département (moyenne)</w:t>
      </w:r>
    </w:p>
    <w:bookmarkEnd w:id="41"/>
    <w:bookmarkEnd w:id="42"/>
    <w:bookmarkStart w:id="46" w:name="X33a1165d97efc642e00c134c3d58785365995b5"/>
    <w:p>
      <w:pPr>
        <w:pStyle w:val="Titre2"/>
      </w:pPr>
      <w:r>
        <w:t xml:space="preserve">4. Stratégies d’adaptation aux moyens d’existence (LhCSI)</w:t>
      </w:r>
    </w:p>
    <w:bookmarkStart w:id="43" w:name="X6ee1ea8e0ec2bb0154832664c34528e41bd94dc"/>
    <w:p>
      <w:pPr>
        <w:pStyle w:val="Titre3"/>
      </w:pPr>
      <w:r>
        <w:t xml:space="preserve">a.Analyse descriptive des variables qui composent le LhCSI</w:t>
      </w:r>
    </w:p>
    <w:p>
      <w:pPr>
        <w:pStyle w:val="FirstParagraph"/>
      </w:pPr>
      <w:r>
        <w:t xml:space="preserve">Commençons par examiner les variables qui composent l’indice</w:t>
      </w:r>
      <w:r>
        <w:t xml:space="preserve"> </w:t>
      </w:r>
      <w:r>
        <w:rPr>
          <w:iCs/>
          <w:i/>
        </w:rPr>
        <w:t xml:space="preserve">Livelihood Coping Strategies Index</w:t>
      </w:r>
      <w:r>
        <w:t xml:space="preserve"> </w:t>
      </w:r>
      <w:r>
        <w:t xml:space="preserve">dans notre jeu de données.</w:t>
      </w:r>
    </w:p>
    <w:p>
      <w:pPr>
        <w:pStyle w:val="BodyText"/>
      </w:pPr>
      <w:r>
        <w:t xml:space="preserve">Les variables d’intéret sont : lh_csi_stress1, lh_csi_stress2, lh_csi_stress3, lh_csi_stress4, lh_csi_crisis1, lh_csi_crisis2, lh_csi_crisis3, lh_csi_emergency1, lh_csi_emergency2, lh_csi_emergency3.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8 : Tableau descriptif des variables LhCSI</w:t>
      </w:r>
    </w:p>
    <w:tbl xmlns:w14="http://schemas.microsoft.com/office/word/2010/wordml">
      <w:tblPr>
        <w:tblLayout w:type="fixed"/>
        <w:jc w:val="center"/>
        <w:tblLook w:firstRow="1" w:lastRow="0" w:firstColumn="0" w:lastColumn="0" w:noHBand="0" w:noVBand="1"/>
      </w:tblPr>
      <w:tblGrid>
        <w:gridCol w:w="2306"/>
        <w:gridCol w:w="5865"/>
      </w:tblGrid>
      <w:tr>
        <w:trPr>
          <w:trHeight w:val="61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Description</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Dépenses alimentaires réduites</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Utilisation d’épargne pour acheter de la nourriture</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Achat de nourriture à crédit ou emprunt</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Réduction des portions des adultes pour les enfants</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Vente de biens non productifs (ex. bijoux, meubles)</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Réduction des dépenses essentielles (santé, éducation)</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Aide financière extérieure ou dette importante</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Vente d'actifs productifs (terre, bétail, outils)</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Migration d’un membre pour travail alimentaire</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Exploitation illégale ou dangereuse pour la survie</w:t>
            </w:r>
          </w:p>
        </w:tc>
      </w:tr>
    </w:tbl>
    <w:bookmarkEnd w:id="43"/>
    <w:bookmarkStart w:id="44" w:name="Xf8daf73e8acb4d36ff1d6ec19779f8380601a30"/>
    <w:p>
      <w:pPr>
        <w:pStyle w:val="Titre3"/>
      </w:pPr>
      <w:r>
        <w:t xml:space="preserve">b. Calcul des proportions de menage en situation de stress, de crise et d’urgence en 2022 et 2023</w:t>
      </w:r>
    </w:p>
    <w:p>
      <w:pPr>
        <w:pStyle w:val="FirstParagraph"/>
      </w:pPr>
      <w:r>
        <w:t xml:space="preserve">Voici les formules de calculs :</w:t>
      </w:r>
    </w:p>
    <w:p>
      <w:pPr>
        <w:numPr>
          <w:ilvl w:val="0"/>
          <w:numId w:val="1002"/>
        </w:numPr>
      </w:pPr>
      <w:r>
        <w:t xml:space="preserve">Stress</w:t>
      </w:r>
    </w:p>
    <w:p>
      <w:pPr>
        <w:pStyle w:val="BodyText"/>
      </w:pPr>
      <m:oMathPara>
        <m:oMathParaPr>
          <m:jc m:val="center"/>
        </m:oMathParaPr>
        <m:oMath>
          <m:r>
            <m:rPr>
              <m:nor/>
              <m:sty m:val="p"/>
            </m:rPr>
            <m:t>Prop_Stress</m:t>
          </m:r>
          <m:r>
            <m:rPr>
              <m:sty m:val="p"/>
            </m:rPr>
            <m:t>=</m:t>
          </m:r>
          <m:f>
            <m:fPr>
              <m:type m:val="bar"/>
            </m:fPr>
            <m:num>
              <m:r>
                <m:rPr>
                  <m:nor/>
                  <m:sty m:val="p"/>
                </m:rPr>
                <m:t>Nombre de ménages ayant utilisé au moins une stratégie de stress (== 3)</m:t>
              </m:r>
            </m:num>
            <m:den>
              <m:r>
                <m:rPr>
                  <m:nor/>
                  <m:sty m:val="p"/>
                </m:rPr>
                <m:t>Nombre total de ménages</m:t>
              </m:r>
            </m:den>
          </m:f>
        </m:oMath>
      </m:oMathPara>
    </w:p>
    <w:p>
      <w:pPr>
        <w:numPr>
          <w:ilvl w:val="0"/>
          <w:numId w:val="1002"/>
        </w:numPr>
      </w:pPr>
      <w:r>
        <w:t xml:space="preserve">Crise</w:t>
      </w:r>
    </w:p>
    <w:p>
      <w:pPr>
        <w:pStyle w:val="BodyText"/>
      </w:pPr>
      <m:oMathPara>
        <m:oMathParaPr>
          <m:jc m:val="center"/>
        </m:oMathParaPr>
        <m:oMath>
          <m:r>
            <m:rPr>
              <m:nor/>
              <m:sty m:val="p"/>
            </m:rPr>
            <m:t>Prop_Crise</m:t>
          </m:r>
          <m:r>
            <m:rPr>
              <m:sty m:val="p"/>
            </m:rPr>
            <m:t>=</m:t>
          </m:r>
          <m:f>
            <m:fPr>
              <m:type m:val="bar"/>
            </m:fPr>
            <m:num>
              <m:r>
                <m:rPr>
                  <m:nor/>
                  <m:sty m:val="p"/>
                </m:rPr>
                <m:t>Nombre de ménages ayant utilisé au moins une stratégie de crise (== 3)</m:t>
              </m:r>
            </m:num>
            <m:den>
              <m:r>
                <m:rPr>
                  <m:nor/>
                  <m:sty m:val="p"/>
                </m:rPr>
                <m:t>Nombre total de ménages</m:t>
              </m:r>
            </m:den>
          </m:f>
        </m:oMath>
      </m:oMathPara>
    </w:p>
    <w:p>
      <w:pPr>
        <w:numPr>
          <w:ilvl w:val="0"/>
          <w:numId w:val="1002"/>
        </w:numPr>
      </w:pPr>
      <w:r>
        <w:t xml:space="preserve">Urgence</w:t>
      </w:r>
    </w:p>
    <w:p>
      <w:pPr>
        <w:pStyle w:val="BodyText"/>
      </w:pPr>
      <m:oMathPara>
        <m:oMathParaPr>
          <m:jc m:val="center"/>
        </m:oMathParaPr>
        <m:oMath>
          <m:r>
            <m:rPr>
              <m:nor/>
              <m:sty m:val="p"/>
            </m:rPr>
            <m:t>Prop_Urgence</m:t>
          </m:r>
          <m:r>
            <m:rPr>
              <m:sty m:val="p"/>
            </m:rPr>
            <m:t>=</m:t>
          </m:r>
          <m:f>
            <m:fPr>
              <m:type m:val="bar"/>
            </m:fPr>
            <m:num>
              <m:r>
                <m:rPr>
                  <m:nor/>
                  <m:sty m:val="p"/>
                </m:rPr>
                <m:t>Nombre de ménages ayant utilisé au moins une stratégie d’urgence (== 3)</m:t>
              </m:r>
            </m:num>
            <m:den>
              <m:r>
                <m:rPr>
                  <m:nor/>
                  <m:sty m:val="p"/>
                </m:rPr>
                <m:t>Nombre total de ménages</m:t>
              </m:r>
            </m:den>
          </m:f>
        </m:oMath>
      </m:oMathPara>
    </w:p>
    <w:p>
      <w:pPr>
        <w:pStyle w:val="FirstParagraph"/>
      </w:pPr>
      <w:r>
        <w:t xml:space="preserve">En 2022, la proportion de ménages en situation de stress est de 34.2, NA %,</w:t>
      </w:r>
      <w:r>
        <w:t xml:space="preserve"> </w:t>
      </w:r>
      <w:r>
        <w:t xml:space="preserve">en situation de crise 6.1, NA %,</w:t>
      </w:r>
      <w:r>
        <w:t xml:space="preserve"> </w:t>
      </w:r>
      <w:r>
        <w:t xml:space="preserve">et en urgence 5.3, NA %.</w:t>
      </w:r>
    </w:p>
    <w:p>
      <w:pPr>
        <w:pStyle w:val="BodyText"/>
      </w:pPr>
      <w:r>
        <w:t xml:space="preserve">En 2023, ces proportions sont respectivement de 17.8, NA %,</w:t>
      </w:r>
      <w:r>
        <w:t xml:space="preserve"> </w:t>
      </w:r>
      <w:r>
        <w:t xml:space="preserve">4.2, NA %,</w:t>
      </w:r>
      <w:r>
        <w:t xml:space="preserve"> </w:t>
      </w:r>
      <w:r>
        <w:t xml:space="preserve">et 4.9, NA %.</w:t>
      </w:r>
    </w:p>
    <w:bookmarkEnd w:id="44"/>
    <w:bookmarkStart w:id="45" w:name="X48664b6af3e2d21ee4e5e1c2981a331d0d57879"/>
    <w:p>
      <w:pPr>
        <w:pStyle w:val="Titre3"/>
      </w:pPr>
      <w:r>
        <w:t xml:space="preserve">c. Représentation spatiale (region et departement) des strategies d’adaptation par année</w:t>
      </w:r>
    </w:p>
    <w:p>
      <w:pPr>
        <w:jc w:val="center"/>
        <w:pStyle w:val="Figure"/>
      </w:pPr>
      <w:r>
        <w:rPr/>
        <w:drawing>
          <wp:inline distT="0" distB="0" distL="0" distR="0">
            <wp:extent cx="4572000"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2d23d5a-c93b-460a-9286-8e59df891a55" w:name="representation_lhcsi_re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2d23d5a-c93b-460a-9286-8e59df891a55"/>
      <w:r>
        <w:rPr>
          <w:rFonts/>
          <w:b w:val="true"/>
        </w:rPr>
        <w:t xml:space="preserve">: </w:t>
      </w:r>
      <w:r>
        <w:t xml:space="preserve">Proportion de ménages en situation de stress par région</w:t>
      </w:r>
    </w:p>
    <w:p>
      <w:pPr>
        <w:numPr>
          <w:ilvl w:val="0"/>
          <w:numId w:val="1003"/>
        </w:numPr>
        <w:pStyle w:val="Compact"/>
      </w:pPr>
      <w:r>
        <w:t xml:space="preserve">Crise + region</w:t>
      </w:r>
    </w:p>
    <w:p>
      <w:pPr>
        <w:jc w:val="center"/>
        <w:pStyle w:val="Figure"/>
      </w:pPr>
      <w:r>
        <w:rPr/>
        <w:drawing>
          <wp:inline distT="0" distB="0" distL="0" distR="0">
            <wp:extent cx="45720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586fa1a-69bf-41f7-8bdc-9a97ecf28403" w:name="representation_lhcsi_reg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86fa1a-69bf-41f7-8bdc-9a97ecf28403"/>
      <w:r>
        <w:rPr>
          <w:rFonts/>
          <w:b w:val="true"/>
        </w:rPr>
        <w:t xml:space="preserve">: </w:t>
      </w:r>
      <w:r>
        <w:t xml:space="preserve">Proportion de ménages en situation de crise par région</w:t>
      </w:r>
    </w:p>
    <w:p>
      <w:pPr>
        <w:numPr>
          <w:ilvl w:val="0"/>
          <w:numId w:val="1004"/>
        </w:numPr>
        <w:pStyle w:val="Compact"/>
      </w:pPr>
      <w:r>
        <w:t xml:space="preserve">Urgence + region</w:t>
      </w:r>
    </w:p>
    <w:p>
      <w:pPr>
        <w:jc w:val="center"/>
        <w:pStyle w:val="Figure"/>
      </w:pPr>
      <w:r>
        <w:rPr/>
        <w:drawing>
          <wp:inline distT="0" distB="0" distL="0" distR="0">
            <wp:extent cx="4572000"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25af25ab-a6f2-4e79-8418-1904690a1255" w:name="representation_lhcsi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5af25ab-a6f2-4e79-8418-1904690a1255"/>
      <w:r>
        <w:rPr>
          <w:rFonts/>
          <w:b w:val="true"/>
        </w:rPr>
        <w:t xml:space="preserve">: </w:t>
      </w:r>
      <w:r>
        <w:t xml:space="preserve">Proportion de ménages en situation d’urgence par région</w:t>
      </w:r>
    </w:p>
    <w:bookmarkEnd w:id="45"/>
    <w:bookmarkEnd w:id="46"/>
    <w:bookmarkStart w:id="50" w:name="score-de-diversité-alimentaire"/>
    <w:p>
      <w:pPr>
        <w:pStyle w:val="Titre2"/>
      </w:pPr>
      <w:r>
        <w:t xml:space="preserve">5. Score de diversité alimentaire</w:t>
      </w:r>
    </w:p>
    <w:bookmarkStart w:id="47" w:name="X2053310767cd3f407ea093eac92dcc5fec0e847"/>
    <w:p>
      <w:pPr>
        <w:pStyle w:val="Titre3"/>
      </w:pPr>
      <w:r>
        <w:t xml:space="preserve">a. Analyse descriptive des variables qui composent le module HDDS</w:t>
      </w:r>
    </w:p>
    <w:p>
      <w:pPr>
        <w:pStyle w:val="SourceCode"/>
      </w:pPr>
      <w:r>
        <w:rPr>
          <w:rStyle w:val="VerbatimChar"/>
        </w:rPr>
        <w:t xml:space="preserve">FALSE  [1] "hdds_ch"        "hdds_stap_cer"  "hdds_stap_root" "hdds_pulse"    </w:t>
      </w:r>
      <w:r>
        <w:br/>
      </w:r>
      <w:r>
        <w:rPr>
          <w:rStyle w:val="VerbatimChar"/>
        </w:rPr>
        <w:t xml:space="preserve">FALSE  [5] "hdds_veg_org"   "hdds_veg_gre"   "hdds_veg_oth"   "hdds_fruit_org"</w:t>
      </w:r>
      <w:r>
        <w:br/>
      </w:r>
      <w:r>
        <w:rPr>
          <w:rStyle w:val="VerbatimChar"/>
        </w:rPr>
        <w:t xml:space="preserve">FALSE  [9] "hdds_fruit_oth" "hdds_pr_meat_f" "hdds_pr_meat_o" "hdds_pr_fish"  </w:t>
      </w:r>
      <w:r>
        <w:br/>
      </w:r>
      <w:r>
        <w:rPr>
          <w:rStyle w:val="VerbatimChar"/>
        </w:rPr>
        <w:t xml:space="preserve">FALSE [13] "hdds_pr_egg"    "hdds_dairy"     "hdds_sugar"     "hdds_fat"      </w:t>
      </w:r>
      <w:r>
        <w:br/>
      </w:r>
      <w:r>
        <w:rPr>
          <w:rStyle w:val="VerbatimChar"/>
        </w:rPr>
        <w:t xml:space="preserve">FALSE [17] "hdds_cond"      "hdds_pr_meat"</w:t>
      </w:r>
    </w:p>
    <w:p>
      <w:pPr>
        <w:pStyle w:val="FirstParagraph"/>
      </w:pPr>
      <w:r>
        <w:t xml:space="preserve">Les variables retenus sont hdds_ch, hdds_stap_cer, hdds_stap_root, hdds_pulse, hdds_veg_org, hdds_veg_gre, hdds_veg_oth, hdds_fruit_org, hdds_fruit_oth, hdds_pr_meat_f, hdds_pr_meat_o, hdds_pr_fish, hdds_pr_egg, hdds_dairy, hdds_sugar, hdds_fat, hdds_cond, hdds_pr_meat.</w:t>
      </w:r>
    </w:p>
    <w:bookmarkEnd w:id="47"/>
    <w:bookmarkStart w:id="48" w:name="X07e6598e9098c40cddad44fbcf9da56d8eb33ff"/>
    <w:p>
      <w:pPr>
        <w:pStyle w:val="Titre3"/>
      </w:pPr>
      <w:r>
        <w:t xml:space="preserve">b. Calculer le score de diversité alimentaire des ménages</w:t>
      </w:r>
    </w:p>
    <w:bookmarkEnd w:id="48"/>
    <w:bookmarkStart w:id="49" w:name="X7979e0e06801749089cc5382e0b0b453b59e409"/>
    <w:p>
      <w:pPr>
        <w:pStyle w:val="Titre3"/>
      </w:pPr>
      <w:r>
        <w:t xml:space="preserve">c. Faites une representation spatiale (region et departement) du score de diversité alimentaire</w:t>
      </w:r>
    </w:p>
    <w:p>
      <w:pPr>
        <w:jc w:val="center"/>
        <w:pStyle w:val="Figure"/>
      </w:pPr>
      <w:r>
        <w:rPr/>
        <w:drawing>
          <wp:inline distT="0" distB="0" distL="0" distR="0">
            <wp:extent cx="4572000"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8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f3f886a0-4695-4021-b3e5-213fe1bbecd1" w:name="representation_hdds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3f886a0-4695-4021-b3e5-213fe1bbecd1"/>
      <w:r>
        <w:rPr>
          <w:rFonts/>
          <w:b w:val="true"/>
        </w:rPr>
        <w:t xml:space="preserve">: </w:t>
      </w:r>
      <w:r>
        <w:t xml:space="preserve">Score de diversité alimentaire par région</w:t>
      </w:r>
    </w:p>
    <w:p>
      <w:pPr>
        <w:jc w:val="center"/>
        <w:pStyle w:val="Figure"/>
      </w:pPr>
      <w:r>
        <w:rPr/>
        <w:drawing>
          <wp:inline distT="0" distB="0" distL="0" distR="0">
            <wp:extent cx="45720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13e634e-4a08-4170-b261-5f643581b539" w:name="representation_hdds_de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3e634e-4a08-4170-b261-5f643581b539"/>
      <w:r>
        <w:rPr>
          <w:rFonts/>
          <w:b w:val="true"/>
        </w:rPr>
        <w:t xml:space="preserve">: </w:t>
      </w:r>
      <w:r>
        <w:t xml:space="preserve">Score de diversité alimentaire par département</w:t>
      </w:r>
    </w:p>
    <w:bookmarkEnd w:id="49"/>
    <w:bookmarkEnd w:id="50"/>
    <w:bookmarkStart w:id="54" w:name="score-de-résilience-auto-évaluée-sers"/>
    <w:p>
      <w:pPr>
        <w:pStyle w:val="Titre2"/>
      </w:pPr>
      <w:r>
        <w:t xml:space="preserve">6. Score de résilience auto-évaluée (SERS)</w:t>
      </w:r>
    </w:p>
    <w:bookmarkStart w:id="51" w:name="X19fbd2ee5d7c45cefe4f3fec56ac40104305d06"/>
    <w:p>
      <w:pPr>
        <w:pStyle w:val="Titre3"/>
      </w:pPr>
      <w:r>
        <w:t xml:space="preserve">a. Analyse descriptive des variables qui composent le module SERS</w:t>
      </w:r>
    </w:p>
    <w:p>
      <w:pPr>
        <w:pStyle w:val="FirstParagraph"/>
      </w:pPr>
      <w:r>
        <w:t xml:space="preserve">Les variables retenus sont sers_rebondir, sers_revenue, sers_moyen, sers_difficultes, sers_survivre, sers_fam_amis, sers_politiciens, sers_lecons, sers_preparer_future, sers_avertissement_even.</w:t>
      </w:r>
    </w:p>
    <w:bookmarkEnd w:id="51"/>
    <w:bookmarkStart w:id="52" w:name="b.-calcul-du-score-sers"/>
    <w:p>
      <w:pPr>
        <w:pStyle w:val="Titre3"/>
      </w:pPr>
      <w:r>
        <w:t xml:space="preserve">b. Calcul du score SERS</w:t>
      </w:r>
    </w:p>
    <w:bookmarkEnd w:id="52"/>
    <w:bookmarkStart w:id="53" w:name="c.-représentation-spatiale"/>
    <w:p>
      <w:pPr>
        <w:pStyle w:val="Titre3"/>
      </w:pPr>
      <w:r>
        <w:t xml:space="preserve">c. Représentation spatiale</w:t>
      </w:r>
    </w:p>
    <w:p>
      <w:pPr>
        <w:jc w:val="center"/>
        <w:pStyle w:val="Figure"/>
      </w:pPr>
      <w:r>
        <w:rPr/>
        <w:drawing>
          <wp:inline distT="0" distB="0" distL="0" distR="0">
            <wp:extent cx="4572000" cy="36576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10bfae9-02fe-43ef-b545-c0b212ce67b6" w:name="representation_sers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0bfae9-02fe-43ef-b545-c0b212ce67b6"/>
      <w:r>
        <w:rPr>
          <w:rFonts/>
          <w:b w:val="true"/>
        </w:rPr>
        <w:t xml:space="preserve">: </w:t>
      </w:r>
      <w:r>
        <w:t xml:space="preserve">Score de résilience auto-évaluée (SERS) par région catégorisé</w:t>
      </w:r>
    </w:p>
    <w:p>
      <w:pPr>
        <w:jc w:val="center"/>
        <w:pStyle w:val="Figure"/>
      </w:pPr>
      <w:r>
        <w:rPr/>
        <w:drawing>
          <wp:inline distT="0" distB="0" distL="0" distR="0">
            <wp:extent cx="4572000" cy="36576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e038fd0e-26e1-460f-80cf-91f7c79a05e8" w:name="representation_sers_de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38fd0e-26e1-460f-80cf-91f7c79a05e8"/>
      <w:r>
        <w:rPr>
          <w:rFonts/>
          <w:b w:val="true"/>
        </w:rPr>
        <w:t xml:space="preserve">: </w:t>
      </w:r>
      <w:r>
        <w:t xml:space="preserve">Score de résilience auto-évaluée (SERS) par département catégorisé</w:t>
      </w:r>
    </w:p>
    <w:bookmarkEnd w:id="53"/>
    <w:bookmarkEnd w:id="54"/>
    <w:bookmarkStart w:id="59" w:name="Xe68221218a91fcc458e7ec437554bc4960635b6"/>
    <w:p>
      <w:pPr>
        <w:pStyle w:val="Titre2"/>
      </w:pPr>
      <w:r>
        <w:t xml:space="preserve">7. Régime alimentaire minimum acceptable (MAD)</w:t>
      </w:r>
    </w:p>
    <w:p>
      <w:pPr>
        <w:pStyle w:val="FirstParagraph"/>
      </w:pPr>
      <w:r>
        <w:t xml:space="preserve">Ici, nous étudions la proportion d’enfants âgés de 6 à 23 mois bénéficiant d’un régime alimentaire minimum acceptable.</w:t>
      </w:r>
    </w:p>
    <w:bookmarkStart w:id="55" w:name="X6b5f0fa5828ef6f3bc773e62125a24d7a1465f7"/>
    <w:p>
      <w:pPr>
        <w:pStyle w:val="Titre3"/>
      </w:pPr>
      <w:r>
        <w:t xml:space="preserve">a. Créer une variable qui renseigne le nombre de groupes d’aliments consommé par un enfant</w:t>
      </w:r>
    </w:p>
    <w:p>
      <w:pPr>
        <w:pStyle w:val="FirstParagraph"/>
      </w:pPr>
      <w:r>
        <w:t xml:space="preserve">Nous créons ici une nouvelle variable,</w:t>
      </w:r>
      <w:r>
        <w:t xml:space="preserve"> </w:t>
      </w:r>
      <w:r>
        <w:rPr>
          <w:rStyle w:val="VerbatimChar"/>
        </w:rPr>
        <w:t xml:space="preserve">nb_groupes_alim</w:t>
      </w:r>
      <w:r>
        <w:t xml:space="preserve">, qui comptabilise, pour chaque enfant, le</w:t>
      </w:r>
      <w:r>
        <w:t xml:space="preserve"> </w:t>
      </w:r>
      <w:r>
        <w:rPr>
          <w:bCs/>
          <w:b/>
        </w:rPr>
        <w:t xml:space="preserve">nombre de groupes d’aliments pour lesquels la réponse est</w:t>
      </w:r>
      <w:r>
        <w:rPr>
          <w:bCs/>
          <w:b/>
        </w:rPr>
        <w:t xml:space="preserve"> </w:t>
      </w:r>
      <w:r>
        <w:rPr>
          <w:bCs/>
          <w:b/>
        </w:rPr>
        <w:t xml:space="preserve">“</w:t>
      </w:r>
      <w:r>
        <w:rPr>
          <w:bCs/>
          <w:b/>
        </w:rPr>
        <w:t xml:space="preserve">Oui</w:t>
      </w:r>
      <w:r>
        <w:rPr>
          <w:bCs/>
          <w:b/>
        </w:rPr>
        <w:t xml:space="preserve">”</w:t>
      </w:r>
      <w:r>
        <w:t xml:space="preserve">.</w:t>
      </w:r>
    </w:p>
    <w:bookmarkEnd w:id="55"/>
    <w:bookmarkStart w:id="56" w:name="Xc8fd829d6e0d915a3fd77346ed999c2424d39c1"/>
    <w:p>
      <w:pPr>
        <w:pStyle w:val="Titre3"/>
      </w:pPr>
      <w:r>
        <w:t xml:space="preserve">b.Créer une variable DDM qui indique si l’enfant a consommé au moins cinq groupes d’aliments</w:t>
      </w:r>
    </w:p>
    <w:bookmarkEnd w:id="56"/>
    <w:bookmarkStart w:id="57" w:name="X47efb00a8c4e59d03153c82e801353d1f4fd62b"/>
    <w:p>
      <w:pPr>
        <w:pStyle w:val="Titre3"/>
      </w:pPr>
      <w:r>
        <w:t xml:space="preserve">c. Quelle est la proportion d’enfants âgés de 6 à 23 mois bénéficiant d’un régime alimentaire minimum acceptable</w:t>
      </w:r>
    </w:p>
    <w:p>
      <w:pPr>
        <w:pStyle w:val="FirstParagraph"/>
      </w:pPr>
      <w:r>
        <w:t xml:space="preserve">La proportion d’enfants âgés de 6 à 23 mois bénéficiant d’un régime alimentaire minimum acceptable est %.</w:t>
      </w:r>
    </w:p>
    <w:bookmarkEnd w:id="57"/>
    <w:bookmarkStart w:id="58" w:name="X9d0e3767da990217b0b6456572a03b2c83a7a53"/>
    <w:p>
      <w:pPr>
        <w:pStyle w:val="Titre3"/>
      </w:pPr>
      <w:r>
        <w:t xml:space="preserve">d. Statistiques descriptives de cette variable suivant le sexe du chef de menage, l’annee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Tableau  9 : Présence d'un régime MAD suivant l'année et le sexe du chef de ménage</w:t>
      </w:r>
    </w:p>
    <w:tbl xmlns:w14="http://schemas.microsoft.com/office/word/2010/wordml">
      <w:tblPr>
        <w:tblLayout w:type="autofit"/>
        <w:jc w:val="center"/>
        <w:tblW w:type="pct" w:w="0"/>
        <w:tblLook w:firstRow="1" w:lastRow="0" w:firstColumn="0" w:lastColumn="0" w:noHBand="0" w:noVBand="1"/>
      </w:tblPr>
      <w:tr>
        <w:trPr>
          <w:trHeight w:val="26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2022</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2023</w:t>
            </w:r>
          </w:p>
        </w:tc>
      </w:tr>
      <w:tr>
        <w:trPr>
          <w:trHeight w:val="398"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1,744</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1,642</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2,262</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3,431</w:t>
            </w:r>
            <w:r>
              <w:rPr>
                <w:rFonts w:ascii="Arial" w:hAnsi="Arial" w:eastAsia="Arial" w:cs="Arial"/>
                <w:i w:val="false"/>
                <w:b w:val="false"/>
                <w:u w:val="none"/>
                <w:vertAlign w:val="superscript"/>
                <w:sz w:val="16"/>
                <w:szCs w:val="16"/>
                <w:color w:val="000000"/>
              </w:rPr>
              <w:t xml:space="preserve">1</w:t>
            </w:r>
          </w:p>
        </w:tc>
      </w:tr>
      <w:tr>
        <w:trPr>
          <w:trHeight w:val="2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 un régime MAD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1,717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1,598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2,208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3,338 (97%)</w:t>
            </w:r>
          </w:p>
        </w:tc>
      </w:tr>
      <w:tr>
        <w:trPr>
          <w:trHeight w:val="294"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44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93 (2.7%)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Nombre et pourcentage de ménages</w:t>
            </w:r>
          </w:p>
        </w:tc>
      </w:tr>
    </w:tbl>
    <w:bookmarkEnd w:id="58"/>
    <w:bookmarkEnd w:id="59"/>
    <w:bookmarkEnd w:id="60"/>
    <w:bookmarkStart w:id="61" w:name="Xce2da958fde749da3f8648a0d1c2bb771b45805"/>
    <w:p>
      <w:pPr>
        <w:pStyle w:val="Titre1"/>
      </w:pPr>
      <w:r>
        <w:t xml:space="preserve">III. Analyse comparative des indicateurs calculés suivant le genre du chef de ménage</w:t>
      </w:r>
    </w:p>
    <w:p>
      <w:r>
        <w:br w:type="page"/>
      </w:r>
    </w:p>
    <w:bookmarkEnd w:id="61"/>
    <w:bookmarkStart w:id="62" w:name="conclusion"/>
    <w:p>
      <w:pPr>
        <w:pStyle w:val="Titre1"/>
      </w:pPr>
      <w:r>
        <w:t xml:space="preserve">Conclusion</w:t>
      </w:r>
    </w:p>
    <w:p>
      <w:pPr>
        <w:pStyle w:val="FirstParagraph"/>
      </w:pPr>
      <w:r>
        <w:t xml:space="preserve">Dans le cadre de notre projet, nous avons adopté une approche rigoureuse, intégrée et reproductible, en nous appuyant sur un ensemble cohérent de packages de l’écosystème R.</w:t>
      </w:r>
    </w:p>
    <w:p>
      <w:pPr>
        <w:numPr>
          <w:ilvl w:val="0"/>
          <w:numId w:val="1005"/>
        </w:numPr>
      </w:pPr>
      <w:r>
        <w:t xml:space="preserve">tidyverse : importation des données, leur transformation et leur visualisation,</w:t>
      </w:r>
    </w:p>
    <w:p>
      <w:pPr>
        <w:numPr>
          <w:ilvl w:val="0"/>
          <w:numId w:val="1005"/>
        </w:numPr>
      </w:pPr>
      <w:r>
        <w:t xml:space="preserve">janitor : nettoyer les noms de variables, détecter rapidement des anomalies dans les bases de données.</w:t>
      </w:r>
    </w:p>
    <w:p>
      <w:pPr>
        <w:numPr>
          <w:ilvl w:val="0"/>
          <w:numId w:val="1005"/>
        </w:numPr>
      </w:pPr>
      <w:r>
        <w:t xml:space="preserve">gtsummary : produire des tableaux statistiques professionnels, lisibles et personnalisables,</w:t>
      </w:r>
    </w:p>
    <w:p>
      <w:pPr>
        <w:numPr>
          <w:ilvl w:val="0"/>
          <w:numId w:val="1005"/>
        </w:numPr>
      </w:pPr>
      <w:r>
        <w:t xml:space="preserve">officer et officedown :générer automatiquement des rapports Word dynamiques,enrichir les documents de contenus interactifs, assurer une mise en page maîtrisée et une présentation cohérente.</w:t>
      </w:r>
    </w:p>
    <w:p>
      <w:pPr>
        <w:pStyle w:val="FirstParagraph"/>
      </w:pPr>
      <w:r>
        <w:t xml:space="preserve">Ce projet a mobilisé l’ensemble des compétences acquises en traitement, analyse statistique et visualisation de données avec R. À travers les différents modules – Score de Consommation Alimentaire (SCA), Indices de Stratégies de Survie (rCSI, LhCSI), Score de Diversité Alimentaire (HDDS), Score de Résilience Auto-Évaluée (SERS) et Régime Alimentaire Minimum Acceptable (MAD) – nous avons pu analyser la situation des ménages sous plusieurs dimensions de la sécurité alimentaire et de la résilience.</w:t>
      </w:r>
    </w:p>
    <w:p>
      <w:pPr>
        <w:pStyle w:val="BodyText"/>
      </w:pPr>
      <w:r>
        <w:t xml:space="preserve">Chaque indicateur a été construit selon les standards internationaux, accompagné de visualisations spatiales mettant en évidence les disparités régionales et départementales. Une attention particulière a été portée à l’analyse selon le genre du chef de ménage, afin de souligner des inégalités potentielles. Enfin, un outil interactif développé avec Shiny permet une exploration dynamique et intuitive des résultats.</w:t>
      </w:r>
    </w:p>
    <w:p>
      <w:pPr>
        <w:pStyle w:val="BodyText"/>
      </w:pPr>
      <w:r>
        <w:t xml:space="preserve">Ce travail illustre la puissance de l’écosystème R pour transformer des données complexes en informations exploitables, et démontre l’intérêt d’une approche intégrée, reproductible et rigoureuse dans la production d’analyses statistiques utiles à la prise de décision.</w:t>
      </w:r>
    </w:p>
    <w:p>
      <w:r>
        <w:br w:type="page"/>
      </w:r>
    </w:p>
    <w:bookmarkEnd w:id="62"/>
    <w:bookmarkStart w:id="63" w:name="table-des-matières"/>
    <w:p>
      <w:pPr>
        <w:pStyle w:val="Titre1"/>
      </w:pPr>
      <w:r>
        <w:t xml:space="preserve">Table des matières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63"/>
    <w:bookmarkStart w:id="69" w:name="références-bibliographiques"/>
    <w:p>
      <w:pPr>
        <w:pStyle w:val="Titre1"/>
      </w:pPr>
      <w:r>
        <w:t xml:space="preserve">Références bibliographiques</w:t>
      </w:r>
    </w:p>
    <w:bookmarkStart w:id="68" w:name="refs"/>
    <w:bookmarkStart w:id="65" w:name="ref-wfp_fcs"/>
    <w:p>
      <w:pPr>
        <w:pStyle w:val="Bibliography"/>
      </w:pPr>
      <w:r>
        <w:t xml:space="preserve">Programme, World Food. 2008.</w:t>
      </w:r>
      <w:r>
        <w:t xml:space="preserve"> </w:t>
      </w:r>
      <w:r>
        <w:t xml:space="preserve">“Food Consumption Score: Guidelines for Data Analysis.”</w:t>
      </w:r>
      <w:r>
        <w:t xml:space="preserve"> </w:t>
      </w:r>
      <w:hyperlink r:id="rId64">
        <w:r>
          <w:rPr>
            <w:rStyle w:val="Lienhypertexte"/>
          </w:rPr>
          <w:t xml:space="preserve">https://resources.vam.wfp.org/data-analysis/quantitative/food-consumption-score</w:t>
        </w:r>
      </w:hyperlink>
      <w:r>
        <w:t xml:space="preserve">.</w:t>
      </w:r>
    </w:p>
    <w:bookmarkEnd w:id="65"/>
    <w:bookmarkStart w:id="67" w:name="ref-janitor2025"/>
    <w:p>
      <w:pPr>
        <w:pStyle w:val="Bibliography"/>
      </w:pPr>
      <w:r>
        <w:t xml:space="preserve">Yves Djarekei and Hildegarde Edima Biyenda. 2025.</w:t>
      </w:r>
      <w:r>
        <w:t xml:space="preserve"> </w:t>
      </w:r>
      <w:r>
        <w:t xml:space="preserve">“Le Package Janitor.”</w:t>
      </w:r>
      <w:r>
        <w:t xml:space="preserve"> </w:t>
      </w:r>
      <w:r>
        <w:t xml:space="preserve">2025.</w:t>
      </w:r>
      <w:r>
        <w:t xml:space="preserve"> </w:t>
      </w:r>
      <w:hyperlink r:id="rId66">
        <w:r>
          <w:rPr>
            <w:rStyle w:val="Lienhypertexte"/>
          </w:rPr>
          <w:t xml:space="preserve">https://github.com/DJERAKEI221/-Groupe10_Theme8_Package_Janitor</w:t>
        </w:r>
      </w:hyperlink>
      <w:r>
        <w:t xml:space="preserve">.</w:t>
      </w:r>
    </w:p>
    <w:bookmarkEnd w:id="67"/>
    <w:bookmarkEnd w:id="68"/>
    <w:bookmarkEnd w:id="69"/>
    <w:sectPr w:rsidR="00963BF9" w:rsidRPr="000C5C07" w:rsidSect="00C402C3">
      <w:headerReference r:id="rId9" w:type="default"/>
      <w:footerReference r:id="rId11" w:type="default"/>
      <w:headerReference r:id="rId10" w:type="first"/>
      <w:type w:val="continuous"/>
      <w:pgSz w:h="16838" w:w="11906"/>
      <w:pgMar w:bottom="1440" w:footer="708" w:gutter="0" w:header="708" w:left="1440" w:right="1440" w:top="1440"/>
      <w:pgBorders w:display="firstPage" w:offsetFrom="page">
        <w:top w:color="833C0B" w:space="24" w:sz="24" w:themeColor="accent2" w:themeShade="80" w:val="threeDEngrave"/>
        <w:left w:color="833C0B" w:space="24" w:sz="24" w:themeColor="accent2" w:themeShade="80" w:val="threeDEngrave"/>
        <w:bottom w:color="833C0B" w:space="24" w:sz="24" w:themeColor="accent2" w:themeShade="80" w:val="threeDEngrave"/>
        <w:right w:color="833C0B" w:space="24" w:sz="24" w:themeColor="accent2" w:themeShade="80" w:val="threeDEngrave"/>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color w:val="833C0B" w:themeColor="accent2" w:themeShade="80"/>
        <w:szCs w:val="24"/>
      </w:rPr>
      <w:id w:val="-1059314233"/>
      <w:docPartObj>
        <w:docPartGallery w:val="Page Numbers (Bottom of Page)"/>
        <w:docPartUnique/>
      </w:docPartObj>
    </w:sdtPr>
    <w:sdtContent>
      <w:p w14:paraId="4158D35E" w14:textId="27B18602" w:rsidR="00F72993" w:rsidRPr="00963BF9" w:rsidRDefault="00963BF9" w:rsidP="001C7F77">
        <w:pPr>
          <w:pStyle w:val="Pieddepage"/>
          <w:rPr>
            <w:rFonts w:cs="Times New Roman"/>
            <w:color w:val="833C0B" w:themeColor="accent2" w:themeShade="80"/>
            <w:szCs w:val="24"/>
          </w:rPr>
        </w:pPr>
        <w:r w:rsidRPr="00963BF9">
          <w:rPr>
            <w:noProof/>
            <w:color w:val="833C0B" w:themeColor="accent2" w:themeShade="80"/>
          </w:rPr>
          <mc:AlternateContent>
            <mc:Choice Requires="wps">
              <w:drawing>
                <wp:anchor distT="0" distB="0" distL="114300" distR="114300" simplePos="0" relativeHeight="251660288" behindDoc="0" locked="0" layoutInCell="1" allowOverlap="1" wp14:anchorId="0E61C7AF" wp14:editId="2BE5E27A">
                  <wp:simplePos x="0" y="0"/>
                  <wp:positionH relativeFrom="margin">
                    <wp:align>center</wp:align>
                  </wp:positionH>
                  <wp:positionV relativeFrom="bottomMargin">
                    <wp:align>center</wp:align>
                  </wp:positionV>
                  <wp:extent cx="551815" cy="238760"/>
                  <wp:effectExtent l="19050" t="19050" r="19685" b="18415"/>
                  <wp:wrapNone/>
                  <wp:docPr id="39"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61C7A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963BF9">
          <w:rPr>
            <w:noProof/>
            <w:color w:val="833C0B" w:themeColor="accent2" w:themeShade="80"/>
          </w:rPr>
          <mc:AlternateContent>
            <mc:Choice Requires="wps">
              <w:drawing>
                <wp:anchor distT="0" distB="0" distL="114300" distR="114300" simplePos="0" relativeHeight="251659264" behindDoc="0" locked="0" layoutInCell="1" allowOverlap="1" wp14:anchorId="583649BB" wp14:editId="488B35F7">
                  <wp:simplePos x="0" y="0"/>
                  <wp:positionH relativeFrom="margin">
                    <wp:align>center</wp:align>
                  </wp:positionH>
                  <wp:positionV relativeFrom="bottomMargin">
                    <wp:align>center</wp:align>
                  </wp:positionV>
                  <wp:extent cx="5518150" cy="0"/>
                  <wp:effectExtent l="9525" t="9525" r="6350" b="9525"/>
                  <wp:wrapNone/>
                  <wp:docPr id="40"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60F3A9"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2024-2025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D7D7" w14:textId="784F24FF" w:rsidR="00F72993" w:rsidRPr="002D6EB7" w:rsidRDefault="005815F5" w:rsidP="00133EED">
    <w:pPr>
      <w:pStyle w:val="En-tte"/>
      <w:jc w:val="center"/>
      <w:rPr>
        <w:i/>
        <w:iCs/>
        <w:color w:val="833C0B" w:themeColor="accent2" w:themeShade="80"/>
        <w:u w:val="dotted"/>
      </w:rPr>
    </w:pPr>
    <w:r w:rsidRPr="002D6EB7">
      <w:rPr>
        <w:i/>
        <w:iCs/>
        <w:color w:val="833C0B" w:themeColor="accent2" w:themeShade="80"/>
        <w:u w:val="dotted"/>
      </w:rPr>
      <w:t>Diagnostic de la sécurité alimentaire</w:t>
    </w:r>
    <w:r w:rsidR="00CF5280" w:rsidRPr="002D6EB7">
      <w:rPr>
        <w:i/>
        <w:iCs/>
        <w:color w:val="833C0B" w:themeColor="accent2" w:themeShade="80"/>
        <w:u w:val="dotted"/>
      </w:rPr>
      <w:t xml:space="preserve"> au Tchad</w:t>
    </w:r>
    <w:r w:rsidRPr="002D6EB7">
      <w:rPr>
        <w:i/>
        <w:iCs/>
        <w:color w:val="833C0B" w:themeColor="accent2" w:themeShade="80"/>
        <w:u w:val="dotted"/>
      </w:rPr>
      <w:t xml:space="preserve"> : approche par indicateurs</w:t>
    </w:r>
    <w:r w:rsidR="00896D38" w:rsidRPr="002D6EB7">
      <w:rPr>
        <w:i/>
        <w:iCs/>
        <w:color w:val="833C0B" w:themeColor="accent2" w:themeShade="80"/>
        <w:u w:val="dotted"/>
      </w:rPr>
      <w:t xml:space="preserve"> </w:t>
    </w:r>
    <w:r w:rsidRPr="002D6EB7">
      <w:rPr>
        <w:i/>
        <w:iCs/>
        <w:color w:val="833C0B" w:themeColor="accent2" w:themeShade="80"/>
        <w:u w:val="dotted"/>
      </w:rPr>
      <w:t>–</w:t>
    </w:r>
    <w:r w:rsidR="00896D38" w:rsidRPr="002D6EB7">
      <w:rPr>
        <w:i/>
        <w:iCs/>
        <w:color w:val="833C0B" w:themeColor="accent2" w:themeShade="80"/>
        <w:u w:val="dotted"/>
      </w:rPr>
      <w:t xml:space="preserve"> </w:t>
    </w:r>
    <w:r w:rsidRPr="002D6EB7">
      <w:rPr>
        <w:i/>
        <w:iCs/>
        <w:color w:val="833C0B" w:themeColor="accent2" w:themeShade="80"/>
        <w:u w:val="dotted"/>
      </w:rPr>
      <w:t>Awa Diaw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9253" w14:textId="178F9CD0" w:rsidR="00A25DBD" w:rsidRPr="006404D1" w:rsidRDefault="00A25DBD" w:rsidP="006404D1">
    <w:pPr>
      <w:pStyle w:val="En-tte"/>
      <w:jc w:val="center"/>
      <w:rPr>
        <w:i/>
        <w:iCs/>
        <w:color w:val="833C0B" w:themeColor="accent2" w:themeShade="8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00A990"/>
    <w:multiLevelType w:val="multilevel"/>
    <w:tmpl w:val="0D9A431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3">
    <w:nsid w:val="0000A991"/>
    <w:multiLevelType w:val="multilevel"/>
    <w:tmpl w:val="C09C9D7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4">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7">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8">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9">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0">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4">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5">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6">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9">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0">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2">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3">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4">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9">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30">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33899377" w:numId="1">
    <w:abstractNumId w:val="25"/>
  </w:num>
  <w:num w16cid:durableId="2060740682" w:numId="2">
    <w:abstractNumId w:val="9"/>
  </w:num>
  <w:num w16cid:durableId="237130544" w:numId="3">
    <w:abstractNumId w:val="0"/>
  </w:num>
  <w:num w16cid:durableId="569996856" w:numId="4">
    <w:abstractNumId w:val="1"/>
  </w:num>
  <w:num w16cid:durableId="228542923" w:numId="5">
    <w:abstractNumId w:val="36"/>
  </w:num>
  <w:num w16cid:durableId="2003043400" w:numId="6">
    <w:abstractNumId w:val="20"/>
  </w:num>
  <w:num w16cid:durableId="1929579143" w:numId="7">
    <w:abstractNumId w:val="35"/>
  </w:num>
  <w:num w16cid:durableId="491532652" w:numId="8">
    <w:abstractNumId w:val="24"/>
  </w:num>
  <w:num w16cid:durableId="1319728919" w:numId="9">
    <w:abstractNumId w:val="20"/>
    <w:lvlOverride w:ilvl="0">
      <w:startOverride w:val="1"/>
    </w:lvlOverride>
  </w:num>
  <w:num w16cid:durableId="1777557001" w:numId="10">
    <w:abstractNumId w:val="4"/>
  </w:num>
  <w:num w16cid:durableId="359748361" w:numId="11">
    <w:abstractNumId w:val="15"/>
  </w:num>
  <w:num w16cid:durableId="49233093" w:numId="12">
    <w:abstractNumId w:val="11"/>
  </w:num>
  <w:num w16cid:durableId="2052145588" w:numId="13">
    <w:abstractNumId w:val="8"/>
  </w:num>
  <w:num w16cid:durableId="1754399714" w:numId="14">
    <w:abstractNumId w:val="33"/>
  </w:num>
  <w:num w16cid:durableId="1799643222" w:numId="15">
    <w:abstractNumId w:val="22"/>
  </w:num>
  <w:num w16cid:durableId="570434528" w:numId="16">
    <w:abstractNumId w:val="16"/>
  </w:num>
  <w:num w16cid:durableId="378818242" w:numId="17">
    <w:abstractNumId w:val="34"/>
  </w:num>
  <w:num w16cid:durableId="1409573572" w:numId="18">
    <w:abstractNumId w:val="17"/>
  </w:num>
  <w:num w16cid:durableId="1472020813" w:numId="19">
    <w:abstractNumId w:val="23"/>
  </w:num>
  <w:num w16cid:durableId="2023968511" w:numId="20">
    <w:abstractNumId w:val="19"/>
  </w:num>
  <w:num w16cid:durableId="277571489"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1782209" w:numId="22">
    <w:abstractNumId w:val="18"/>
  </w:num>
  <w:num w16cid:durableId="867916506" w:numId="23">
    <w:abstractNumId w:val="6"/>
  </w:num>
  <w:num w16cid:durableId="871311399" w:numId="24">
    <w:abstractNumId w:val="26"/>
  </w:num>
  <w:num w16cid:durableId="125661845" w:numId="25">
    <w:abstractNumId w:val="14"/>
  </w:num>
  <w:num w16cid:durableId="456488026" w:numId="26">
    <w:abstractNumId w:val="31"/>
  </w:num>
  <w:num w16cid:durableId="263000154" w:numId="27">
    <w:abstractNumId w:val="7"/>
  </w:num>
  <w:num w16cid:durableId="2144692744" w:numId="28">
    <w:abstractNumId w:val="29"/>
  </w:num>
  <w:num w16cid:durableId="1398014640" w:numId="29">
    <w:abstractNumId w:val="12"/>
  </w:num>
  <w:num w16cid:durableId="106047694" w:numId="30">
    <w:abstractNumId w:val="27"/>
  </w:num>
  <w:num w16cid:durableId="348681068" w:numId="31">
    <w:abstractNumId w:val="32"/>
  </w:num>
  <w:num w16cid:durableId="1937058689" w:numId="32">
    <w:abstractNumId w:val="28"/>
  </w:num>
  <w:num w16cid:durableId="758218484" w:numId="33">
    <w:abstractNumId w:val="5"/>
  </w:num>
  <w:num w16cid:durableId="392824121" w:numId="34">
    <w:abstractNumId w:val="30"/>
  </w:num>
  <w:num w16cid:durableId="298994872" w:numId="35">
    <w:abstractNumId w:val="21"/>
  </w:num>
  <w:num w16cid:durableId="392119288" w:numId="36">
    <w:abstractNumId w:val="10"/>
  </w:num>
  <w:num w16cid:durableId="1494687942" w:numId="37">
    <w:abstractNumId w:val="13"/>
  </w:num>
  <w:num w16cid:durableId="1266888279" w:numId="38">
    <w:abstractNumId w:val="2"/>
  </w:num>
  <w:num w16cid:durableId="1273509392" w:numId="39">
    <w:abstractNumId w:val="3"/>
  </w:num>
  <w:num w16cid:durableId="1169445661" w:numId="40">
    <w:abstractNumId w:val="3"/>
  </w:num>
  <w:num w16cid:durableId="1421288961" w:numId="41">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w="http://schemas.openxmlformats.org/wordprocessingml/2006/main">
  <w:zoom w:percent="100"/>
  <w:defaultTabStop w:val="709"/>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C57BE"/>
    <w:pPr>
      <w:spacing w:line="360" w:lineRule="auto"/>
    </w:pPr>
    <w:rPr>
      <w:rFonts w:ascii="Times New Roman" w:hAnsi="Times New Roman"/>
      <w:sz w:val="24"/>
    </w:rPr>
  </w:style>
  <w:style w:styleId="Titre1" w:type="paragraph">
    <w:name w:val="heading 1"/>
    <w:basedOn w:val="Sansinterligne"/>
    <w:link w:val="Titre1Car"/>
    <w:autoRedefine/>
    <w:uiPriority w:val="9"/>
    <w:qFormat/>
    <w:rsid w:val="002D6EB7"/>
    <w:pPr>
      <w:pBdr>
        <w:top w:color="833C0B" w:space="1" w:sz="24" w:themeColor="accent2" w:themeShade="80" w:val="threeDEngrave"/>
        <w:bottom w:color="833C0B" w:space="1" w:sz="24" w:themeColor="accent2" w:themeShade="80" w:val="threeDEngrave"/>
      </w:pBdr>
      <w:shd w:color="auto" w:fill="FFFFFF" w:themeFill="background1" w:val="clear"/>
      <w:spacing w:after="40" w:before="300" w:line="360" w:lineRule="auto"/>
      <w:jc w:val="center"/>
      <w:outlineLvl w:val="0"/>
    </w:pPr>
    <w:rPr>
      <w:rFonts w:ascii="Times New Roman" w:hAnsi="Times New Roman"/>
      <w:b/>
      <w:smallCaps/>
      <w:color w:themeColor="accent2" w:themeShade="80" w:val="833C0B"/>
      <w:sz w:val="32"/>
      <w:szCs w:val="32"/>
    </w:rPr>
  </w:style>
  <w:style w:styleId="Titre2" w:type="paragraph">
    <w:name w:val="heading 2"/>
    <w:basedOn w:val="Titre3"/>
    <w:link w:val="Titre2Car"/>
    <w:uiPriority w:val="9"/>
    <w:unhideWhenUsed/>
    <w:qFormat/>
    <w:rsid w:val="002D6EB7"/>
    <w:pPr>
      <w:outlineLvl w:val="1"/>
    </w:pPr>
    <w:rPr>
      <w:i/>
      <w:smallCaps/>
      <w:szCs w:val="28"/>
    </w:rPr>
  </w:style>
  <w:style w:styleId="Titre3" w:type="paragraph">
    <w:name w:val="heading 3"/>
    <w:basedOn w:val="Titre4"/>
    <w:link w:val="Titre3Car"/>
    <w:uiPriority w:val="9"/>
    <w:unhideWhenUsed/>
    <w:qFormat/>
    <w:rsid w:val="002D6EB7"/>
    <w:pPr>
      <w:spacing w:line="360" w:lineRule="auto"/>
      <w:jc w:val="center"/>
      <w:outlineLvl w:val="2"/>
    </w:pPr>
    <w:rPr>
      <w:i w:val="0"/>
      <w:color w:themeColor="accent2" w:themeShade="80" w:val="833C0B"/>
      <w:spacing w:val="5"/>
      <w:sz w:val="24"/>
      <w:szCs w:val="24"/>
      <w:u w:val="none"/>
    </w:rPr>
  </w:style>
  <w:style w:styleId="Titre4" w:type="paragraph">
    <w:name w:val="heading 4"/>
    <w:basedOn w:val="Titre5"/>
    <w:link w:val="Titre4Car"/>
    <w:uiPriority w:val="9"/>
    <w:unhideWhenUsed/>
    <w:qFormat/>
    <w:rsid w:val="005B6698"/>
    <w:pPr>
      <w:spacing w:line="480" w:lineRule="auto"/>
      <w:outlineLvl w:val="3"/>
    </w:pPr>
    <w:rPr>
      <w:i/>
      <w:iCs/>
      <w:smallCaps w:val="0"/>
      <w:color w:val="00B0F0"/>
      <w:u w:val="single"/>
    </w:rPr>
  </w:style>
  <w:style w:styleId="Titre5" w:type="paragraph">
    <w:name w:val="heading 5"/>
    <w:basedOn w:val="Normal"/>
    <w:next w:val="Normal"/>
    <w:link w:val="Titre5Car"/>
    <w:uiPriority w:val="9"/>
    <w:semiHidden/>
    <w:unhideWhenUsed/>
    <w:qFormat/>
    <w:rsid w:val="00EA6DD7"/>
    <w:pPr>
      <w:spacing w:after="0"/>
      <w:jc w:val="left"/>
      <w:outlineLvl w:val="4"/>
    </w:pPr>
    <w:rPr>
      <w:smallCaps/>
      <w:color w:themeColor="accent6" w:themeShade="BF" w:val="538135"/>
      <w:spacing w:val="10"/>
      <w:sz w:val="22"/>
      <w:szCs w:val="22"/>
    </w:rPr>
  </w:style>
  <w:style w:styleId="Titre6" w:type="paragraph">
    <w:name w:val="heading 6"/>
    <w:basedOn w:val="Normal"/>
    <w:next w:val="Normal"/>
    <w:link w:val="Titre6Car"/>
    <w:uiPriority w:val="9"/>
    <w:semiHidden/>
    <w:unhideWhenUsed/>
    <w:qFormat/>
    <w:rsid w:val="00EA6DD7"/>
    <w:pPr>
      <w:spacing w:after="0"/>
      <w:jc w:val="left"/>
      <w:outlineLvl w:val="5"/>
    </w:pPr>
    <w:rPr>
      <w:smallCaps/>
      <w:color w:themeColor="accent6" w:val="70AD47"/>
      <w:spacing w:val="5"/>
      <w:sz w:val="22"/>
      <w:szCs w:val="22"/>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2D6EB7"/>
    <w:rPr>
      <w:rFonts w:ascii="Times New Roman" w:hAnsi="Times New Roman"/>
      <w:b/>
      <w:smallCaps/>
      <w:color w:themeColor="accent2" w:themeShade="80" w:val="833C0B"/>
      <w:sz w:val="32"/>
      <w:szCs w:val="32"/>
      <w:shd w:color="auto" w:fill="FFFFFF" w:themeFill="background1" w:val="clear"/>
    </w:rPr>
  </w:style>
  <w:style w:customStyle="1" w:styleId="Titre2Car" w:type="character">
    <w:name w:val="Titre 2 Car"/>
    <w:basedOn w:val="Policepardfaut"/>
    <w:link w:val="Titre2"/>
    <w:uiPriority w:val="9"/>
    <w:rsid w:val="002D6EB7"/>
    <w:rPr>
      <w:rFonts w:ascii="Times New Roman" w:hAnsi="Times New Roman"/>
      <w:b/>
      <w:iCs/>
      <w:smallCaps/>
      <w:color w:themeColor="accent2" w:themeShade="80" w:val="833C0B"/>
      <w:spacing w:val="5"/>
      <w:sz w:val="28"/>
      <w:szCs w:val="28"/>
    </w:rPr>
  </w:style>
  <w:style w:customStyle="1" w:styleId="Titre3Car" w:type="character">
    <w:name w:val="Titre 3 Car"/>
    <w:basedOn w:val="Policepardfaut"/>
    <w:link w:val="Titre3"/>
    <w:uiPriority w:val="9"/>
    <w:rsid w:val="002D6EB7"/>
    <w:rPr>
      <w:rFonts w:ascii="Times New Roman" w:hAnsi="Times New Roman"/>
      <w:iCs/>
      <w:color w:themeColor="accent2" w:themeShade="80" w:val="833C0B"/>
      <w:spacing w:val="5"/>
      <w:sz w:val="24"/>
      <w:szCs w:val="24"/>
    </w:rPr>
  </w:style>
  <w:style w:customStyle="1" w:styleId="Titre4Car" w:type="character">
    <w:name w:val="Titre 4 Car"/>
    <w:basedOn w:val="Policepardfaut"/>
    <w:link w:val="Titre4"/>
    <w:uiPriority w:val="9"/>
    <w:rsid w:val="006F73A9"/>
    <w:rPr>
      <w:rFonts w:ascii="Times New Roman" w:hAnsi="Times New Roman"/>
      <w:i/>
      <w:iCs/>
      <w:color w:val="00B0F0"/>
      <w:spacing w:val="10"/>
      <w:sz w:val="22"/>
      <w:szCs w:val="22"/>
      <w:u w:val="single"/>
    </w:rPr>
  </w:style>
  <w:style w:customStyle="1" w:styleId="Titre5Car" w:type="character">
    <w:name w:val="Titre 5 Car"/>
    <w:basedOn w:val="Policepardfaut"/>
    <w:link w:val="Titre5"/>
    <w:uiPriority w:val="9"/>
    <w:semiHidden/>
    <w:rsid w:val="00EA6DD7"/>
    <w:rPr>
      <w:smallCaps/>
      <w:color w:themeColor="accent6" w:themeShade="BF" w:val="538135"/>
      <w:spacing w:val="10"/>
      <w:sz w:val="22"/>
      <w:szCs w:val="22"/>
    </w:rPr>
  </w:style>
  <w:style w:customStyle="1" w:styleId="Titre6Car" w:type="character">
    <w:name w:val="Titre 6 Car"/>
    <w:basedOn w:val="Policepardfaut"/>
    <w:link w:val="Titre6"/>
    <w:uiPriority w:val="9"/>
    <w:semiHidden/>
    <w:rsid w:val="00EA6DD7"/>
    <w:rPr>
      <w:smallCaps/>
      <w:color w:themeColor="accent6" w:val="70AD47"/>
      <w:spacing w:val="5"/>
      <w:sz w:val="22"/>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customStyle="1" w:styleId="ImageCaption" w:type="paragraph">
    <w:name w:val="Image Caption"/>
    <w:qFormat/>
    <w:rsid w:val="005E2450"/>
    <w:pPr>
      <w:spacing w:line="240" w:lineRule="auto"/>
      <w:jc w:val="left"/>
    </w:pPr>
    <w:rPr>
      <w:rFonts w:ascii="Times New Roman" w:hAnsi="Times New Roman"/>
      <w:color w:themeColor="accent2" w:themeShade="80" w:val="833C0B"/>
      <w:u w:val="single"/>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Figure" w:type="paragraph">
    <w:name w:val="Figure"/>
    <w:basedOn w:val="Normal"/>
    <w:link w:val="FigureCar"/>
    <w:qFormat/>
    <w:rsid w:val="00F10ADC"/>
    <w:rPr>
      <w:i/>
      <w:u w:val="single"/>
    </w:rPr>
  </w:style>
  <w:style w:customStyle="1" w:styleId="FigureCar" w:type="character">
    <w:name w:val="Figure Car"/>
    <w:basedOn w:val="Policepardfaut"/>
    <w:link w:val="Figure"/>
    <w:rsid w:val="00F10ADC"/>
    <w:rPr>
      <w:rFonts w:ascii="Times New Roman" w:hAnsi="Times New Roman"/>
      <w:i/>
      <w:sz w:val="24"/>
      <w:u w:val="single"/>
    </w:rPr>
  </w:style>
  <w:style w:customStyle="1" w:styleId="Table" w:type="paragraph">
    <w:name w:val="Table"/>
    <w:basedOn w:val="Figure"/>
    <w:link w:val="TableCar"/>
    <w:qFormat/>
    <w:rsid w:val="005E2450"/>
    <w:pPr>
      <w:jc w:val="left"/>
    </w:pPr>
    <w:rPr>
      <w:i w:val="0"/>
      <w:color w:themeColor="accent2" w:themeShade="80" w:val="833C0B"/>
    </w:rPr>
  </w:style>
  <w:style w:customStyle="1" w:styleId="TableCar" w:type="character">
    <w:name w:val="Table Car"/>
    <w:basedOn w:val="FigureCar"/>
    <w:link w:val="Table"/>
    <w:rsid w:val="005E2450"/>
    <w:rPr>
      <w:rFonts w:ascii="Times New Roman" w:hAnsi="Times New Roman"/>
      <w:i w:val="0"/>
      <w:color w:themeColor="accent2" w:themeShade="80" w:val="833C0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66" Type="http://schemas.openxmlformats.org/officeDocument/2006/relationships/hyperlink" Target="https://github.com/DJERAKEI221/-Groupe10_Theme8_Package_Janitor" TargetMode="External"/>
<Relationship Id="rId64" Type="http://schemas.openxmlformats.org/officeDocument/2006/relationships/hyperlink" Target="https://resources.vam.wfp.org/data-analysis/quantitative/food-consumption-score" TargetMode="External"/>
<Relationship Id="rId67" Type="http://schemas.openxmlformats.org/officeDocument/2006/relationships/image" Target="media/d9da42409f319b5e56a9a735619d114e87c00bef.jpeg"/>
<Relationship Id="rId68" Type="http://schemas.openxmlformats.org/officeDocument/2006/relationships/image" Target="media/fb33ff86d356a318d77bd9c7c20a21bdf9626e9d.jpg"/>
<Relationship Id="rId69" Type="http://schemas.openxmlformats.org/officeDocument/2006/relationships/image" Target="media/b942d0168d53d7e82862374f4c26df6d2af4b534.jpg"/>
<Relationship Id="rId70" Type="http://schemas.openxmlformats.org/officeDocument/2006/relationships/image" Target="media/adbb325092ea67152a1853270e49f79e4c20a5d9.jpg"/>
<Relationship Id="rId71" Type="http://schemas.openxmlformats.org/officeDocument/2006/relationships/image" Target="media/6f6082d934d915682cb97a883a036107a91edca7.png"/>
<Relationship Id="rId72" Type="http://schemas.openxmlformats.org/officeDocument/2006/relationships/image" Target="media/516710bef81640c11e28bb354fb2c954ac97c260.png"/>
<Relationship Id="rId73" Type="http://schemas.openxmlformats.org/officeDocument/2006/relationships/image" Target="media/0e59ff77d3986beec377476cf9be41d66e75d4bc.png"/>
<Relationship Id="rId74" Type="http://schemas.openxmlformats.org/officeDocument/2006/relationships/image" Target="media/012429748563e7f70094747d69c313042f1c59db.png"/>
<Relationship Id="rId75" Type="http://schemas.openxmlformats.org/officeDocument/2006/relationships/image" Target="media/144d92556f3577d3c5a2c8a6367f7530404bedb0.png"/>
<Relationship Id="rId76" Type="http://schemas.openxmlformats.org/officeDocument/2006/relationships/image" Target="media/9b11695769bd308cc82fbe95844e70a564275fa0.png"/>
<Relationship Id="rId77" Type="http://schemas.openxmlformats.org/officeDocument/2006/relationships/image" Target="media/cd1739a34e6ce3e40a54335113c14f44209b79ce.png"/>
<Relationship Id="rId78" Type="http://schemas.openxmlformats.org/officeDocument/2006/relationships/image" Target="media/c2a86e293efba00251e7837542a702070d7622c5.png"/>
<Relationship Id="rId79" Type="http://schemas.openxmlformats.org/officeDocument/2006/relationships/image" Target="media/0d2bb2cc44005007e926f50ad39bbd0221c43fd3.png"/>
<Relationship Id="rId80" Type="http://schemas.openxmlformats.org/officeDocument/2006/relationships/image" Target="media/bd7d0419b173b1b26f9089d8a94eabdc63dcb896.png"/>
<Relationship Id="rId81" Type="http://schemas.openxmlformats.org/officeDocument/2006/relationships/image" Target="media/516266e77627b39bfced63cb771ae0343adff0e3.png"/>
<Relationship Id="rId82" Type="http://schemas.openxmlformats.org/officeDocument/2006/relationships/image" Target="media/80dbfec83afa67654b048284a8ef8a4abb99c44e.png"/>
<Relationship Id="rId83" Type="http://schemas.openxmlformats.org/officeDocument/2006/relationships/image" Target="media/16d10944041218d45949efd1d888e0f7e760ef91.png"/>
<Relationship Id="rId84" Type="http://schemas.openxmlformats.org/officeDocument/2006/relationships/image" Target="media/3ebc8af51ed6cb986426adcf0af8f09dd009a5b4.png"/>
<Relationship Id="rId85" Type="http://schemas.openxmlformats.org/officeDocument/2006/relationships/image" Target="media/88a13427d9a2a2c3e0d49e81da347d50b9426bbe.png"/>
</Relationships>

</file>

<file path=word/_rels/footnotes.xml.rels><?xml version="1.0" encoding="UTF-8" standalone="yes"?>

<Relationships  xmlns="http://schemas.openxmlformats.org/package/2006/relationships">
<Relationship Id="rId66" Type="http://schemas.openxmlformats.org/officeDocument/2006/relationships/hyperlink" Target="https://github.com/DJERAKEI221/-Groupe10_Theme8_Package_Janitor" TargetMode="External"/>
<Relationship Id="rId64" Type="http://schemas.openxmlformats.org/officeDocument/2006/relationships/hyperlink" Target="https://resources.vam.wfp.org/data-analysis/quantitative/food-consumption-scor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Words>
  <Characters>22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Tendances mondiales de la consommation de café</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2025-05-12T18:50:28Z</dcterms:created>
  <dcterms:modified xsi:type="dcterms:W3CDTF">2025-05-12T18:50:29Z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
  </property>
  <property fmtid="{D5CDD505-2E9C-101B-9397-08002B2CF9AE}" pid="4" name="output">
    <vt:lpwstr/>
  </property>
</Properties>
</file>