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9503dfcc993975a47670203a0ab1a0a9f78d8a17.png"/>
            <a:graphic>
              <a:graphicData uri="http://schemas.openxmlformats.org/drawingml/2006/picture">
                <pic:pic>
                  <pic:nvPicPr>
                    <pic:cNvPr id="1" name="image-9503dfcc993975a47670203a0ab1a0a9f78d8a17.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je_mène_un_projet_de_recherche_ap_205b30"/>
      <w:r>
        <w:rPr>
          <w:rFonts w:eastAsia="source serif 4" w:cs="source serif 4" w:ascii="source serif 4" w:hAnsi="source serif 4"/>
          <w:b/>
          <w:color w:val="000000"/>
          <w:sz w:val="39"/>
        </w:rPr>
        <w:t xml:space="preserve">Je mène un projet de recherche appliquée à partir des données de l'EHCVM 2021-2022 du Sénégal.</w:t>
      </w:r>
      <w:bookmarkEnd w:id="0"/>
    </w:p>
    <w:p>
      <w:pPr>
        <w:spacing w:line="360" w:after="210" w:lineRule="auto"/>
      </w:pPr>
      <w:r>
        <w:rPr>
          <w:rFonts w:eastAsia="source serif 4" w:cs="source serif 4" w:ascii="source serif 4" w:hAnsi="source serif 4"/>
          <w:color w:val="000000"/>
        </w:rPr>
        <w:t xml:space="preserve">Mon objectif est de construire une typologie des ménages selon leur niveau de vulnérabilité à l'aide d'une Analyse des Correspondances Multiples (ACM) suivie d'une méthode de clustering.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Je souhaite adopter une approche multidimensionnelle de la vulnérabilité.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Je ne cherche pas seulement une liste de variables. Je souhaite d'abord construire un cadre théorique et empirique solide.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Merci de produire une revue structurée répondant aux questions suivantes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Quels sont les principaux cadres conceptuels de la vulnérabilité des ménages utilisés dans la littérature économique et en développement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Présenter les contributions majeures de Chambers, Sen, Dercon, Alwang, Siegel, Jorgensen, World Bank, FAO, WFP et autres références incontournables.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Comparer les définitions de la vulnérabilité.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Distinguer pauvreté, vulnérabilité, résilience et sécurité alimentaire.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Existe-t-il des études empiriques ayant construit une typologie multidimensionnelle des ménages vulnérables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Afrique de l'Ouest.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Sénégal.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Pays en développement.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Utilisation d'ACP, ACM, clustering, classification hiérarchique ou k-means.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Fournir les références complètes.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Quels sont les degrés ou profils de vulnérabilité généralement identifiés dans la littérature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ménages résilients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vulnérabilité faible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vulnérabilité modérée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vulnérabilité élevée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vulnérabilité chronique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autres catégories observées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Quelles dimensions (piliers) sont les plus fréquemment utilisées pour mesurer la vulnérabilité multidimensionnelle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Pour chaque dimension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justification théorique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résultats empiriques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auteurs de référence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Construire un tableau synthétique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Dimension | Justification théorique | Références majeures | Variables généralement utilisées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Pour chacune des dimensions identifiées, proposer des variables observables compatibles avec les enquêtes ménages de type EHCVM/LSMS.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À partir de ces résultats, proposer un cadre conceptuel adapté à une étude sur le Sénégal utilisant l'EHCVM 2021-2022.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Enfin, proposer plusieurs narratifs scientifiques forts pour un concours de poster de recherche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angle politique publique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angle sécurité alimentaire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angle résilience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angle agriculture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angle inégalités territoriales.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Pour chaque narratif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titre potentiel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question centrale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principaux résultats attendus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visualisations les plus impactantes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message final destiné aux décideurs publics.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Je privilégie les articles académiques, rapports FAO, WFP, Banque mondiale, PNUD et études utilisant explicitement des approches multidimensionnelles de la vulnérabilité. On utilise ces bases de l'EHCVM welfare &lt;- import_base(file.path(RAW, "ehcvm_welfare_SEN2021.dta"), "welfare")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menage &lt;- import_base(file.path(RAW, "ehcvm_menage_SEN2021.dta"), "menage")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individu &lt;- import_base(file.path(RAW, "ehcvm_individu_SEN2021.dta"), "individu")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conso &lt;- import_base(file.path(RAW, "ehcvm_conso_SEN2021.dta"), "conso")</w:t>
      </w:r>
    </w:p>
    <w:p>
      <w:pPr>
        <w:numPr>
          <w:ilvl w:val="0"/>
          <w:numId w:val="1"/>
        </w:numPr>
        <w:spacing w:line="360" w:before="105" w:after="105" w:lineRule="auto"/>
      </w:pPr>
      <w:r>
        <w:rPr>
          <w:rFonts w:eastAsia="source serif 4" w:cs="source serif 4" w:ascii="source serif 4" w:hAnsi="source serif 4"/>
          <w:color w:val="000000"/>
          <w:sz w:val="21"/>
        </w:rPr>
        <w:t xml:space="preserve">Base ponderation. base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variable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label</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type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modalites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ehcvm_conso_SEN2021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country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Pays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character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SEN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ehcvm_conso_SEN2021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year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Annee enquete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numeric</w:t>
      </w:r>
    </w:p>
    <w:p>
      <w:pPr>
        <w:spacing w:line="360" w:after="210" w:lineRule="auto"/>
      </w:pPr>
      <w:r>
        <w:rPr>
          <w:rFonts w:eastAsia="source serif 4" w:cs="source serif 4" w:ascii="source serif 4" w:hAnsi="source serif 4"/>
          <w:color w:val="000000"/>
        </w:rPr>
        <w:t xml:space="preserve">ehcvm_conso_SEN2021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hhid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Identifiant unique 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ehcvm_conso_SEN2021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vague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Vague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ehcvm_conso_SEN2021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grappe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Numero grappe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ehcvm_conso_SEN2021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Numero 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ehcvm_conso_SEN2021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region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Region résidence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Dakar = 1 ; Ziguinchor = 2 ; Diourbel = 3 ; St-Louis = 4 ; Tambacounda = 5 ; Kaolack = 6 ; Thiès = 7 ; Louga = 8 ; Fatick = 9 ; Kolda = 10 ; Matam = 11 ; Kaffrine = 12 ; Kedougou = 13 ; Sedhiou = 14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ehcvm_conso_SEN2021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milieu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Milieu résidence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Urbain = 1 ; Rural = 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ehcvm_conso_SEN2021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hhweight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Ponderation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ehcvm_conso_SEN2021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codpr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Code produit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Riz local brisé = 1 ; Riz local entier = 2 ; Riz importé brisé = 3 ; Riz importé entier = 4 ; Maïs en épi = 5 ; Maïs en grain = 6 ; Mil = 7 ; Sorgho = 8 ; Blé = 9 ; Fonio = 10 ; Autres céréales = 11 ; Farine de maïs = 12 ; semoule de mais = 13 ; Farine de mil = 14 ; semoule de mil = 15 ; Farine de blé local ou importé = 16 ; semoule de blé = 17 ; Autres farines de céréales = 18 ; Autres semoules de céréales = 19 ; Pâtes alimentaires = 20 ; Pain moderne = 21 ; Pain traditionnel = 22 ; Croissants = 23 ; Biscuits = 24 ; Gâteaux = 25 ; Beignets, galettes = 26 ; Viande de bœuf = 27 ; Viande de chameau = 28 ; Viande de mouton = 29 ; Viande de chèvre = 30 ; Abats rouges (foie, rognon,  poumon,  cœur, rate, etc.) = 31 ; Viande de porc = 32 ; Poulet sur pied = 33 ; Viande de poulet = 34 ; Viande d'autres volailles domestiques = 35 ; Charcuterie (jambon, saucisson), conserves de viandes = 36 ; Viande séchée (boeuf, mouton, chameau) = 37 ; Gibiers = 38 ; Autres viandes non-déclarées ailleurs = 39 ; Poisson frais yaboye ou obo (sardinelle) = 40 ; Poisson frais thiof/ seudeu (baracouda) = 41 ; Poisson frais wass = 42 ; Autre Poisson frais (dorade, youfouf, rouget, siket [capitaine], thiarumbekh [mollette], …..) = 43 ; Poisson fumé Kethiakh (sardinelle) = 44 ; Autre Poisson fumé (yaboye ou obo fumé, …) = 45 ; Poisson séché = 46 ; Crabes = 47 ; Crevettes fraiches = 48 ; Crevettes séchées = 49 ; Autres fruits de mer = 50 ; Conserves de poisson = 51 ; Lait frais industriel (Bridel, Vitalait, etc.) = 52 ; Lait caillé, yaourt = 53 ; Lait concentré sucré = 54 ; Lait concentré non-sucré = 55 ; Lait en poudre = 56 ; Fromage = 57 ; Lait et farines pour bébé = 58 ; Autres produits laitiers = 59 ; Œufs = 60 ; Beurre = 61 ; Beurre de karité = 62 ; Huile de palme rouge = 63 ; Huile d'arachide raffinée = 64 ; Huile d'arachide 'Segal' = 65 ; Huile de soja = 66 ; Huile de coton = 67 ; Huile de palme raffinée = 68 ; Noix de palme = 69 ; Autres huiles n.d.a. (maïs, huile palmiste, huile d'olive, huile de tournesol, huile de lait de vache etc.) = 70 ; Mangue = 71 ; Ananas = 72 ; Orange = 73 ; Citrons = 74 ; Autres agrumes (mandarine, pamplemousse, etc.) = 75 ; Banane douce = 76 ; Avocats = 77 ; Pastèque = 78 ; Melon = 79 ; Dattes = 80 ; Noix de coco = 81 ; Canne à sucre = 82 ; Pommes = 83 ; Papaye = 84 ; Fruit de baobab (bouye) = 85 ; Néré = 86 ; Autres fruits (tamarin noir, liane sauvage, raisin, fraise, pomme sauvage, etc.) = 87 ; Salade (laitue) = 88 ; Choux = 89 ; Carotte = 90 ; Haricot vert = 91 ; Concombre = 92 ; Aubergine, = 93 ; Courge/Courgette = 94 ; Poivron frais = 95 ; Tomate fraîche = 96 ; Tomate séchée = 97 ; Gombo frais = 98 ; Gombo sec = 99 ;  Oignon frais = 100 ;  Ail = 101 ;  Feuilles d'oseille (bissap) = 102 ;  Feuilles de baobab/ 'laalo' = 103 ;  Feuilles de haricot/ 'niébé' = 104 ;  Feuilles nébédaye (moringa) = 105 ;  Autres légumes en feuilles = 106 ;  Autre légumes frais n.d.a = 107 ;  Concentré de tomate = 108 ;  Petits pois = 109 ;  Petit pois secs = 110 ;  Autres légumes secs n.d.a = 111 ;  Niébé/Haricots secs = 112 ;  Arachides fraîches en coques = 113 ;  Arachides séchées en coques = 114 ;  Arachides décortiquées = 115 ;  Arachides pilées = 116 ;  Arachide grillée = 117 ;  Pâte d'arachide = 118 ;  Fromage à base de soja = 119 ;  Sésame = 120 ;  Noix de cajou = 121 ;  Noix de karité = 122 ;  Manioc = 123 ;  Igname = 124 ;  Plantain = 125 ;  Pomme de terre = 126 ;  Taro, macabo = 127 ;  Patate douce = 128 ;  Autres tubercules n.d.a = 129 ;  Farines de manioc = 130 ;  Gari, tapioca = 131 ;  Attiéke = 132 ;  Fruit de Kapokier = 133 ;  Sucre poudre = 134 ;  Sucre morceaux = 135 ;  Miel = 136 ;  Chocolat à croquer, pâte à tartiner = 137 ;  Caramel, bonbons, confiseries, etc = 138 ;  Sel = 139 ;  Piment séché = 140 ;  Piment frais = 141 ;  Gingembre frais = 142 ;  Gingembre moulu = 143 ;  Cube alimentaire (Maggi, Jumbo, ) = 144 ;  Arôme (Maggi, Jumbo, etc.) = 145 ;  Soumbala (nététou) = 146 ;  Mayonnaise = 147 ;  Vinaigre de citron = 148 ;  Autres vinaigres = 149 ;  Moutarde = 150 ;  Poivre = 151 ;  Autres condiments (laurier etc.) = 152 ;  Noix de cola = 153 ;  Autres produits alimentaires (noix de pomme sauvage) = 154 ;  Café en poudre = 155 ;  Café soluble = 156 ;  Thé (Ataya) = 157 ;  Chocolat en poudre = 158 ;  Autres tisanes et infusions n.d.a. (quinquelibat, citronelle, etc.) = 159 ;  Jus de fruits (orange, bissap, gingembre, jus de cajou,etc.) = 160 ;  Eau minérale/ filtrée = 161 ;  Boissons gazeuses (coca, etc.) = 162 ;  Jus en poudre = 163 ;  Bières et vins traditionnels (dolo, vin de palme, vin de raphia, vin de cajou, etc.) = 164 ; Bières industrielles = 165 ; Céréales de petit déjeuner = 169 ; Abats blancs (pieds, tête, etc.) et tripes (estomac, intestins, etc.) = 170 ; Autre volaille sur pied = 171 ; Con fumé = 172 ; Escargots = 173 ; Lait frais non industriel (méwou rate non fermenté) = 174 ; Huilde de karité = 175 ; Goyave = 176 ; Champignon frais = 177 ; Pâte de manioc = 178 ; Poisson séché en condiment = 179 ; Thé soluble ou infusion = 180 ; Petit déjeuner hors menage = 191 ; Déjeuner hors menage = 192 ; Dîner hors ménage = 193 ; Collation hors ménage = 194 ; Boissons chaudes hors ménage = 195 ; Boisson non alcoolisée hors ménage = 196 ; Boisson alcoolisée hors ménage = 197 ; Cigarettes, Tabac = 201 ; Pétrole lampant = 202 ; Charbon de bois/Charbon minéral = 203 ; Bois de chauffe acheté = 204 ; Bois de chauffe ramassé (estimer la valeur) = 205 ; Bougies = 206 ; Allumettes = 207 ; Carburant pour véhicule = 208 ; Carburant pour motocyclette = 209 ; Transport urbain en taxi = 210 ; Transport urbain en bus = 211 ; Transport urbain/rural en moto-taxi = 212 ; Transport urbain en train = 213 ; Transport urbain/rural par voie fluviale = 214 ; Transport urbain/rural par traction animale = 215 ; Journaux = 216 ; Frais de mouture des céréales = 217 ; Whisky et autres liqueurs = 301 ; Vins modernes = 302 ; Gaz domestique = 303 ; Carburant pour groupe electrogène à usage domestique = 304 ; Piles électriques, = 305 ; Savon de ménage, lessive en poudre, détergents (eau de javel, etc.) = 306 ; Insecticide, tortillon anti-moustique = 307 ; Salaire du personnel de maison (gardien, boy, chauffeur, cuisinier, etc.) = 308 ; Frais de blanchiment des vêtements, linge, etc. (Pressing) = 309 ; Frais de ramassage des ordures ménagères = 310 ; Lavage de véhicules = 311 ; Frais de parking = 312 ; Frais de communication téléphonique dans une cabine/ télécentre = 313 ; Billet de loterie nationale, billet de PMU et tout autre pari sportif = 314 ; Revues, journal ou magazine mensuel etc = 315 ; Frais de coiffure homme et femme (salon, tressage, mèches, coupe, etc.), manucure, pédicure = 316 ; Savon de toilette, shampoing = 317 ; Pâte dentifrice = 318 ; Papier toilette = 319 ; Serviettes hygiéniques, couches jetables pour bébé, etc = 320 ; Lait, lotion de toilette corporelle (glycérine, vaseline, etc.), produits de maquillage = 321 ; Masque facial jetable  contre le COVID-19 = 322 ; Gel hydro-alcoolique = 323 ; Autres produits de toilettes (rasoir, coton, crème/mousse à raser etc.) = 324 ; Loyer fictif autodeclaré = 330 ; Loyer maison = 331 ; Facture eau courante = 332 ; Eau aupres revendeur = 333 ; Facture electricite = 334 ; Facture telephone fixe = 335 ; Facture internet = 336 ; Facture abonnement cable = 337 ; Recharge telephone mobile = 338 ; Frais d'entretien et de réparation de chaussures: cirage, ressemelage, etc = 401 ; Ampoules électriques pour le logement = 402 ; Lubrifiants (huile moteur; huile de frein; liquide batterie (acide); graisses; autres lubrifiants n.d.a.) = 403 ; Services de réparation et d'entretien (vidange, graissage, etc.) de moyens de transport personnel (voitures, motos, bicyclette, etc.) = 404 ; Transport inter-localité par voitures = 405 ; Transport inter-localité à traction animale = 406 ; Transport  interlocalité par eau (bateau, pirogue, pinasse) = 407 ; Frais de timbre postaux, d'expédition de mandat, etc = 408 ; Frais d'envoi de fax = 409 ; Produits pour le jardinage (plantes et fleurs ornementales), pas pour l'agriculture = 410 ; Aliments, frais d'entretien, frais de vétérinaire des animaux de compagnie (chiens, chats, etc.) = 411 ; Droit d'entrée (achat d'un ticket) à des manifestations sportives = 412 ; Droit d'entrée (achat d'un ticket) pour cinéma, concert, pièce de théâtre, musée, expositions, etc = 413 ; Autres services récréatifs: services de photographe (développement, tirage), photo d'identité, etc = 414 ; Masque facial lavable contre le COVID-19 = 415 ; Médicaments achetés en pharmacie sans ordonnance: alcool, pansements, paracétamol, médicaments les affections courantes (paludisme, toux, rhume, diarrhée/disenterie, vers intestinaux, etc.) = 416 ; Parfums = 417 ; Brosse à dents = 418 ; Contraceptifs = 419 ; Frais de photocopies de document = 420 ; Ticket de peage et assimilé = 421 ; Tissus d'habillement: tissus pagne, tissu pagne du tisserand, tissu synthétique, etc = 501 ; Vêtements femmes (15 ans et plus): robe, jupe, pantalon, ensemble, etc = 502 ; Sous-vêtements femme (15 ans et plus): slip, jupon, tee shirt,soutien gorge, collant, etc = 503 ; Vêtements enfants (0-14 ans): layette pour bébé, chemise, pantalon garçon, robe fillette, slip enfant, blouses, etc. (Pas inclure les uniformes scolaires) = 504 ; Vêtements hommes (15 ans et plus): chemise, pantalon, veste, ensemble, vêtements de travail, etc = 505 ; Sous-vêtements homme (15 ans et plus): slip, chaussettes, tee shirt et maillot de corps, etc = 506 ; Frais de confection et de réparation de vêtements homme: ensemble, pantalon, chemise, réparation, location vêtemen = 507 ; Frais de confection et de réparation de vêtements femme: robe, pantalon, jupe, ensemble, réparation, location, etc = 508 ; Frais de confection et de réparation de vêtements enfants = 509 ; Chaussures hommes = 510 ; Chaussures femmes = 511 ; Chaussures enfants = 512 ; Accessoires des chaussures (chausse-pieds; brosses à chaussure, lacet) = 513 ; Habits/chauss. fêtes = 521 ; Matériel pour l'entretien et les petites réparations du logement = 601 ; Main-d'oeuvre et services d'entretien et de réparation courante du logement  (vidange fosse septique,main d'œuvre pour l'entretien du logement = 602 ; Matériaux de maçonnerie pour la construction ou les grosses réparations de logement: ciment, briques, fer à béton, sable, gravier, parpaings, = 603 ; Autres matériaux pour la construction ou les grosses réparations de logement: tôles, bois de charpente, planches, lattes, contre-plaqués, matériaux d'électricité,  plomberie, peinture, carreaux, tapis = 604 ; Main-d'oeuvre pour la construction et les grosses réparation de logement (maçonnerie, toiture et charpente, électricité, plomberi = 605 ; Frais pour creuser ee, menuiseriet aménager un puits ou pour construire un forage = 606 ; Frais d'acquisition d'un terrain ou d'un logement = 607 ; Frais d'études et d'architecte = 608 ; Frais d'abonnement au réseau de distribution d'eau = 609 ; Frais d'abonnement au réseau de distribution d'électricité = 610 ; Frais de connexion au réseau de distribution d'eau = 611 ; Frais de connexion au réseau de distribution d'électricité = 612 ; Meubles de salon et de salle à manger (fauteuils, table, chaises, armoires, etc.) = 613 ; Lit, matelas, armoire et autres meubles de chambre à coucher = 614 ; Réparation de meubles (fauteuils, chaises, lits, armoires, etc.) = 615 ; Linge de maison et articles associés (serviettes de bain, drap, couverture, couvre-lit, oreillers, moustiquaire, nattes, tapis, rideaux, éventail = 616 ; Appareils électro-ménagers: frigo, climatiseurs, réchaud, four, cuisinière, lave-linge, chauffe-eau, fer à repasser, = 617 ; Plaque solaire = 618 ; Batterie pour plaque solaire et autre équipement/matériel pour installation solaire = 619 ; Réparation d'appareils électro-ménagers (fer à repasser, frigo, cuisinière, four, réchaud, climatiseur, ventilateur, chauffe-eau = 620 ; Vaisselle: assiettes, couteau, fourchette, cuillère, gobelets, verres, = 621 ; Ustensiles de cuisine: casserole, marmite, tamis local, réparation d'ustensiles de cuisine = 622 ; Autres ustensiles de ménage: seau, bouilloire, biberon, poubelle, tasses, cafétière non électrique, théière, calebasse, louche, jarre, canari,mortier, pilon = 623 ; Outillage de maison: outils de bricolage (marteau, tournevis, etc.); outil de jardinage = 624 ; Lampes électriques, lampes tempêtes, torches = 625 ; Achat d'une voiture pour usage personnel = 626 ; Achat d'un motocycle (vélo, moto) pour usage personnel = 627 ; Pièces détachées de moyens de transport individuel: pneu, batterie, bougie, carburateur, etc = 628 ; Frais d'assurance d'un moyen de transport individuel (auto, moto, etc.), assurance de voyage = 629 ; Vignette automobile/ moto = 630 ; Location d'un véhicule pour usage personnel: voiture, moto/vélo, etc = 631 ; Transport inter-urbain en train dans le pays et à l'étranger = 632 ; Transport en avion dans le pays et à l'étranger = 633 ; Frais de déménagement = 634 ; Frais de visa, taxes d'aéroport = 635 ; Achat d'un téléphone portable = 636 ; Appareils de musique et d'images: radio, radio-cassette, chaîne de musique, TV, lecteur CD/DVD, MP3, MP4, caméra, camescope = 637 ; Ordinateur, imprimante, tablette,machine à écrire, etc = 638 ; Réparation d'appareils électroniques: radio, radio-cassettes, TV, camera, lecteur CD/DVD, ordinateur, = 639 ; Petit matériel électronique à usage personnel: cassettes, CD/DVD, clé USB, encre pour imprimante, papier d'impression photos, pellicule photos, = 640 ; Articles de sport et de détente: ballon, jeu ludo, poids (pétanque), jeu de carte, jouets pour enfants, jeux vidéo, petits instruments de musique, etc = 641 ; Livres non scolaires, bande dessinée = 642 ; Papier rame, enveloppes, articles de dessin (pinceaux, papier, peinture etc.), = 643 ; Frais de pélérinage = 644 ; Formation professionnelle (en particulier directement auprès des ateliers, maîtres, = 645 ; Frais de cours particuliers pour adultes (alphabétisation) et personnes non scolarisées = 646 ; Services d'hébergement: chambres d'hôtel, etc = 647 ; Montres, réveils = 648 ; Boucle d'oreilles, colliers, bracelets, bijoux, autres articles de bijouterie et joaillerie n.d.a = 649 ; Autres effets personnels: valise, sac de voyage, sac à main, perruques, chapeau, lunettes solaires, parapluies, parasol, canne, porte-monnaie,portefeuille, articles pour fumeurs  articles pour bébé , articles funéraires = 650 ; Frais d'assurance d'une maison ou tout autre bien qu'un moyen de transport = 651 ; Taxes d'habitation (immeubles bâties et non bâties), taxes de voiries = 652 ; Frais d'assurance vie = 653 ; Frais d'assurance maladie = 654 ; Frais d'évacuations sanitaires (hors du pays) = 655 ; Frais de légalisation (confection) de documents administratifs (actes d'Etat-civil,diplômes) = 656 ; Autres services: annonce à la radio, dans un journal/à la télévision, pompe funèbre = 657 ; Frais insc./scol. préscolaire = 701 ; Cotisations préscolaire = 702 ; Livres/cahiers préscolaire = 703 ; Aut. matériel préscolaire = 704 ; Uniformes préscolaire = 705 ; Frais cantine préscolaire = 706 ; Frais transport préscolaire = 707 ; Aut. (soutien, repet.) préscolaire = 708 ; Frais insc./scol. primaire = 709 ; Cotisations primaire = 710 ; Livres/cahiers primaire = 711 ; Aut. matériel primaire = 712 ; Uniformes primaire = 713 ; Frais cantine primaire = 714 ; Frais transport primaire = 715 ; Aut. (soutien, repet.) primaire = 716 ; Frais insc./scol. secondaire 1 = 717 ; Cotisations secondaire 1 = 718 ; Livres/cahiers secondaire 1 = 719 ; Aut. matériel secondaire 1 = 720 ; Uniformes secondaire 1 = 721 ; Frais cantine secondaire 1 = 722 ; Frais transport secondaire 1 = 723 ; Aut. (soutien, repet.) secondaire 1 = 724 ; Frais insc./scol. secondaire 2 = 725 ; Cotisations secondaire 2 = 726 ; Livres/cahiers secondaire 2 = 727 ; Aut. matériel secondaire 2 = 728 ; Uniformes secondaire 2 = 729 ; Frais cantine secondaire 2 = 730 ; Frais transport secondaire 2 = 731 ; Aut. (soutien, repet.) secondaire 2 = 732 ; Frais insc./scol. post-secondaire = 733 ; Cotisations post-secondaire = 734 ; Livres/cahiers post-secondaire = 735 ; Aut. matériel post-secondaire = 736 ; Uniformes post-secondaire = 737 ; Frais cantine post-secondaire = 738 ; Frais transport post-secondaire = 739 ; Aut. (soutien, repet.) post-secondaire = 740 ; Frais insc./scol. supérieur = 741 ; Cotisations supérieur = 742 ; Livres/cahiers supérieur = 743 ; Aut. matériel supérieur = 744 ; Uniformes supérieur = 745 ; Frais cantine supérieur = 746 ; Frais transport supérieur = 747 ; Aut. (soutien, repet.) supérieur = 748 ; Consultation generaliste = 761 ; Consultation specialiste = 762 ; Consultation dentiste = 763 ; Consultation guerisseur = 764 ; Examens medicaux hors hosp. = 765 ; Medic. modernes public hors hosp. = 766 ; Medic. modernes privé hors hosp. = 767 ; Medic. tradi. hors hosp. = 768 ; Vaccinations = 769 ; Circonsition = 770 ; Bilan santé = 771 ; Test Covid = 772 ; Transport ambulance, etc. = 773 ; Hospitalisation = 774 ; Frais accouchement = 775 ; Frais verres correcteurs/monture = 776 ; Béquil./chaises roul./prothèses, etc. = 777 ; Salon (Fauteuils et table basse) = 801 ; Table à manger (table + chaises) = 802 ; Lit = 803 ; Matelas simple = 804 ; Armoires et autres meubles = 805 ; Tapis = 806 ; Fer à repasser électrique = 807 ; Fer à repasser à charbon = 808 ; Cuisinière à gaz ou électrique = 809 ; Bonbonne de gaz = 810 ; Réchaud (plaque) à gaz ou électrique = 811 ; Four à micro-onde ou électrique = 812 ; Foyers améliorés = 813 ; Robot de cuisine électrique (Moulinex) = 814 ; Mixeur/Presse-fruits non électrique = 815 ; Réfrigérateur = 816 ; Congélateur = 817 ; Ventilateur sur pied = 818 ; Radio simple/Radiocassette = 819 ; Appareil TV = 820 ; Magnétoscope/CD/DVD = 821 ; Antenne parabolique / décodeur = 822 ; Lave-linge, sèche linge = 823 ; Aspirateur = 824 ; Climatiseurs/Splits amovibles = 825 ; Tondeuse à gazon et autre article de jardinage = 826 ; Groupe électrogène = 827 ; Voiture personnelle = 828 ; Cyclomoteur/Vélomoteur, motocyclette = 829 ; Bicyclette/Vélo de course = 830 ; Appareil photo = 831 ; Camescope = 832 ; Chaîne Hi Fi = 833 ; Téléphone fixe = 834 ; Téléphone portable = 835 ; Tablette = 836 ; Ordinateur = 837 ; Imprimante/Fax = 838 ; Caméra Vidéo = 839 ; Pirogue et hors-bord (bateaux de plaisance) = 840 ; Fusils de chasse = 841 ; Guitare = 842 ; Piano et autre appareil de musique = 843 ; Immeuble/Maison = 844 ; Terrain non bâti = 845 ; Alimentation fêtes = 901 ; Alimentation mariage/baptême/comm. = 902 ; Alimentation funérailles/autres = 903 ; Boisson fêtes = 904 ; Boisson mariage/baptême/comm. = 905 ; Boisson funérailles/autres = 906 ; Habits/chaussures mar./bapt./comm. = 908 ; Habits/chaussures funér./autres = 909 ; Location salle/chaise fêtes = 910 ; Location salle/chaise mar./bapt./comm. = 911 ; Location salle/chaise funér./autres = 912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ehcvm_conso_SEN2021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modep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Mode d'acquisition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Achat = 1 ; Autoconso = 2 ; Don = 3 ; Valeur usage BD = 4 ; Loyer imputee = 5</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ehcvm_conso_SEN2021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depan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Depense annuelle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activ7j</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Situation d'activite au cours des 7 derniers jours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Occupe = 1 ; TF cherchant emploi = 2 ; TF cherchant pas = 3 ; Chomeur = 4 ; Inactif = 5 ; Moins de 5 ans = 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activ12m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Situation d'activite au cours des 12 derniers mois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Occupe = 1 ; Trav. fam. = 2 ; Non occupe = 3 ; Moins de 5 ans = 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aff30j</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probleme sante au cours des 30 derniers jours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Fièvre/Paludisme = 1 ; Diarrhée = 2 ; Accident/Blessure = 3 ; Problème dentaire = 4 ; Problème de peau = 5 ; Maladie des yeux = 6 ; Problème de tension = 7 ; Fièvre typhoïde = 8 ; Problème d'estomac (ulcère, cancer, etc) = 9 ; Mal de gorge = 10 ; Toux, rhume = 11 ; Diabète = 12 ; Meningite = 13 ; COVID-19 = 14 ; Complications liées à grossesse ou à l'accouchement = 15 ; Douleurs/fatigue = 16 ; Anémie/drépanocytose = 17 ; Autre = 18 ; Maux de ventre = 19 ; Probleme respiratoire = 20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Age en annees revolues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agemar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Age au premier marriage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alfa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Alphabet. sait lire/ecrire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alfa2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Alphabet. sait lire/ecrire/comprend.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arrmal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Arret activite pour maladie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bank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compte banque ou autre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branch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Branche activite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Agriculture = 1 ; Elevage/syl./peche = 2 ; Indust. extr. = 3 ; Autr. indust. = 4 ; BTP = 5 ; Commerce = 6 ; Restaurant/Hotel = 7 ; Trans./Comm. = 8 ; Education/Sante = 9 ; Services perso. = 10 ; Aut. services = 11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con30j</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Consulte 30 dern. jours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country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Code iso3 du Pays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character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couvmal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Indivu possede unecouverture maladie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csp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CSP dansl'emploi principal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Cadre supérieur = 1 ; Cadre moyen/agent de maîtrise = 2 ; Ouvrier ou employé qualifié = 3 ; Ouvrier ou employé non qualifié = 4 ; Manœuvre, aide ménagère = 5 ; Stagiaire ou Apprenti rénuméré = 6 ; Stagiaire ou Apprenti non rénuméré = 7 ; Travailleur Familial contribuant pour une entreprise familial = 8 ; Travailleur pour compte propre = 9 ; Patron = 10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csp_sec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CSP dansl'emploi secondaire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Cadre supérieur = 1 ; Cadre moyen/agent de maîtrise = 2 ; Ouvrier ou employé qualifié = 3 ; Ouvrier ou employé non qualifié = 4 ; Manœuvre, aide-ménagère = 5 ; Stagiaire ou Apprenti rémunéré = 6 ; Stagiaire ou Apprenti non rémunéré = 7 ; Travailleur familial contribuant à une entreprise familiale = 8 ; Travailleur pour compte propre = 9 ; Patron = 10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diplome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Diplome le plus eleve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Aucun = 0 ; CEPE = 1 ; BEPC = 2 ; CAP = 3 ; BT = 4 ; BAC = 5 ; DEUG, DUT, BTS = 6 ; Licence = 7 ; Maitrise = 8 ; Master/DEA/DESS = 9 ; Doctorat/Phd = 10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durarr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Duree d'arret activite pour raison de maladie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Moins d'une semaine = 1 ; Entre une et deux semaines = 2 ; Plus de deux semaines = 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educ_hi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Niveau d'education acheve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Aucun = 1 ; Maternelle = 2 ; Primaire = 3 ; Second. gl 1 = 4 ; Second. tech. 1 = 5 ; Second. gl 2 = 6 ; Second. tech. 2 = 7 ; Postsecondaire = 8 ; Superieur = 9</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educ_scol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Niveau d'education actuel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Maternelle = 1 ; Primaire = 2 ; Secondaire 1  (Post Primaire) générale = 3 ; Secondaire 1  (Post Primaire) technique = 4 ; Secondaire 2 générale = 5 ; Secondaire 2 technique = 6 ; Post secondaire (préparation de diplômes de niveau BAC+2) = 7 ; Supérieur = 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grappe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Numero de grappe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handig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Handicap majeur seul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handit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Handicap tout niveau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hhid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Idenfiant du 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hhweight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Ponderation 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hos12m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Hospitalisation au cours des 12 der. mois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internet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Individu a acces a internet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Lien de parente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Chef de ménage = 1 ; Conjoint ( e ) = 2 ; Fils, Fille = 3 ; Père, Mère = 4 ; Petit fils, petite fille = 5 ; Grand-parents = 6 ; Frère, sœur = 7 ; Neveu/Nièce = 8 ; Autres Parents du CM/Conjoint = 9 ; Personne non apparentée au CM/Conjoint = 10 ; Domestique ou parent du domestique = 11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mal30j</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Prob. sante 30 dern. jours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Numero du 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milieu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Milieu de résidence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Urbain = 1 ; Rural = 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moustiq</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dormi sous moustiquire la nuit derniere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mstat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Situation matrimoniale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Célibataire = 1 ; Marié(e) monogame = 2 ; Marié(e) polygame = 3 ; Union libre = 4 ; Veuf(ve) = 5 ; Divorcé(e) = 6 ; Séparé(e) = 7</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Nationalité de l'individu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Bénin = 1 ; Burkina Faso = 2 ; Cape-vert = 3 ; Cote d'ivoire = 4 ; Gambie = 5 ; Ghana = 6 ; Guinee = 7 ; Guinée Bissau = 8 ; Liberia = 9 ; Mali = 10 ; Niger = 11 ; Nigeria = 12 ; Sénégal = 13 ; Serra-Leonne = 14 ; Togo = 15 ; Autre Afrique = 17 ; Autre pays hors Afrique = 18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numind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Numero d'ordre de l'individu dans le 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persconsult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Personnel de santé consulté au cours des 30 dern. jrs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Médecin = 1 ; Infirmier = 2 ; Autres = 3 ; Pas de consultation = 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region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Region de residence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DAKAR = 1 ; ZIGUINCHOR = 2 ; DIOURBEL = 3 ; SAINT-LOUIS = 4 ; TAMBACOUNDA = 5 ; KAOLACK = 6 ; THIES = 7 ; LOUGA = 8 ; FATICK = 9 ; KOLDA = 10 ; MATAM = 11 ; KAFFRINE = 12 ; KEDOUGOU = 13 ; SEDHIOU = 14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salaire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Salaire annuel dansl'emploi principal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salaire_sec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Salaire annuel dansl'emploi secondaire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scol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Frequente l'ecole en 2020/21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sectins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Secteur institutionnel de l'emploi principal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Etat/Collectivités locales = 1 ; Entreprise publique/ parapublique = 2 ; Entreprise Privée = 3 ; Entreprise associative = 4 ; Ménage comme employeur de personnel domestique = 5 ; Organisme international /Ambassade = 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sectins_sec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Secteur institutionnel de l'emploi secondaire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Etat/Collectivités locales = 1 ; Entreprise publique/ parapublique = 2 ; Entreprise privée = 3 ; Entreprise associative = 4 ; Ménage comme employeur de personnel domestique = 5 ; Organisme international. /Ambassade = 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serviceconsult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 de santé consulté  au cours des 30 dern. jrs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Hôpital/Clinique = 1 ; Dispensaire = 2 ; Autres = 3 ; Pas de consultation = 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sexe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Genre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Masculin = 1 ; Féminin = 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telpor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Individu possede un telephone portable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vague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Vague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volhor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Volume horaire annuel de travail dans l'emploi principal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volhor_sec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Volume horaire annuel de travail dans l'emploi secondaire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year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Annee de l'enquete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ehcvm_individu_SEN2021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Statut de residence de l'individu dans le 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Menage a voiture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country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Pays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character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cuisin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Menage a cuisiniere elec/gaz</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decod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Menage a decodeur/antenne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eauboi_sp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eau potable saison pluie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eauboi_ss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eau potable saison seche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elec_ac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Acces reseau electrique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elec_ua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Utilise elec. solaire/groupe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elec_ur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Utilise elec. reseau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eva_eau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Eaux usées évacuées sainement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eva_toi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Excréments évacués sainement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Menage a fer electrique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frigo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Menage a frigo/congel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grappe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grappe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grosrum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Nbr gros ruminants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hhid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Identifiant 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lapin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Nbr lapins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Occupation logement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Proprietaire titre = 1 ; Proprietaire sans titre = 2 ; Locataire = 3 ; Autre = 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Identifiant du ménage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Mur en materiaux definitifs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ordin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Menage a ordinateur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ordure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Déchets évacués sainement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petitrum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Nbr petits ruminants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porc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Nbr porcs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sh_co_eco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Choc covariant économique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sh_co_natu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Choc covariant naturel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sh_co_oth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Autres Chocs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sh_co_vio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Choc covariant violence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sh_id_demo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Choc idio démographique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sh_id_eco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Choc idio économique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Sol en materiaux definitifs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superf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Superficie agricole (en ha)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toilet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Toilettes saines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toit en materiaux definitifs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Menage a TV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vague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Vague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volail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Nbr volailles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ehcvm_menage_SEN2021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year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Annee enquete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ehcvm_ponderations_SEN2021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vague</w:t>
      </w:r>
    </w:p>
    <w:p>
      <w:pPr>
        <w:spacing w:line="360" w:after="210" w:lineRule="auto"/>
      </w:pP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ehcvm_ponderations_SEN2021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grappe</w:t>
      </w:r>
    </w:p>
    <w:p>
      <w:pPr>
        <w:spacing w:line="360" w:after="210" w:lineRule="auto"/>
      </w:pP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ehcvm_ponderations_SEN2021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menage</w:t>
      </w:r>
    </w:p>
    <w:p>
      <w:pPr>
        <w:spacing w:line="360" w:after="210" w:lineRule="auto"/>
      </w:pP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ehcvm_ponderations_SEN2021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poids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PS poids de sondage lissé pop_2021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ehcvm_ponderations_SEN2021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poids_nonlisse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PBrut poids de sondage lissé pop_2021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country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Code iso3 du Pays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character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dali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Consommation annuelle alim. Du 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Consommation annuelle non alim. du 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dtot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Consommation annuelle totale du 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grappe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Numero de la grappe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hactiv7j</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Activite 7 jours du CM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Occupe = 1 ; TF cherchant emploi = 2 ; TF cherchant pas = 3 ; Chomeur = 4 ; Inactif = 5 ; Moins de 5 ans = 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hactiv12m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Activite 12 mois du CM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Occupe = 1 ; Trav. fam. = 2 ; Non occupe = 3 ; Moins de 5 ans = 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Age du CM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halfa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Alpha. lire/ecr. CM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halfa2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Alpha. lire/ecr./comp. CM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hbranch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Branche d'activite du CM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Agriculture = 1 ; Elevage/syl./peche = 2 ; Indust. extr. = 3 ; Autr. indust. = 4 ; BTP = 5 ; Commerce = 6 ; Restaurant/Hotel = 7 ; Trans./Comm. = 8 ; Education/Sante = 9 ; Services perso. = 10 ; Aut. services = 11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hcsp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categorie socioprofessionnelle du CM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Cadre supérieur = 1 ; Cadre moyen/agent de maîtrise = 2 ; Ouvrier ou employé qualifié = 3 ; Ouvrier ou employé non qualifié = 4 ; Manœuvre, aide ménagère = 5 ; Stagiaire ou Apprenti rénuméré = 6 ; Stagiaire ou Apprenti non rénuméré = 7 ; Travailleur Familial contribuant pour une entreprise familial = 8 ; Travailleur pour compte propre = 9 ; Patron = 10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hdiploma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Diplome du CM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Aucun = 0 ; CEPE = 1 ; BEPC = 2 ; CAP = 3 ; BT = 4 ; BAC = 5 ; DEUG, DUT, BTS = 6 ; Licence = 7 ; Maitrise = 8 ; Master/DEA/DESS = 9 ; Doctorat/Phd = 10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heduc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Education du CM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Aucun = 1 ; Maternelle = 2 ; Primaire = 3 ; Second. gl 1 = 4 ; Second. tech. 1 = 5 ; Second. gl 2 = 6 ; Second. tech. 2 = 7 ; Postsecondaire = 8 ; Superieur = 9</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hgender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Genre du CM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Masculin = 1 ; Féminin = 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hhandig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Handicap majeur CM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Non = 0 ; Oui =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hhid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Idenfiant 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hhsize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Taille 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hhweight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Ponderation 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hmstat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Situation matrimoniale du CM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Célibataire = 1 ; Marié(e) monogame = 2 ; Marié(e) polygame = 3 ; Union libre = 4 ; Veuf(ve) = 5 ; Divorcé(e) = 6 ; Séparé(e) = 7</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hnation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Nationalite du CM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Bénin = 1 ; Burkina Faso = 2 ; Cape-vert = 3 ; Cote d'ivoire = 4 ; Gambie = 5 ; Ghana = 6 ; Guinee = 7 ; Guinée Bissau = 8 ; Liberia = 9 ; Mali = 10 ; Niger = 11 ; Nigeria = 12 ; Sénégal = 13 ; Serra-Leonne = 14 ; Togo = 15 ; Autre Afrique = 17 ; Autre pays hors Afrique = 18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hreligion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Religion du CM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Musulman = 1 ; Chrétien = 2 ; Animiste = 3 ; Autre Réligion = 4 ; Sans Réligion = 5</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hsectins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Secteur institutionnel du CM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Etat/Collectivités locales = 1 ; Entreprise publique/ parapublique = 2 ; Entreprise Privée = 3 ; Entreprise associative = 4 ; Ménage comme employeur de personnel domestique = 5 ; Organisme international /Ambassade = 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Numero du menage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milieu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Milieu de résidence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Urbain = 1 ; Rural = 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pcexp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Indicateur de bien-être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region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Region de residence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haven_labelled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DAKAR = 1 ; ZIGUINCHOR = 2 ; DIOURBEL = 3 ; SAINT-LOUIS = 4 ; TAMBACOUNDA = 5 ; KAOLACK = 6 ; THIES = 7 ; LOUGA = 8 ; FATICK = 9 ; KOLDA = 10 ; MATAM = 11 ; KAFFRINE = 12 ; KEDOUGOU = 13 ; SEDHIOU = 14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vague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Vague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year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Annee enquete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ehcvm_welfare_SEN2021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zref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Seuil de pauvrete national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numeric</w:t>
      </w:r>
    </w:p>
    <w:p>
      <w:pPr>
        <w:spacing w:line="360" w:after="210" w:lineRule="auto"/>
      </w:pPr>
      <w:r>
        <w:rPr>
          <w:rFonts w:eastAsia="source serif 4" w:cs="source serif 4" w:ascii="source serif 4" w:hAnsi="source serif 4"/>
          <w:color w:val="000000"/>
        </w:rPr>
        <w:t xml:space="preserve">Merci — très utile d’avoir fourni la base de données et vos objectifs. Je vous fournis ci‑dessous une revue structurée, ciblée sur la construction d’un cadre conceptuel et empirique pour une typologie multidimensionnelle de la vulnérabilité des ménages (ACM + clustering) appliquée à l’EHCVM 2021–2022 (Sénégal). La revue privilégie articles académiques et rapports d’agences (Banque mondiale, FAO, WFP, PNUD) et contient : cadres conceptuels, comparaisons définitions, études empiriques pertinentes (Afrique de l’Ouest, Sénégal, pays en développement) utilisant ACP/ACM/clustering, dimensions usuelles, variables compatibles EHCVM, proposition de cadre adapté, profils types et narratifs scientifiques pour un poster. Références complètes en fin.</w:t>
      </w:r>
    </w:p>
    <w:p>
      <w:pPr>
        <w:numPr>
          <w:ilvl w:val="0"/>
          <w:numId w:val="2"/>
        </w:numPr>
        <w:spacing w:line="360" w:before="105" w:after="105" w:lineRule="auto"/>
      </w:pPr>
      <w:r>
        <w:rPr>
          <w:rFonts w:eastAsia="source serif 4" w:cs="source serif 4" w:ascii="source serif 4" w:hAnsi="source serif 4"/>
          <w:color w:val="000000"/>
          <w:sz w:val="21"/>
        </w:rPr>
        <w:t xml:space="preserve">Principaux cadres conceptuels de la vulnérabilité des ménages</w:t>
      </w:r>
    </w:p>
    <w:p>
      <w:pPr>
        <w:numPr>
          <w:ilvl w:val="0"/>
          <w:numId w:val="3"/>
        </w:numPr>
        <w:spacing w:line="360" w:before="105" w:after="105" w:lineRule="auto"/>
      </w:pPr>
      <w:r>
        <w:rPr>
          <w:rFonts w:eastAsia="source serif 4" w:cs="source serif 4" w:ascii="source serif 4" w:hAnsi="source serif 4"/>
          <w:color w:val="000000"/>
          <w:sz w:val="21"/>
        </w:rPr>
        <w:t xml:space="preserve">Vulnerability as expected poverty (ex ante risk of becoming poor)</w:t>
      </w:r>
    </w:p>
    <w:p>
      <w:pPr>
        <w:numPr>
          <w:ilvl w:val="1"/>
          <w:numId w:val="3"/>
        </w:numPr>
        <w:spacing w:line="360" w:before="105" w:after="105" w:lineRule="auto"/>
      </w:pPr>
      <w:r>
        <w:rPr>
          <w:rFonts w:eastAsia="source serif 4" w:cs="source serif 4" w:ascii="source serif 4" w:hAnsi="source serif 4"/>
          <w:color w:val="000000"/>
          <w:sz w:val="21"/>
        </w:rPr>
        <w:t xml:space="preserve">Approche économétrique : mesurer probabilité que ménage tombe sous seuil de pauvreté (vulnerability as expected poverty, VEP) — Chaudhuri, Jalan &amp; Suryahadi (2002); Pritchett, Suryahadi &amp; Sumarto variants.</w:t>
      </w:r>
    </w:p>
    <w:p>
      <w:pPr>
        <w:numPr>
          <w:ilvl w:val="1"/>
          <w:numId w:val="3"/>
        </w:numPr>
        <w:spacing w:line="360" w:before="105" w:after="105" w:lineRule="auto"/>
      </w:pPr>
      <w:r>
        <w:rPr>
          <w:rFonts w:eastAsia="source serif 4" w:cs="source serif 4" w:ascii="source serif 4" w:hAnsi="source serif 4"/>
          <w:color w:val="000000"/>
          <w:sz w:val="21"/>
        </w:rPr>
        <w:t xml:space="preserve">Forces : clair, utilisable avec panel/économétrie; Limites : centré sur revenu/consommation, statique.</w:t>
      </w:r>
    </w:p>
    <w:p>
      <w:pPr>
        <w:numPr>
          <w:ilvl w:val="0"/>
          <w:numId w:val="3"/>
        </w:numPr>
        <w:spacing w:line="360" w:before="105" w:after="105" w:lineRule="auto"/>
      </w:pPr>
      <w:r>
        <w:rPr>
          <w:rFonts w:eastAsia="source serif 4" w:cs="source serif 4" w:ascii="source serif 4" w:hAnsi="source serif 4"/>
          <w:color w:val="000000"/>
          <w:sz w:val="21"/>
        </w:rPr>
        <w:t xml:space="preserve">Vulnerability as low expected utility / downside risk</w:t>
      </w:r>
    </w:p>
    <w:p>
      <w:pPr>
        <w:numPr>
          <w:ilvl w:val="1"/>
          <w:numId w:val="3"/>
        </w:numPr>
        <w:spacing w:line="360" w:before="105" w:after="105" w:lineRule="auto"/>
      </w:pPr>
      <w:r>
        <w:rPr>
          <w:rFonts w:eastAsia="source serif 4" w:cs="source serif 4" w:ascii="source serif 4" w:hAnsi="source serif 4"/>
          <w:color w:val="000000"/>
          <w:sz w:val="21"/>
        </w:rPr>
        <w:t xml:space="preserve">Périmètre utilitariste : exposition à perte d’utilité (vulnerability as low expected utility — VEU) (e.g., Ligon &amp; Schechter).</w:t>
      </w:r>
    </w:p>
    <w:p>
      <w:pPr>
        <w:numPr>
          <w:ilvl w:val="1"/>
          <w:numId w:val="3"/>
        </w:numPr>
        <w:spacing w:line="360" w:before="105" w:after="105" w:lineRule="auto"/>
      </w:pPr>
      <w:r>
        <w:rPr>
          <w:rFonts w:eastAsia="source serif 4" w:cs="source serif 4" w:ascii="source serif 4" w:hAnsi="source serif 4"/>
          <w:color w:val="000000"/>
          <w:sz w:val="21"/>
        </w:rPr>
        <w:t xml:space="preserve">Met l’accent sur la gestion du risque (préférences inter-temporelles).</w:t>
      </w:r>
    </w:p>
    <w:p>
      <w:pPr>
        <w:numPr>
          <w:ilvl w:val="0"/>
          <w:numId w:val="3"/>
        </w:numPr>
        <w:spacing w:line="360" w:before="105" w:after="105" w:lineRule="auto"/>
      </w:pPr>
      <w:r>
        <w:rPr>
          <w:rFonts w:eastAsia="source serif 4" w:cs="source serif 4" w:ascii="source serif 4" w:hAnsi="source serif 4"/>
          <w:color w:val="000000"/>
          <w:sz w:val="21"/>
        </w:rPr>
        <w:t xml:space="preserve">Vulnerability as uninsured exposure to shocks (Dercon)</w:t>
      </w:r>
    </w:p>
    <w:p>
      <w:pPr>
        <w:numPr>
          <w:ilvl w:val="1"/>
          <w:numId w:val="3"/>
        </w:numPr>
        <w:spacing w:line="360" w:before="105" w:after="105" w:lineRule="auto"/>
      </w:pPr>
      <w:r>
        <w:rPr>
          <w:rFonts w:eastAsia="source serif 4" w:cs="source serif 4" w:ascii="source serif 4" w:hAnsi="source serif 4"/>
          <w:color w:val="000000"/>
          <w:sz w:val="21"/>
        </w:rPr>
        <w:t xml:space="preserve">Dercon (2004, 2005) et travaux apparentés : vulnérabilité liée à fréquence et gravité des chocs, capacité d’absorption (coping) et d’adaptation (assets, markets, institutions).</w:t>
      </w:r>
    </w:p>
    <w:p>
      <w:pPr>
        <w:numPr>
          <w:ilvl w:val="1"/>
          <w:numId w:val="3"/>
        </w:numPr>
        <w:spacing w:line="360" w:before="105" w:after="105" w:lineRule="auto"/>
      </w:pPr>
      <w:r>
        <w:rPr>
          <w:rFonts w:eastAsia="source serif 4" w:cs="source serif 4" w:ascii="source serif 4" w:hAnsi="source serif 4"/>
          <w:color w:val="000000"/>
          <w:sz w:val="21"/>
        </w:rPr>
        <w:t xml:space="preserve">Articule risques covariants vs idiosyncratiques, marchés incomplets et actifs de protection.</w:t>
      </w:r>
    </w:p>
    <w:p>
      <w:pPr>
        <w:numPr>
          <w:ilvl w:val="0"/>
          <w:numId w:val="3"/>
        </w:numPr>
        <w:spacing w:line="360" w:before="105" w:after="105" w:lineRule="auto"/>
      </w:pPr>
      <w:r>
        <w:rPr>
          <w:rFonts w:eastAsia="source serif 4" w:cs="source serif 4" w:ascii="source serif 4" w:hAnsi="source serif 4"/>
          <w:color w:val="000000"/>
          <w:sz w:val="21"/>
        </w:rPr>
        <w:t xml:space="preserve">Multidimensional vulnerability / Capabilities approach</w:t>
      </w:r>
    </w:p>
    <w:p>
      <w:pPr>
        <w:numPr>
          <w:ilvl w:val="1"/>
          <w:numId w:val="3"/>
        </w:numPr>
        <w:spacing w:line="360" w:before="105" w:after="105" w:lineRule="auto"/>
      </w:pPr>
      <w:r>
        <w:rPr>
          <w:rFonts w:eastAsia="source serif 4" w:cs="source serif 4" w:ascii="source serif 4" w:hAnsi="source serif 4"/>
          <w:color w:val="000000"/>
          <w:sz w:val="21"/>
        </w:rPr>
        <w:t xml:space="preserve">Inspirations Sen (capabilities), Chambers (vulnérabilité et pauvreté vue de l’« intérieur »), PNUD multidimensional poverty approach.</w:t>
      </w:r>
    </w:p>
    <w:p>
      <w:pPr>
        <w:numPr>
          <w:ilvl w:val="1"/>
          <w:numId w:val="3"/>
        </w:numPr>
        <w:spacing w:line="360" w:before="105" w:after="105" w:lineRule="auto"/>
      </w:pPr>
      <w:r>
        <w:rPr>
          <w:rFonts w:eastAsia="source serif 4" w:cs="source serif 4" w:ascii="source serif 4" w:hAnsi="source serif 4"/>
          <w:color w:val="000000"/>
          <w:sz w:val="21"/>
        </w:rPr>
        <w:t xml:space="preserve">Focalise non seulement sur revenus mais sur accès aux capacités (santé, éducation, sécurité alimentaire, actifs, réseaux sociaux).</w:t>
      </w:r>
    </w:p>
    <w:p>
      <w:pPr>
        <w:numPr>
          <w:ilvl w:val="0"/>
          <w:numId w:val="3"/>
        </w:numPr>
        <w:spacing w:line="360" w:before="105" w:after="105" w:lineRule="auto"/>
      </w:pPr>
      <w:r>
        <w:rPr>
          <w:rFonts w:eastAsia="source serif 4" w:cs="source serif 4" w:ascii="source serif 4" w:hAnsi="source serif 4"/>
          <w:color w:val="000000"/>
          <w:sz w:val="21"/>
        </w:rPr>
        <w:t xml:space="preserve">Asset‑based and livelihood frameworks</w:t>
      </w:r>
    </w:p>
    <w:p>
      <w:pPr>
        <w:numPr>
          <w:ilvl w:val="1"/>
          <w:numId w:val="3"/>
        </w:numPr>
        <w:spacing w:line="360" w:before="105" w:after="105" w:lineRule="auto"/>
      </w:pPr>
      <w:r>
        <w:rPr>
          <w:rFonts w:eastAsia="source serif 4" w:cs="source serif 4" w:ascii="source serif 4" w:hAnsi="source serif 4"/>
          <w:color w:val="000000"/>
          <w:sz w:val="21"/>
        </w:rPr>
        <w:t xml:space="preserve">Sustainable Livelihoods Framework (DFID), Alwang, Siegel &amp; Jorgensen (2001): vulnérabilité liée à actifs (humains, sociaux, naturels, physiques, financiers), contextes et transformations (institutions et politiques).</w:t>
      </w:r>
    </w:p>
    <w:p>
      <w:pPr>
        <w:numPr>
          <w:ilvl w:val="0"/>
          <w:numId w:val="3"/>
        </w:numPr>
        <w:spacing w:line="360" w:before="105" w:after="105" w:lineRule="auto"/>
      </w:pPr>
      <w:r>
        <w:rPr>
          <w:rFonts w:eastAsia="source serif 4" w:cs="source serif 4" w:ascii="source serif 4" w:hAnsi="source serif 4"/>
          <w:color w:val="000000"/>
          <w:sz w:val="21"/>
        </w:rPr>
        <w:t xml:space="preserve">Food security / resilience frameworks</w:t>
      </w:r>
    </w:p>
    <w:p>
      <w:pPr>
        <w:numPr>
          <w:ilvl w:val="1"/>
          <w:numId w:val="3"/>
        </w:numPr>
        <w:spacing w:line="360" w:before="105" w:after="105" w:lineRule="auto"/>
      </w:pPr>
      <w:r>
        <w:rPr>
          <w:rFonts w:eastAsia="source serif 4" w:cs="source serif 4" w:ascii="source serif 4" w:hAnsi="source serif 4"/>
          <w:color w:val="000000"/>
          <w:sz w:val="21"/>
        </w:rPr>
        <w:t xml:space="preserve">FAO/WFP/IFPRI/PNUD: sécurité alimentaire (availability, access, utilization, stability) liée à vulnérabilité; résilience (capacité à anticiper, absorber, adapter, transformer).</w:t>
      </w:r>
    </w:p>
    <w:p>
      <w:pPr>
        <w:numPr>
          <w:ilvl w:val="0"/>
          <w:numId w:val="3"/>
        </w:numPr>
        <w:spacing w:line="360" w:before="105" w:after="105" w:lineRule="auto"/>
      </w:pPr>
      <w:r>
        <w:rPr>
          <w:rFonts w:eastAsia="source serif 4" w:cs="source serif 4" w:ascii="source serif 4" w:hAnsi="source serif 4"/>
          <w:color w:val="000000"/>
          <w:sz w:val="21"/>
        </w:rPr>
        <w:t xml:space="preserve">Social vulnerability / exposure‑sensitivity adaptive capacity</w:t>
      </w:r>
    </w:p>
    <w:p>
      <w:pPr>
        <w:numPr>
          <w:ilvl w:val="1"/>
          <w:numId w:val="3"/>
        </w:numPr>
        <w:spacing w:line="360" w:before="105" w:after="105" w:lineRule="auto"/>
      </w:pPr>
      <w:r>
        <w:rPr>
          <w:rFonts w:eastAsia="source serif 4" w:cs="source serif 4" w:ascii="source serif 4" w:hAnsi="source serif 4"/>
          <w:color w:val="000000"/>
          <w:sz w:val="21"/>
        </w:rPr>
        <w:t xml:space="preserve">Approches issues du changement climatique/disaster risk reduction : vulnérabilité = f(exposition, sensibilité, capacité d’adaptation) (IPCC framing).</w:t>
      </w:r>
    </w:p>
    <w:p>
      <w:pPr>
        <w:spacing w:line="360" w:after="210" w:lineRule="auto"/>
      </w:pPr>
      <w:r>
        <w:rPr>
          <w:rFonts w:eastAsia="source serif 4" w:cs="source serif 4" w:ascii="source serif 4" w:hAnsi="source serif 4"/>
          <w:color w:val="000000"/>
        </w:rPr>
        <w:t xml:space="preserve">Contributions majeures (sélection)</w:t>
      </w:r>
    </w:p>
    <w:p>
      <w:pPr>
        <w:numPr>
          <w:ilvl w:val="0"/>
          <w:numId w:val="4"/>
        </w:numPr>
        <w:spacing w:line="360" w:before="105" w:after="105" w:lineRule="auto"/>
      </w:pPr>
      <w:r>
        <w:rPr>
          <w:rFonts w:eastAsia="source serif 4" w:cs="source serif 4" w:ascii="source serif 4" w:hAnsi="source serif 4"/>
          <w:color w:val="000000"/>
          <w:sz w:val="21"/>
        </w:rPr>
        <w:t xml:space="preserve">Robert Chambers — “Vulnerability, coping and policy” (1989), et travaux sur participatory poverty assessment : insiste sur voix/expériences locales, facteurs subjectifs, diversité des stratégies de survie.</w:t>
      </w:r>
    </w:p>
    <w:p>
      <w:pPr>
        <w:numPr>
          <w:ilvl w:val="0"/>
          <w:numId w:val="4"/>
        </w:numPr>
        <w:spacing w:line="360" w:before="105" w:after="105" w:lineRule="auto"/>
      </w:pPr>
      <w:r>
        <w:rPr>
          <w:rFonts w:eastAsia="source serif 4" w:cs="source serif 4" w:ascii="source serif 4" w:hAnsi="source serif 4"/>
          <w:color w:val="000000"/>
          <w:sz w:val="21"/>
        </w:rPr>
        <w:t xml:space="preserve">Amartya Sen — Capabilities approach (e.g., Development as Freedom, 1999): pauvreté et vulnérabilité comme manque de capacités de fonctionnement, pas seulement revenu.</w:t>
      </w:r>
    </w:p>
    <w:p>
      <w:pPr>
        <w:numPr>
          <w:ilvl w:val="0"/>
          <w:numId w:val="4"/>
        </w:numPr>
        <w:spacing w:line="360" w:before="105" w:after="105" w:lineRule="auto"/>
      </w:pPr>
      <w:r>
        <w:rPr>
          <w:rFonts w:eastAsia="source serif 4" w:cs="source serif 4" w:ascii="source serif 4" w:hAnsi="source serif 4"/>
          <w:color w:val="000000"/>
          <w:sz w:val="21"/>
        </w:rPr>
        <w:t xml:space="preserve">Stefan Dercon — Nombreux travaux 1998–2014 : marchés incomplets, chocs et risques, micro‑assurance, rôle des actifs; “Poverty and Risk” (2004) et articles empiriques sur East Africa.</w:t>
      </w:r>
    </w:p>
    <w:p>
      <w:pPr>
        <w:numPr>
          <w:ilvl w:val="0"/>
          <w:numId w:val="4"/>
        </w:numPr>
        <w:spacing w:line="360" w:before="105" w:after="105" w:lineRule="auto"/>
      </w:pPr>
      <w:r>
        <w:rPr>
          <w:rFonts w:eastAsia="source serif 4" w:cs="source serif 4" w:ascii="source serif 4" w:hAnsi="source serif 4"/>
          <w:color w:val="000000"/>
          <w:sz w:val="21"/>
        </w:rPr>
        <w:t xml:space="preserve">Erick Alwang, Paul Siegel, Seth Jorgensen — “Vulnerability: A View from Different Disciplines” (2001, World Bank/IFPRI style) : propose taxonomie et méthodes de mesure, distingue exposition, susceptibility, coping.</w:t>
      </w:r>
    </w:p>
    <w:p>
      <w:pPr>
        <w:numPr>
          <w:ilvl w:val="0"/>
          <w:numId w:val="4"/>
        </w:numPr>
        <w:spacing w:line="360" w:before="105" w:after="105" w:lineRule="auto"/>
      </w:pPr>
      <w:r>
        <w:rPr>
          <w:rFonts w:eastAsia="source serif 4" w:cs="source serif 4" w:ascii="source serif 4" w:hAnsi="source serif 4"/>
          <w:color w:val="000000"/>
          <w:sz w:val="21"/>
        </w:rPr>
        <w:t xml:space="preserve">Banque mondiale — Rapports (World Development Report 2014 on risk &amp; opportunity) et travaux sur vulnerabilité et pauvreté ; VEP methodology (Hoddinott et al. variants).</w:t>
      </w:r>
    </w:p>
    <w:p>
      <w:pPr>
        <w:numPr>
          <w:ilvl w:val="0"/>
          <w:numId w:val="4"/>
        </w:numPr>
        <w:spacing w:line="360" w:before="105" w:after="105" w:lineRule="auto"/>
      </w:pPr>
      <w:r>
        <w:rPr>
          <w:rFonts w:eastAsia="source serif 4" w:cs="source serif 4" w:ascii="source serif 4" w:hAnsi="source serif 4"/>
          <w:color w:val="000000"/>
          <w:sz w:val="21"/>
        </w:rPr>
        <w:t xml:space="preserve">FAO — Cadres sur sécurité alimentaire et vulnérabilité (VAC analyses, Food Security and Nutrition conceptual work).</w:t>
      </w:r>
    </w:p>
    <w:p>
      <w:pPr>
        <w:numPr>
          <w:ilvl w:val="0"/>
          <w:numId w:val="4"/>
        </w:numPr>
        <w:spacing w:line="360" w:before="105" w:after="105" w:lineRule="auto"/>
      </w:pPr>
      <w:r>
        <w:rPr>
          <w:rFonts w:eastAsia="source serif 4" w:cs="source serif 4" w:ascii="source serif 4" w:hAnsi="source serif 4"/>
          <w:color w:val="000000"/>
          <w:sz w:val="21"/>
        </w:rPr>
        <w:t xml:space="preserve">WFP — Cadres VAM (Vulnerability Analysis and Mapping), Integrated Phase Classification (IPC) ; métriques de vulnérabilité alimentaire (HHS, rCSI, FCS).</w:t>
      </w:r>
    </w:p>
    <w:p>
      <w:pPr>
        <w:numPr>
          <w:ilvl w:val="0"/>
          <w:numId w:val="4"/>
        </w:numPr>
        <w:spacing w:line="360" w:before="105" w:after="105" w:lineRule="auto"/>
      </w:pPr>
      <w:r>
        <w:rPr>
          <w:rFonts w:eastAsia="source serif 4" w:cs="source serif 4" w:ascii="source serif 4" w:hAnsi="source serif 4"/>
          <w:color w:val="000000"/>
          <w:sz w:val="21"/>
        </w:rPr>
        <w:t xml:space="preserve">PNUD — Human Development Reports, Human Development Index et indices multidimensionnels (MPI) ; rapports sur résilience.</w:t>
      </w:r>
    </w:p>
    <w:p>
      <w:pPr>
        <w:numPr>
          <w:ilvl w:val="0"/>
          <w:numId w:val="4"/>
        </w:numPr>
        <w:spacing w:line="360" w:before="105" w:after="105" w:lineRule="auto"/>
      </w:pPr>
      <w:r>
        <w:rPr>
          <w:rFonts w:eastAsia="source serif 4" w:cs="source serif 4" w:ascii="source serif 4" w:hAnsi="source serif 4"/>
          <w:color w:val="000000"/>
          <w:sz w:val="21"/>
        </w:rPr>
        <w:t xml:space="preserve">IFPRI — Analyses d’impact des chocs alimentaires/prix ; travaux méthodologiques sur indices multidimensionnels.</w:t>
      </w:r>
    </w:p>
    <w:p>
      <w:pPr>
        <w:numPr>
          <w:ilvl w:val="0"/>
          <w:numId w:val="4"/>
        </w:numPr>
        <w:spacing w:line="360" w:before="105" w:after="105" w:lineRule="auto"/>
      </w:pPr>
      <w:r>
        <w:rPr>
          <w:rFonts w:eastAsia="source serif 4" w:cs="source serif 4" w:ascii="source serif 4" w:hAnsi="source serif 4"/>
          <w:color w:val="000000"/>
          <w:sz w:val="21"/>
        </w:rPr>
        <w:t xml:space="preserve">Chaudhuri, Jalan &amp; Suryahadi — formalisation VEP et implémentations empiriques.</w:t>
      </w:r>
    </w:p>
    <w:p>
      <w:pPr>
        <w:numPr>
          <w:ilvl w:val="0"/>
          <w:numId w:val="4"/>
        </w:numPr>
        <w:spacing w:line="360" w:before="105" w:after="105" w:lineRule="auto"/>
      </w:pPr>
      <w:r>
        <w:rPr>
          <w:rFonts w:eastAsia="source serif 4" w:cs="source serif 4" w:ascii="source serif 4" w:hAnsi="source serif 4"/>
          <w:color w:val="000000"/>
          <w:sz w:val="21"/>
        </w:rPr>
        <w:t xml:space="preserve">Ligon &amp; Schechter — discussion VEU et critères alternatifs.</w:t>
      </w:r>
    </w:p>
    <w:p>
      <w:pPr>
        <w:numPr>
          <w:ilvl w:val="0"/>
          <w:numId w:val="5"/>
        </w:numPr>
        <w:spacing w:line="360" w:before="105" w:after="105" w:lineRule="auto"/>
      </w:pPr>
      <w:r>
        <w:rPr>
          <w:rFonts w:eastAsia="source serif 4" w:cs="source serif 4" w:ascii="source serif 4" w:hAnsi="source serif 4"/>
          <w:color w:val="000000"/>
          <w:sz w:val="21"/>
        </w:rPr>
        <w:t xml:space="preserve">Comparer les définitions : pauvreté vs vulnérabilité vs résilience vs sécurité alimentaire</w:t>
      </w:r>
    </w:p>
    <w:p>
      <w:pPr>
        <w:numPr>
          <w:ilvl w:val="0"/>
          <w:numId w:val="6"/>
        </w:numPr>
        <w:spacing w:line="360" w:before="105" w:after="105" w:lineRule="auto"/>
      </w:pPr>
      <w:r>
        <w:rPr>
          <w:rFonts w:eastAsia="source serif 4" w:cs="source serif 4" w:ascii="source serif 4" w:hAnsi="source serif 4"/>
          <w:color w:val="000000"/>
          <w:sz w:val="21"/>
        </w:rPr>
        <w:t xml:space="preserve">Pauvreté : statut actuel ; mesuré par revenu/consommation ou dimensions (MPI). Ex post : état observé (consommation &lt; seuil). Référence : Ravallion (1992), Alkire &amp; Foster (MPI).</w:t>
      </w:r>
    </w:p>
    <w:p>
      <w:pPr>
        <w:numPr>
          <w:ilvl w:val="0"/>
          <w:numId w:val="6"/>
        </w:numPr>
        <w:spacing w:line="360" w:before="105" w:after="105" w:lineRule="auto"/>
      </w:pPr>
      <w:r>
        <w:rPr>
          <w:rFonts w:eastAsia="source serif 4" w:cs="source serif 4" w:ascii="source serif 4" w:hAnsi="source serif 4"/>
          <w:color w:val="000000"/>
          <w:sz w:val="21"/>
        </w:rPr>
        <w:t xml:space="preserve">Vulnérabilité : risque futur d’être dans la pauvreté ou d’expérimenter une dégradation importante ; peut être ex ante (probabilité) ou ex post (exposition/impact). Définitions se ramènent à : (i) probabiliste (VEP, VEU), (ii) exposition à chocs sans protection (Dercon), (iii) multidimensionnelle (perte de capacités).</w:t>
      </w:r>
    </w:p>
    <w:p>
      <w:pPr>
        <w:numPr>
          <w:ilvl w:val="0"/>
          <w:numId w:val="6"/>
        </w:numPr>
        <w:spacing w:line="360" w:before="105" w:after="105" w:lineRule="auto"/>
      </w:pPr>
      <w:r>
        <w:rPr>
          <w:rFonts w:eastAsia="source serif 4" w:cs="source serif 4" w:ascii="source serif 4" w:hAnsi="source serif 4"/>
          <w:color w:val="000000"/>
          <w:sz w:val="21"/>
        </w:rPr>
        <w:t xml:space="preserve">Résilience : capacité d’un ménage/communauté à anticiper, absorber, adapter et transformer après un choc pour retrouver/maintenir le niveau de bien‑être. Mesure centrée sur capacités, trajectoires et vitesse de reprise (Adger, 2000; FAO, 2016; USAID/Rapid).</w:t>
      </w:r>
    </w:p>
    <w:p>
      <w:pPr>
        <w:numPr>
          <w:ilvl w:val="0"/>
          <w:numId w:val="6"/>
        </w:numPr>
        <w:spacing w:line="360" w:before="105" w:after="105" w:lineRule="auto"/>
      </w:pPr>
      <w:r>
        <w:rPr>
          <w:rFonts w:eastAsia="source serif 4" w:cs="source serif 4" w:ascii="source serif 4" w:hAnsi="source serif 4"/>
          <w:color w:val="000000"/>
          <w:sz w:val="21"/>
        </w:rPr>
        <w:t xml:space="preserve">Sécurité alimentaire : disponibilité, accès, utilisation et stabilité des ressources alimentaires. Sécurité alimentaire peut être résultat d’une faible vulnérabilité alimentaire ; mais un ménage peut être non‑pauvre mais food insecure (instabilité). Référence : FAO (1996 instituant la définition), WFP/VAM.</w:t>
      </w:r>
    </w:p>
    <w:p>
      <w:pPr>
        <w:numPr>
          <w:ilvl w:val="0"/>
          <w:numId w:val="6"/>
        </w:numPr>
        <w:spacing w:line="360" w:before="105" w:after="105" w:lineRule="auto"/>
      </w:pPr>
      <w:r>
        <w:rPr>
          <w:rFonts w:eastAsia="source serif 4" w:cs="source serif 4" w:ascii="source serif 4" w:hAnsi="source serif 4"/>
          <w:color w:val="000000"/>
          <w:sz w:val="21"/>
        </w:rPr>
        <w:t xml:space="preserve">Relations :</w:t>
      </w:r>
    </w:p>
    <w:p>
      <w:pPr>
        <w:numPr>
          <w:ilvl w:val="1"/>
          <w:numId w:val="6"/>
        </w:numPr>
        <w:spacing w:line="360" w:before="105" w:after="105" w:lineRule="auto"/>
      </w:pPr>
      <w:r>
        <w:rPr>
          <w:rFonts w:eastAsia="source serif 4" w:cs="source serif 4" w:ascii="source serif 4" w:hAnsi="source serif 4"/>
          <w:color w:val="000000"/>
          <w:sz w:val="21"/>
        </w:rPr>
        <w:t xml:space="preserve">Pauvreté est un état ; vulnérabilité est un risque/propension ; résilience est une capacité (à réduire vulnérabilité) ; sécurité alimentaire est un domaine de bien‑être spécifique (liée mais distincte).</w:t>
      </w:r>
    </w:p>
    <w:p>
      <w:pPr>
        <w:numPr>
          <w:ilvl w:val="1"/>
          <w:numId w:val="6"/>
        </w:numPr>
        <w:spacing w:line="360" w:before="105" w:after="105" w:lineRule="auto"/>
      </w:pPr>
      <w:r>
        <w:rPr>
          <w:rFonts w:eastAsia="source serif 4" w:cs="source serif 4" w:ascii="source serif 4" w:hAnsi="source serif 4"/>
          <w:color w:val="000000"/>
          <w:sz w:val="21"/>
        </w:rPr>
        <w:t xml:space="preserve">Exemple : ménage non pauvre aujourd’hui (consommation&gt;seuil) mais vulnérable s’il dépend d’une seule culture rainfed exposée aux chocs climatiques ; ce ménage a faible résilience et risque de devenir food insecure.</w:t>
      </w:r>
    </w:p>
    <w:p>
      <w:pPr>
        <w:numPr>
          <w:ilvl w:val="0"/>
          <w:numId w:val="7"/>
        </w:numPr>
        <w:spacing w:line="360" w:before="105" w:after="105" w:lineRule="auto"/>
      </w:pPr>
      <w:r>
        <w:rPr>
          <w:rFonts w:eastAsia="source serif 4" w:cs="source serif 4" w:ascii="source serif 4" w:hAnsi="source serif 4"/>
          <w:color w:val="000000"/>
          <w:sz w:val="21"/>
        </w:rPr>
        <w:t xml:space="preserve">Études empiriques construisant typologies multidimensionnelles (ACP/ACM/clustering)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Résumé des études pertinentes (Afrique de l’Ouest, Sénégal, pays en développement) qui utilisent ACP/ACM/PCA, clustering, classification hiérarchique, k‑means.</w:t>
      </w:r>
    </w:p>
    <w:p>
      <w:pPr>
        <w:numPr>
          <w:ilvl w:val="0"/>
          <w:numId w:val="8"/>
        </w:numPr>
        <w:spacing w:line="360" w:before="105" w:after="105" w:lineRule="auto"/>
      </w:pPr>
      <w:r>
        <w:rPr>
          <w:rFonts w:eastAsia="source serif 4" w:cs="source serif 4" w:ascii="source serif 4" w:hAnsi="source serif 4"/>
          <w:color w:val="000000"/>
          <w:sz w:val="21"/>
        </w:rPr>
        <w:t xml:space="preserve">Afrique de l’Ouest / Sahel</w:t>
      </w:r>
    </w:p>
    <w:p>
      <w:pPr>
        <w:numPr>
          <w:ilvl w:val="1"/>
          <w:numId w:val="8"/>
        </w:numPr>
        <w:spacing w:line="360" w:before="105" w:after="105" w:lineRule="auto"/>
      </w:pPr>
      <w:r>
        <w:rPr>
          <w:rFonts w:eastAsia="source serif 4" w:cs="source serif 4" w:ascii="source serif 4" w:hAnsi="source serif 4"/>
          <w:color w:val="000000"/>
          <w:sz w:val="21"/>
        </w:rPr>
        <w:t xml:space="preserve">Barrett, Reardon, Webb (2001–2006) — typologies de moyens de subsistance, souvent par MFA/PCA et clustering pour segmenter ménages vulnérables (tropicaux/AGRICULTURE, salariales, pastorales). Référence : Barrett et al., “Household Livelihood Diversification” (JDE).</w:t>
      </w:r>
    </w:p>
    <w:p>
      <w:pPr>
        <w:numPr>
          <w:ilvl w:val="1"/>
          <w:numId w:val="8"/>
        </w:numPr>
        <w:spacing w:line="360" w:before="105" w:after="105" w:lineRule="auto"/>
      </w:pPr>
      <w:r>
        <w:rPr>
          <w:rFonts w:eastAsia="source serif 4" w:cs="source serif 4" w:ascii="source serif 4" w:hAnsi="source serif 4"/>
          <w:color w:val="000000"/>
          <w:sz w:val="21"/>
        </w:rPr>
        <w:t xml:space="preserve">Hoddinott &amp; Yohannes (2002) — uses PCA for household food security indicators; not exactly vulnerability typology but methodologically relevant.</w:t>
      </w:r>
    </w:p>
    <w:p>
      <w:pPr>
        <w:numPr>
          <w:ilvl w:val="1"/>
          <w:numId w:val="8"/>
        </w:numPr>
        <w:spacing w:line="360" w:before="105" w:after="105" w:lineRule="auto"/>
      </w:pPr>
      <w:r>
        <w:rPr>
          <w:rFonts w:eastAsia="source serif 4" w:cs="source serif 4" w:ascii="source serif 4" w:hAnsi="source serif 4"/>
          <w:color w:val="000000"/>
          <w:sz w:val="21"/>
        </w:rPr>
        <w:t xml:space="preserve">Dercon &amp; Krishnan (2000) — Ethiopia, use of multidimensional indicators and typologies of risk-coping; applied cluster analysis in some follow-ups.</w:t>
      </w:r>
    </w:p>
    <w:p>
      <w:pPr>
        <w:numPr>
          <w:ilvl w:val="1"/>
          <w:numId w:val="8"/>
        </w:numPr>
        <w:spacing w:line="360" w:before="105" w:after="105" w:lineRule="auto"/>
      </w:pPr>
      <w:r>
        <w:rPr>
          <w:rFonts w:eastAsia="source serif 4" w:cs="source serif 4" w:ascii="source serif 4" w:hAnsi="source serif 4"/>
          <w:color w:val="000000"/>
          <w:sz w:val="21"/>
        </w:rPr>
        <w:t xml:space="preserve">FAO/IFPRI country studies often use PCA + cluster to produce livelihood typologies (e.g., Niger, Mali).</w:t>
      </w:r>
    </w:p>
    <w:p>
      <w:pPr>
        <w:numPr>
          <w:ilvl w:val="0"/>
          <w:numId w:val="8"/>
        </w:numPr>
        <w:spacing w:line="360" w:before="105" w:after="105" w:lineRule="auto"/>
      </w:pPr>
      <w:r>
        <w:rPr>
          <w:rFonts w:eastAsia="source serif 4" w:cs="source serif 4" w:ascii="source serif 4" w:hAnsi="source serif 4"/>
          <w:color w:val="000000"/>
          <w:sz w:val="21"/>
        </w:rPr>
        <w:t xml:space="preserve">Sénégal</w:t>
      </w:r>
    </w:p>
    <w:p>
      <w:pPr>
        <w:numPr>
          <w:ilvl w:val="1"/>
          <w:numId w:val="8"/>
        </w:numPr>
        <w:spacing w:line="360" w:before="105" w:after="105" w:lineRule="auto"/>
      </w:pPr>
      <w:r>
        <w:rPr>
          <w:rFonts w:eastAsia="source serif 4" w:cs="source serif 4" w:ascii="source serif 4" w:hAnsi="source serif 4"/>
          <w:color w:val="000000"/>
          <w:sz w:val="21"/>
        </w:rPr>
        <w:t xml:space="preserve">Études nationales et rapports (FAO, WFP VAM) ont construit classifications de ménages selon vulnérabilité alimentaire et moyens de subsistance en combinant indicateurs (active laine). Exemples :</w:t>
      </w:r>
    </w:p>
    <w:p>
      <w:pPr>
        <w:numPr>
          <w:ilvl w:val="2"/>
          <w:numId w:val="8"/>
        </w:numPr>
        <w:spacing w:line="360" w:before="105" w:after="105" w:lineRule="auto"/>
      </w:pPr>
      <w:r>
        <w:rPr>
          <w:rFonts w:eastAsia="source serif 4" w:cs="source serif 4" w:ascii="source serif 4" w:hAnsi="source serif 4"/>
          <w:color w:val="000000"/>
          <w:sz w:val="21"/>
        </w:rPr>
        <w:t xml:space="preserve">WFP Senegal VAM reports (2010s–2020s) — cartographies vulnérabilité alimentaire, typologies par zone et système de production.</w:t>
      </w:r>
    </w:p>
    <w:p>
      <w:pPr>
        <w:numPr>
          <w:ilvl w:val="2"/>
          <w:numId w:val="8"/>
        </w:numPr>
        <w:spacing w:line="360" w:before="105" w:after="105" w:lineRule="auto"/>
      </w:pPr>
      <w:r>
        <w:rPr>
          <w:rFonts w:eastAsia="source serif 4" w:cs="source serif 4" w:ascii="source serif 4" w:hAnsi="source serif 4"/>
          <w:color w:val="000000"/>
          <w:sz w:val="21"/>
        </w:rPr>
        <w:t xml:space="preserve">IFPRI/ANSD/NIAE household studies using PCA to build asset indices and cluster households by livelihood.</w:t>
      </w:r>
    </w:p>
    <w:p>
      <w:pPr>
        <w:numPr>
          <w:ilvl w:val="1"/>
          <w:numId w:val="8"/>
        </w:numPr>
        <w:spacing w:line="360" w:before="105" w:after="105" w:lineRule="auto"/>
      </w:pPr>
      <w:r>
        <w:rPr>
          <w:rFonts w:eastAsia="source serif 4" w:cs="source serif 4" w:ascii="source serif 4" w:hAnsi="source serif 4"/>
          <w:color w:val="000000"/>
          <w:sz w:val="21"/>
        </w:rPr>
        <w:t xml:space="preserve">Articles académiques précis : certains travaux locaux (universités sénégalaises) appliquent ACP/ACM + clustering sur ENSAN/ESAM pour profiler pauvreté ; révisions bibliographiques suggèrent que l’usage d’ACM (variables catégorielles) est approprié pour EHCVM. (Références ci‑dessous).</w:t>
      </w:r>
    </w:p>
    <w:p>
      <w:pPr>
        <w:numPr>
          <w:ilvl w:val="0"/>
          <w:numId w:val="8"/>
        </w:numPr>
        <w:spacing w:line="360" w:before="105" w:after="105" w:lineRule="auto"/>
      </w:pPr>
      <w:r>
        <w:rPr>
          <w:rFonts w:eastAsia="source serif 4" w:cs="source serif 4" w:ascii="source serif 4" w:hAnsi="source serif 4"/>
          <w:color w:val="000000"/>
          <w:sz w:val="21"/>
        </w:rPr>
        <w:t xml:space="preserve">Pays en développement (Asie, Afrique, Amérique latine)</w:t>
      </w:r>
    </w:p>
    <w:p>
      <w:pPr>
        <w:numPr>
          <w:ilvl w:val="1"/>
          <w:numId w:val="8"/>
        </w:numPr>
        <w:spacing w:line="360" w:before="105" w:after="105" w:lineRule="auto"/>
      </w:pPr>
      <w:r>
        <w:rPr>
          <w:rFonts w:eastAsia="source serif 4" w:cs="source serif 4" w:ascii="source serif 4" w:hAnsi="source serif 4"/>
          <w:color w:val="000000"/>
          <w:sz w:val="21"/>
        </w:rPr>
        <w:t xml:space="preserve">Alkire &amp; Foster (2011) — MPI methodology (multidimensional poverty) uses categorical indicators and cutoff aggregation; segmentation studies use clustering on deprivation vectors.</w:t>
      </w:r>
    </w:p>
    <w:p>
      <w:pPr>
        <w:numPr>
          <w:ilvl w:val="1"/>
          <w:numId w:val="8"/>
        </w:numPr>
        <w:spacing w:line="360" w:before="105" w:after="105" w:lineRule="auto"/>
      </w:pPr>
      <w:r>
        <w:rPr>
          <w:rFonts w:eastAsia="source serif 4" w:cs="source serif 4" w:ascii="source serif 4" w:hAnsi="source serif 4"/>
          <w:color w:val="000000"/>
          <w:sz w:val="21"/>
        </w:rPr>
        <w:t xml:space="preserve">Sabates‑Wheeler &amp; Devereux — Livelihood typologies using PCA/cluster.</w:t>
      </w:r>
    </w:p>
    <w:p>
      <w:pPr>
        <w:numPr>
          <w:ilvl w:val="1"/>
          <w:numId w:val="8"/>
        </w:numPr>
        <w:spacing w:line="360" w:before="105" w:after="105" w:lineRule="auto"/>
      </w:pPr>
      <w:r>
        <w:rPr>
          <w:rFonts w:eastAsia="source serif 4" w:cs="source serif 4" w:ascii="source serif 4" w:hAnsi="source serif 4"/>
          <w:color w:val="000000"/>
          <w:sz w:val="21"/>
        </w:rPr>
        <w:t xml:space="preserve">Studies applying MCA/ACM: Filmer &amp; Pritchett (asset index via PCA); for categorical assets MCA/ACM (Greenacre) recommended. Recent applied papers use ACM + clustering to form household types for targeting social protection (e.g., Latin America).</w:t>
      </w:r>
    </w:p>
    <w:p>
      <w:pPr>
        <w:numPr>
          <w:ilvl w:val="0"/>
          <w:numId w:val="8"/>
        </w:numPr>
        <w:spacing w:line="360" w:before="105" w:after="105" w:lineRule="auto"/>
      </w:pPr>
      <w:r>
        <w:rPr>
          <w:rFonts w:eastAsia="source serif 4" w:cs="source serif 4" w:ascii="source serif 4" w:hAnsi="source serif 4"/>
          <w:color w:val="000000"/>
          <w:sz w:val="21"/>
        </w:rPr>
        <w:t xml:space="preserve">Méthodologie : la littérature montre l’efficacité d’un pipeline « sélection multidimensionnelle de variables → codage (catégories) → ACM (pour variables catégorielles) ou PCA (pour variables continues) → réduction dimensionnelle → clustering (k‑means, hierarchical, partitioning around medoids) → validation (silhouette, stability, external variables) ».</w:t>
      </w:r>
    </w:p>
    <w:p>
      <w:pPr>
        <w:spacing w:line="360" w:after="210" w:lineRule="auto"/>
      </w:pPr>
      <w:r>
        <w:rPr>
          <w:rFonts w:eastAsia="source serif 4" w:cs="source serif 4" w:ascii="source serif 4" w:hAnsi="source serif 4"/>
          <w:color w:val="000000"/>
        </w:rPr>
        <w:t xml:space="preserve">Références d’études empiriques (exemples concrets)</w:t>
      </w:r>
    </w:p>
    <w:p>
      <w:pPr>
        <w:numPr>
          <w:ilvl w:val="0"/>
          <w:numId w:val="9"/>
        </w:numPr>
        <w:spacing w:line="360" w:before="105" w:after="105" w:lineRule="auto"/>
      </w:pPr>
      <w:r>
        <w:rPr>
          <w:rFonts w:eastAsia="source serif 4" w:cs="source serif 4" w:ascii="source serif 4" w:hAnsi="source serif 4"/>
          <w:color w:val="000000"/>
          <w:sz w:val="21"/>
        </w:rPr>
        <w:t xml:space="preserve">Chaudhuri, S., Jalan, J., &amp; Suryahadi, A. (2002). “Assessing Vulnerability to Poverty”: Theory and Empirical Evidence from Indonesia. World Bank Policy Research Working Paper 2307.</w:t>
      </w:r>
    </w:p>
    <w:p>
      <w:pPr>
        <w:numPr>
          <w:ilvl w:val="0"/>
          <w:numId w:val="9"/>
        </w:numPr>
        <w:spacing w:line="360" w:before="105" w:after="105" w:lineRule="auto"/>
      </w:pPr>
      <w:r>
        <w:rPr>
          <w:rFonts w:eastAsia="source serif 4" w:cs="source serif 4" w:ascii="source serif 4" w:hAnsi="source serif 4"/>
          <w:color w:val="000000"/>
          <w:sz w:val="21"/>
        </w:rPr>
        <w:t xml:space="preserve">Dercon, S. (2004). “Vulnerability: A Micro Perspective.” Background paper for the World Development Report 2004.</w:t>
      </w:r>
    </w:p>
    <w:p>
      <w:pPr>
        <w:numPr>
          <w:ilvl w:val="0"/>
          <w:numId w:val="9"/>
        </w:numPr>
        <w:spacing w:line="360" w:before="105" w:after="105" w:lineRule="auto"/>
      </w:pPr>
      <w:r>
        <w:rPr>
          <w:rFonts w:eastAsia="source serif 4" w:cs="source serif 4" w:ascii="source serif 4" w:hAnsi="source serif 4"/>
          <w:color w:val="000000"/>
          <w:sz w:val="21"/>
        </w:rPr>
        <w:t xml:space="preserve">Alwang, J., Siegel, P.B., &amp; Jørgensen, S.L. (2001). “Vulnerability: A View from Different Disciplines.” World Bank/IFPRI.</w:t>
      </w:r>
    </w:p>
    <w:p>
      <w:pPr>
        <w:numPr>
          <w:ilvl w:val="0"/>
          <w:numId w:val="9"/>
        </w:numPr>
        <w:spacing w:line="360" w:before="105" w:after="105" w:lineRule="auto"/>
      </w:pPr>
      <w:r>
        <w:rPr>
          <w:rFonts w:eastAsia="source serif 4" w:cs="source serif 4" w:ascii="source serif 4" w:hAnsi="source serif 4"/>
          <w:color w:val="000000"/>
          <w:sz w:val="21"/>
        </w:rPr>
        <w:t xml:space="preserve">Barrett, C. B., Reardon, T., &amp; Webb, P. (2001). “Nonfarm Income Diversification and Household Livelihood Strategies in Rural Africa.” Food Policy.</w:t>
      </w:r>
    </w:p>
    <w:p>
      <w:pPr>
        <w:numPr>
          <w:ilvl w:val="0"/>
          <w:numId w:val="9"/>
        </w:numPr>
        <w:spacing w:line="360" w:before="105" w:after="105" w:lineRule="auto"/>
      </w:pPr>
      <w:r>
        <w:rPr>
          <w:rFonts w:eastAsia="source serif 4" w:cs="source serif 4" w:ascii="source serif 4" w:hAnsi="source serif 4"/>
          <w:color w:val="000000"/>
          <w:sz w:val="21"/>
        </w:rPr>
        <w:t xml:space="preserve">Alkire, S., &amp; Foster, J. (2011). “Counting and Multidimensional Poverty Measurement.” Journal of Public Economics.</w:t>
      </w:r>
    </w:p>
    <w:p>
      <w:pPr>
        <w:numPr>
          <w:ilvl w:val="0"/>
          <w:numId w:val="9"/>
        </w:numPr>
        <w:spacing w:line="360" w:before="105" w:after="105" w:lineRule="auto"/>
      </w:pPr>
      <w:r>
        <w:rPr>
          <w:rFonts w:eastAsia="source serif 4" w:cs="source serif 4" w:ascii="source serif 4" w:hAnsi="source serif 4"/>
          <w:color w:val="000000"/>
          <w:sz w:val="21"/>
        </w:rPr>
        <w:t xml:space="preserve">WFP Vulnerability Analysis and Mapping (VAM) reports — country briefs (Sénégal reports, various years).</w:t>
      </w:r>
    </w:p>
    <w:p>
      <w:pPr>
        <w:numPr>
          <w:ilvl w:val="0"/>
          <w:numId w:val="9"/>
        </w:numPr>
        <w:spacing w:line="360" w:before="105" w:after="105" w:lineRule="auto"/>
      </w:pPr>
      <w:r>
        <w:rPr>
          <w:rFonts w:eastAsia="source serif 4" w:cs="source serif 4" w:ascii="source serif 4" w:hAnsi="source serif 4"/>
          <w:color w:val="000000"/>
          <w:sz w:val="21"/>
        </w:rPr>
        <w:t xml:space="preserve">FAO, IFPRI country vulnerability assessments (Niger/Mali/Senegal) — rapports techniques.</w:t>
      </w:r>
    </w:p>
    <w:p>
      <w:pPr>
        <w:numPr>
          <w:ilvl w:val="0"/>
          <w:numId w:val="9"/>
        </w:numPr>
        <w:spacing w:line="360" w:before="105" w:after="105" w:lineRule="auto"/>
      </w:pPr>
      <w:r>
        <w:rPr>
          <w:rFonts w:eastAsia="source serif 4" w:cs="source serif 4" w:ascii="source serif 4" w:hAnsi="source serif 4"/>
          <w:color w:val="000000"/>
          <w:sz w:val="21"/>
        </w:rPr>
        <w:t xml:space="preserve">Filmer, D., &amp; Pritchett, L. (2001). “Estimating wealth effects without expenditure data — or tears: An application to educational enrollments in states of India.” Demography.</w:t>
      </w:r>
    </w:p>
    <w:p>
      <w:pPr>
        <w:numPr>
          <w:ilvl w:val="0"/>
          <w:numId w:val="9"/>
        </w:numPr>
        <w:spacing w:line="360" w:before="105" w:after="105" w:lineRule="auto"/>
      </w:pPr>
      <w:r>
        <w:rPr>
          <w:rFonts w:eastAsia="source serif 4" w:cs="source serif 4" w:ascii="source serif 4" w:hAnsi="source serif 4"/>
          <w:color w:val="000000"/>
          <w:sz w:val="21"/>
        </w:rPr>
        <w:t xml:space="preserve">Greenacre, M. (2007). “Correspondence Analysis in Practice.” (méthodologie ACM/CA).</w:t>
      </w:r>
    </w:p>
    <w:p>
      <w:pPr>
        <w:numPr>
          <w:ilvl w:val="0"/>
          <w:numId w:val="9"/>
        </w:numPr>
        <w:spacing w:line="360" w:before="105" w:after="105" w:lineRule="auto"/>
      </w:pPr>
      <w:r>
        <w:rPr>
          <w:rFonts w:eastAsia="source serif 4" w:cs="source serif 4" w:ascii="source serif 4" w:hAnsi="source serif 4"/>
          <w:color w:val="000000"/>
          <w:sz w:val="21"/>
        </w:rPr>
        <w:t xml:space="preserve">Ligon, E., &amp; Schechter, L. (2003). “Measuring Vulnerability.” Economic Journal.</w:t>
      </w:r>
    </w:p>
    <w:p>
      <w:pPr>
        <w:spacing w:line="360" w:after="210" w:lineRule="auto"/>
      </w:pPr>
      <w:r>
        <w:rPr>
          <w:rFonts w:eastAsia="source serif 4" w:cs="source serif 4" w:ascii="source serif 4" w:hAnsi="source serif 4"/>
          <w:color w:val="000000"/>
        </w:rPr>
        <w:t xml:space="preserve">(Plus bas : liste de références complètes.)</w:t>
      </w:r>
    </w:p>
    <w:p>
      <w:pPr>
        <w:numPr>
          <w:ilvl w:val="0"/>
          <w:numId w:val="10"/>
        </w:numPr>
        <w:spacing w:line="360" w:before="105" w:after="105" w:lineRule="auto"/>
      </w:pPr>
      <w:r>
        <w:rPr>
          <w:rFonts w:eastAsia="source serif 4" w:cs="source serif 4" w:ascii="source serif 4" w:hAnsi="source serif 4"/>
          <w:color w:val="000000"/>
          <w:sz w:val="21"/>
        </w:rPr>
        <w:t xml:space="preserve">Profils / degrés de vulnérabilité identifiés dans la littérature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Typologies fréquentes (noms varient selon études) :</w:t>
      </w:r>
    </w:p>
    <w:p>
      <w:pPr>
        <w:numPr>
          <w:ilvl w:val="0"/>
          <w:numId w:val="11"/>
        </w:numPr>
        <w:spacing w:line="360" w:before="105" w:after="105" w:lineRule="auto"/>
      </w:pPr>
      <w:r>
        <w:rPr>
          <w:rFonts w:eastAsia="source serif 4" w:cs="source serif 4" w:ascii="source serif 4" w:hAnsi="source serif 4"/>
          <w:color w:val="000000"/>
          <w:sz w:val="21"/>
        </w:rPr>
        <w:t xml:space="preserve">Ménages résilients / non vulnérables : diversification des revenus, actifs agricoles et non agricoles, accès marchés, peu exposés à chocs ou capables d’absorber/recouvrer rapidement.</w:t>
      </w:r>
    </w:p>
    <w:p>
      <w:pPr>
        <w:numPr>
          <w:ilvl w:val="0"/>
          <w:numId w:val="11"/>
        </w:numPr>
        <w:spacing w:line="360" w:before="105" w:after="105" w:lineRule="auto"/>
      </w:pPr>
      <w:r>
        <w:rPr>
          <w:rFonts w:eastAsia="source serif 4" w:cs="source serif 4" w:ascii="source serif 4" w:hAnsi="source serif 4"/>
          <w:color w:val="000000"/>
          <w:sz w:val="21"/>
        </w:rPr>
        <w:t xml:space="preserve">Vulnérabilité faible / faible risque : sécurisé en termes de consommation, actifs, certaines fragilités saisonnières.</w:t>
      </w:r>
    </w:p>
    <w:p>
      <w:pPr>
        <w:numPr>
          <w:ilvl w:val="0"/>
          <w:numId w:val="11"/>
        </w:numPr>
        <w:spacing w:line="360" w:before="105" w:after="105" w:lineRule="auto"/>
      </w:pPr>
      <w:r>
        <w:rPr>
          <w:rFonts w:eastAsia="source serif 4" w:cs="source serif 4" w:ascii="source serif 4" w:hAnsi="source serif 4"/>
          <w:color w:val="000000"/>
          <w:sz w:val="21"/>
        </w:rPr>
        <w:t xml:space="preserve">Vulnérabilité modérée / transitoire : revenus proches du seuil, exposition saisonnière aux chocs; coping mécanismes limités, usage modéré des actifs.</w:t>
      </w:r>
    </w:p>
    <w:p>
      <w:pPr>
        <w:numPr>
          <w:ilvl w:val="0"/>
          <w:numId w:val="11"/>
        </w:numPr>
        <w:spacing w:line="360" w:before="105" w:after="105" w:lineRule="auto"/>
      </w:pPr>
      <w:r>
        <w:rPr>
          <w:rFonts w:eastAsia="source serif 4" w:cs="source serif 4" w:ascii="source serif 4" w:hAnsi="source serif 4"/>
          <w:color w:val="000000"/>
          <w:sz w:val="21"/>
        </w:rPr>
        <w:t xml:space="preserve">Vulnérabilité élevée / aiguë : consommation souvent sous seuil après choc, actifs faibles, endettement élevé, sécurité alimentaire instable.</w:t>
      </w:r>
    </w:p>
    <w:p>
      <w:pPr>
        <w:numPr>
          <w:ilvl w:val="0"/>
          <w:numId w:val="11"/>
        </w:numPr>
        <w:spacing w:line="360" w:before="105" w:after="105" w:lineRule="auto"/>
      </w:pPr>
      <w:r>
        <w:rPr>
          <w:rFonts w:eastAsia="source serif 4" w:cs="source serif 4" w:ascii="source serif 4" w:hAnsi="source serif 4"/>
          <w:color w:val="000000"/>
          <w:sz w:val="21"/>
        </w:rPr>
        <w:t xml:space="preserve">Vulnérabilité chronique / persistent poor : pauvreté persistante liée à manque d’actifs, marginalisation (géographique/ethnique), handicaps structurels.</w:t>
      </w:r>
    </w:p>
    <w:p>
      <w:pPr>
        <w:numPr>
          <w:ilvl w:val="0"/>
          <w:numId w:val="11"/>
        </w:numPr>
        <w:spacing w:line="360" w:before="105" w:after="105" w:lineRule="auto"/>
      </w:pPr>
      <w:r>
        <w:rPr>
          <w:rFonts w:eastAsia="source serif 4" w:cs="source serif 4" w:ascii="source serif 4" w:hAnsi="source serif 4"/>
          <w:color w:val="000000"/>
          <w:sz w:val="21"/>
        </w:rPr>
        <w:t xml:space="preserve">Profils additionnels observés :</w:t>
      </w:r>
    </w:p>
    <w:p>
      <w:pPr>
        <w:numPr>
          <w:ilvl w:val="1"/>
          <w:numId w:val="11"/>
        </w:numPr>
        <w:spacing w:line="360" w:before="105" w:after="105" w:lineRule="auto"/>
      </w:pPr>
      <w:r>
        <w:rPr>
          <w:rFonts w:eastAsia="source serif 4" w:cs="source serif 4" w:ascii="source serif 4" w:hAnsi="source serif 4"/>
          <w:color w:val="000000"/>
          <w:sz w:val="21"/>
        </w:rPr>
        <w:t xml:space="preserve">« Middle households » with decent consumption but high exposure (asset poor but income-seasonal).</w:t>
      </w:r>
    </w:p>
    <w:p>
      <w:pPr>
        <w:numPr>
          <w:ilvl w:val="1"/>
          <w:numId w:val="11"/>
        </w:numPr>
        <w:spacing w:line="360" w:before="105" w:after="105" w:lineRule="auto"/>
      </w:pPr>
      <w:r>
        <w:rPr>
          <w:rFonts w:eastAsia="source serif 4" w:cs="source serif 4" w:ascii="source serif 4" w:hAnsi="source serif 4"/>
          <w:color w:val="000000"/>
          <w:sz w:val="21"/>
        </w:rPr>
        <w:t xml:space="preserve">« Asset-poor but cash-rich » (peu commun) — ménages urbains avec crédit.</w:t>
      </w:r>
    </w:p>
    <w:p>
      <w:pPr>
        <w:numPr>
          <w:ilvl w:val="1"/>
          <w:numId w:val="11"/>
        </w:numPr>
        <w:spacing w:line="360" w:before="105" w:after="105" w:lineRule="auto"/>
      </w:pPr>
      <w:r>
        <w:rPr>
          <w:rFonts w:eastAsia="source serif 4" w:cs="source serif 4" w:ascii="source serif 4" w:hAnsi="source serif 4"/>
          <w:color w:val="000000"/>
          <w:sz w:val="21"/>
        </w:rPr>
        <w:t xml:space="preserve">Ménages dépendants d’un seul revenu agricole (mono‑source) versus diversifiés.</w:t>
      </w:r>
    </w:p>
    <w:p>
      <w:pPr>
        <w:numPr>
          <w:ilvl w:val="1"/>
          <w:numId w:val="11"/>
        </w:numPr>
        <w:spacing w:line="360" w:before="105" w:after="105" w:lineRule="auto"/>
      </w:pPr>
      <w:r>
        <w:rPr>
          <w:rFonts w:eastAsia="source serif 4" w:cs="source serif 4" w:ascii="source serif 4" w:hAnsi="source serif 4"/>
          <w:color w:val="000000"/>
          <w:sz w:val="21"/>
        </w:rPr>
        <w:t xml:space="preserve">Ménages « coping but vulnerable » qui utilisent stratégies dommageables (sale of productive assets, child labor).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Exemples d’étiquettes issues de rapports WFP/FAO: Highly food insecure, Moderately food insecure, Marginally food secure, Food secure.</w:t>
      </w:r>
    </w:p>
    <w:p>
      <w:pPr>
        <w:numPr>
          <w:ilvl w:val="0"/>
          <w:numId w:val="12"/>
        </w:numPr>
        <w:spacing w:line="360" w:before="105" w:after="105" w:lineRule="auto"/>
      </w:pPr>
      <w:r>
        <w:rPr>
          <w:rFonts w:eastAsia="source serif 4" w:cs="source serif 4" w:ascii="source serif 4" w:hAnsi="source serif 4"/>
          <w:color w:val="000000"/>
          <w:sz w:val="21"/>
        </w:rPr>
        <w:t xml:space="preserve">Dimensions (piliers) fréquemment utilisées pour mesurer vulnérabilité multidimensionnelle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Dimensions usuelles : (je présente chaque dimension avec justification théorique, résultats empiriques et auteurs de référence)</w:t>
      </w:r>
    </w:p>
    <w:p>
      <w:pPr>
        <w:numPr>
          <w:ilvl w:val="0"/>
          <w:numId w:val="13"/>
        </w:numPr>
        <w:spacing w:line="360" w:before="105" w:after="105" w:lineRule="auto"/>
      </w:pPr>
      <w:r>
        <w:rPr>
          <w:rFonts w:eastAsia="source serif 4" w:cs="source serif 4" w:ascii="source serif 4" w:hAnsi="source serif 4"/>
          <w:color w:val="000000"/>
          <w:sz w:val="21"/>
        </w:rPr>
        <w:t xml:space="preserve">A. Biens et richesse / actifs (physiques et financiers)</w:t>
      </w:r>
    </w:p>
    <w:p>
      <w:pPr>
        <w:numPr>
          <w:ilvl w:val="1"/>
          <w:numId w:val="13"/>
        </w:numPr>
        <w:spacing w:line="360" w:before="105" w:after="105" w:lineRule="auto"/>
      </w:pPr>
      <w:r>
        <w:rPr>
          <w:rFonts w:eastAsia="source serif 4" w:cs="source serif 4" w:ascii="source serif 4" w:hAnsi="source serif 4"/>
          <w:color w:val="000000"/>
          <w:sz w:val="21"/>
        </w:rPr>
        <w:t xml:space="preserve">Justification : actifs déterminent buffer contre chocs, capacité d’investissement, et accès au crédit ; fondamentaux pour absorption.</w:t>
      </w:r>
    </w:p>
    <w:p>
      <w:pPr>
        <w:numPr>
          <w:ilvl w:val="1"/>
          <w:numId w:val="13"/>
        </w:numPr>
        <w:spacing w:line="360" w:before="105" w:after="105" w:lineRule="auto"/>
      </w:pPr>
      <w:r>
        <w:rPr>
          <w:rFonts w:eastAsia="source serif 4" w:cs="source serif 4" w:ascii="source serif 4" w:hAnsi="source serif 4"/>
          <w:color w:val="000000"/>
          <w:sz w:val="21"/>
        </w:rPr>
        <w:t xml:space="preserve">Empirique : asset index corrèle fortement avec consommation et sécurité alimentaire (Filmer &amp; Pritchett; Hoddinott).</w:t>
      </w:r>
    </w:p>
    <w:p>
      <w:pPr>
        <w:numPr>
          <w:ilvl w:val="1"/>
          <w:numId w:val="13"/>
        </w:numPr>
        <w:spacing w:line="360" w:before="105" w:after="105" w:lineRule="auto"/>
      </w:pPr>
      <w:r>
        <w:rPr>
          <w:rFonts w:eastAsia="source serif 4" w:cs="source serif 4" w:ascii="source serif 4" w:hAnsi="source serif 4"/>
          <w:color w:val="000000"/>
          <w:sz w:val="21"/>
        </w:rPr>
        <w:t xml:space="preserve">Références : Filmer &amp; Pritchett (2001), Dercon (2004), Alwang et al. (2001).</w:t>
      </w:r>
    </w:p>
    <w:p>
      <w:pPr>
        <w:numPr>
          <w:ilvl w:val="1"/>
          <w:numId w:val="13"/>
        </w:numPr>
        <w:spacing w:line="360" w:before="105" w:after="105" w:lineRule="auto"/>
      </w:pPr>
      <w:r>
        <w:rPr>
          <w:rFonts w:eastAsia="source serif 4" w:cs="source serif 4" w:ascii="source serif 4" w:hAnsi="source serif 4"/>
          <w:color w:val="000000"/>
          <w:sz w:val="21"/>
        </w:rPr>
        <w:t xml:space="preserve">Variables typiques : possession de frigo, TV, ordinateur, véhicules; propriété du logement; superficie agricole; nombre de bétails; accès au crédit.</w:t>
      </w:r>
    </w:p>
    <w:p>
      <w:pPr>
        <w:numPr>
          <w:ilvl w:val="0"/>
          <w:numId w:val="13"/>
        </w:numPr>
        <w:spacing w:line="360" w:before="105" w:after="105" w:lineRule="auto"/>
      </w:pPr>
      <w:r>
        <w:rPr>
          <w:rFonts w:eastAsia="source serif 4" w:cs="source serif 4" w:ascii="source serif 4" w:hAnsi="source serif 4"/>
          <w:color w:val="000000"/>
          <w:sz w:val="21"/>
        </w:rPr>
        <w:t xml:space="preserve">B. Revenus et diversification des sources (livelihood diversification)</w:t>
      </w:r>
    </w:p>
    <w:p>
      <w:pPr>
        <w:numPr>
          <w:ilvl w:val="1"/>
          <w:numId w:val="13"/>
        </w:numPr>
        <w:spacing w:line="360" w:before="105" w:after="105" w:lineRule="auto"/>
      </w:pPr>
      <w:r>
        <w:rPr>
          <w:rFonts w:eastAsia="source serif 4" w:cs="source serif 4" w:ascii="source serif 4" w:hAnsi="source serif 4"/>
          <w:color w:val="000000"/>
          <w:sz w:val="21"/>
        </w:rPr>
        <w:t xml:space="preserve">Justification : diversifier réduit exposition à chocs covariants; flux monétaires réguliers améliorent résilience.</w:t>
      </w:r>
    </w:p>
    <w:p>
      <w:pPr>
        <w:numPr>
          <w:ilvl w:val="1"/>
          <w:numId w:val="13"/>
        </w:numPr>
        <w:spacing w:line="360" w:before="105" w:after="105" w:lineRule="auto"/>
      </w:pPr>
      <w:r>
        <w:rPr>
          <w:rFonts w:eastAsia="source serif 4" w:cs="source serif 4" w:ascii="source serif 4" w:hAnsi="source serif 4"/>
          <w:color w:val="000000"/>
          <w:sz w:val="21"/>
        </w:rPr>
        <w:t xml:space="preserve">Empirique : ménages diversifiés montrent moins de volatilité de consommation (Barrett et al.).</w:t>
      </w:r>
    </w:p>
    <w:p>
      <w:pPr>
        <w:numPr>
          <w:ilvl w:val="1"/>
          <w:numId w:val="13"/>
        </w:numPr>
        <w:spacing w:line="360" w:before="105" w:after="105" w:lineRule="auto"/>
      </w:pPr>
      <w:r>
        <w:rPr>
          <w:rFonts w:eastAsia="source serif 4" w:cs="source serif 4" w:ascii="source serif 4" w:hAnsi="source serif 4"/>
          <w:color w:val="000000"/>
          <w:sz w:val="21"/>
        </w:rPr>
        <w:t xml:space="preserve">Variables : part des revenus agricoles vs non agricoles, nombre d’activités, salaires, travail migrant, transferts.</w:t>
      </w:r>
    </w:p>
    <w:p>
      <w:pPr>
        <w:numPr>
          <w:ilvl w:val="0"/>
          <w:numId w:val="13"/>
        </w:numPr>
        <w:spacing w:line="360" w:before="105" w:after="105" w:lineRule="auto"/>
      </w:pPr>
      <w:r>
        <w:rPr>
          <w:rFonts w:eastAsia="source serif 4" w:cs="source serif 4" w:ascii="source serif 4" w:hAnsi="source serif 4"/>
          <w:color w:val="000000"/>
          <w:sz w:val="21"/>
        </w:rPr>
        <w:t xml:space="preserve">C. Consommation / niveau de bien‑être (ex post welfare)</w:t>
      </w:r>
    </w:p>
    <w:p>
      <w:pPr>
        <w:numPr>
          <w:ilvl w:val="1"/>
          <w:numId w:val="13"/>
        </w:numPr>
        <w:spacing w:line="360" w:before="105" w:after="105" w:lineRule="auto"/>
      </w:pPr>
      <w:r>
        <w:rPr>
          <w:rFonts w:eastAsia="source serif 4" w:cs="source serif 4" w:ascii="source serif 4" w:hAnsi="source serif 4"/>
          <w:color w:val="000000"/>
          <w:sz w:val="21"/>
        </w:rPr>
        <w:t xml:space="preserve">Justification : mesure directe du statut actuel et base pour VEP.</w:t>
      </w:r>
    </w:p>
    <w:p>
      <w:pPr>
        <w:numPr>
          <w:ilvl w:val="1"/>
          <w:numId w:val="13"/>
        </w:numPr>
        <w:spacing w:line="360" w:before="105" w:after="105" w:lineRule="auto"/>
      </w:pPr>
      <w:r>
        <w:rPr>
          <w:rFonts w:eastAsia="source serif 4" w:cs="source serif 4" w:ascii="source serif 4" w:hAnsi="source serif 4"/>
          <w:color w:val="000000"/>
          <w:sz w:val="21"/>
        </w:rPr>
        <w:t xml:space="preserve">Empirique : consommation annuelle par adulte équivalent; sécurité alimentaire (FCS, rCSI) corrélée.</w:t>
      </w:r>
    </w:p>
    <w:p>
      <w:pPr>
        <w:numPr>
          <w:ilvl w:val="1"/>
          <w:numId w:val="13"/>
        </w:numPr>
        <w:spacing w:line="360" w:before="105" w:after="105" w:lineRule="auto"/>
      </w:pPr>
      <w:r>
        <w:rPr>
          <w:rFonts w:eastAsia="source serif 4" w:cs="source serif 4" w:ascii="source serif 4" w:hAnsi="source serif 4"/>
          <w:color w:val="000000"/>
          <w:sz w:val="21"/>
        </w:rPr>
        <w:t xml:space="preserve">Variables : dtot, dail, pcexp, seuil pauvreté (zref).</w:t>
      </w:r>
    </w:p>
    <w:p>
      <w:pPr>
        <w:numPr>
          <w:ilvl w:val="0"/>
          <w:numId w:val="13"/>
        </w:numPr>
        <w:spacing w:line="360" w:before="105" w:after="105" w:lineRule="auto"/>
      </w:pPr>
      <w:r>
        <w:rPr>
          <w:rFonts w:eastAsia="source serif 4" w:cs="source serif 4" w:ascii="source serif 4" w:hAnsi="source serif 4"/>
          <w:color w:val="000000"/>
          <w:sz w:val="21"/>
        </w:rPr>
        <w:t xml:space="preserve">D. Sécurité alimentaire et nutrition</w:t>
      </w:r>
    </w:p>
    <w:p>
      <w:pPr>
        <w:numPr>
          <w:ilvl w:val="1"/>
          <w:numId w:val="13"/>
        </w:numPr>
        <w:spacing w:line="360" w:before="105" w:after="105" w:lineRule="auto"/>
      </w:pPr>
      <w:r>
        <w:rPr>
          <w:rFonts w:eastAsia="source serif 4" w:cs="source serif 4" w:ascii="source serif 4" w:hAnsi="source serif 4"/>
          <w:color w:val="000000"/>
          <w:sz w:val="21"/>
        </w:rPr>
        <w:t xml:space="preserve">Justification : composante centrale de bien‑être, sensible aux chocs climatiques/prix.</w:t>
      </w:r>
    </w:p>
    <w:p>
      <w:pPr>
        <w:numPr>
          <w:ilvl w:val="1"/>
          <w:numId w:val="13"/>
        </w:numPr>
        <w:spacing w:line="360" w:before="105" w:after="105" w:lineRule="auto"/>
      </w:pPr>
      <w:r>
        <w:rPr>
          <w:rFonts w:eastAsia="source serif 4" w:cs="source serif 4" w:ascii="source serif 4" w:hAnsi="source serif 4"/>
          <w:color w:val="000000"/>
          <w:sz w:val="21"/>
        </w:rPr>
        <w:t xml:space="preserve">Empirique : HHS, rCSI, FCS, consommation calorique; forte littérature (WFP/FAO).</w:t>
      </w:r>
    </w:p>
    <w:p>
      <w:pPr>
        <w:numPr>
          <w:ilvl w:val="1"/>
          <w:numId w:val="13"/>
        </w:numPr>
        <w:spacing w:line="360" w:before="105" w:after="105" w:lineRule="auto"/>
      </w:pPr>
      <w:r>
        <w:rPr>
          <w:rFonts w:eastAsia="source serif 4" w:cs="source serif 4" w:ascii="source serif 4" w:hAnsi="source serif 4"/>
          <w:color w:val="000000"/>
          <w:sz w:val="21"/>
        </w:rPr>
        <w:t xml:space="preserve">Variables : fréquence repas, rCSI proxies, partage dépenses alimentaires, consommation calorique (poss. calculable à partir conso).</w:t>
      </w:r>
    </w:p>
    <w:p>
      <w:pPr>
        <w:numPr>
          <w:ilvl w:val="0"/>
          <w:numId w:val="13"/>
        </w:numPr>
        <w:spacing w:line="360" w:before="105" w:after="105" w:lineRule="auto"/>
      </w:pPr>
      <w:r>
        <w:rPr>
          <w:rFonts w:eastAsia="source serif 4" w:cs="source serif 4" w:ascii="source serif 4" w:hAnsi="source serif 4"/>
          <w:color w:val="000000"/>
          <w:sz w:val="21"/>
        </w:rPr>
        <w:t xml:space="preserve">E. Capital humain (éducation, santé)</w:t>
      </w:r>
    </w:p>
    <w:p>
      <w:pPr>
        <w:numPr>
          <w:ilvl w:val="1"/>
          <w:numId w:val="13"/>
        </w:numPr>
        <w:spacing w:line="360" w:before="105" w:after="105" w:lineRule="auto"/>
      </w:pPr>
      <w:r>
        <w:rPr>
          <w:rFonts w:eastAsia="source serif 4" w:cs="source serif 4" w:ascii="source serif 4" w:hAnsi="source serif 4"/>
          <w:color w:val="000000"/>
          <w:sz w:val="21"/>
        </w:rPr>
        <w:t xml:space="preserve">Justification : compétences, productivité, capacité d’emploi, mortalité/morbidity affectent vulnérabilité.</w:t>
      </w:r>
    </w:p>
    <w:p>
      <w:pPr>
        <w:numPr>
          <w:ilvl w:val="1"/>
          <w:numId w:val="13"/>
        </w:numPr>
        <w:spacing w:line="360" w:before="105" w:after="105" w:lineRule="auto"/>
      </w:pPr>
      <w:r>
        <w:rPr>
          <w:rFonts w:eastAsia="source serif 4" w:cs="source serif 4" w:ascii="source serif 4" w:hAnsi="source serif 4"/>
          <w:color w:val="000000"/>
          <w:sz w:val="21"/>
        </w:rPr>
        <w:t xml:space="preserve">Empirique : niveau d’éducation chef de ménage corrélé à consommation et probabilité d’être pauvre; santé (maladie) cause perte de revenu.</w:t>
      </w:r>
    </w:p>
    <w:p>
      <w:pPr>
        <w:numPr>
          <w:ilvl w:val="1"/>
          <w:numId w:val="13"/>
        </w:numPr>
        <w:spacing w:line="360" w:before="105" w:after="105" w:lineRule="auto"/>
      </w:pPr>
      <w:r>
        <w:rPr>
          <w:rFonts w:eastAsia="source serif 4" w:cs="source serif 4" w:ascii="source serif 4" w:hAnsi="source serif 4"/>
          <w:color w:val="000000"/>
          <w:sz w:val="21"/>
        </w:rPr>
        <w:t xml:space="preserve">Variables : niveau d’éducation CM (heduc/hdiploma), santé (mal30j, hos12m), couverture maladie.</w:t>
      </w:r>
    </w:p>
    <w:p>
      <w:pPr>
        <w:numPr>
          <w:ilvl w:val="0"/>
          <w:numId w:val="13"/>
        </w:numPr>
        <w:spacing w:line="360" w:before="105" w:after="105" w:lineRule="auto"/>
      </w:pPr>
      <w:r>
        <w:rPr>
          <w:rFonts w:eastAsia="source serif 4" w:cs="source serif 4" w:ascii="source serif 4" w:hAnsi="source serif 4"/>
          <w:color w:val="000000"/>
          <w:sz w:val="21"/>
        </w:rPr>
        <w:t xml:space="preserve">F. Accès aux services de base / infrastructures (eau, assainissement, électricité)</w:t>
      </w:r>
    </w:p>
    <w:p>
      <w:pPr>
        <w:numPr>
          <w:ilvl w:val="1"/>
          <w:numId w:val="13"/>
        </w:numPr>
        <w:spacing w:line="360" w:before="105" w:after="105" w:lineRule="auto"/>
      </w:pPr>
      <w:r>
        <w:rPr>
          <w:rFonts w:eastAsia="source serif 4" w:cs="source serif 4" w:ascii="source serif 4" w:hAnsi="source serif 4"/>
          <w:color w:val="000000"/>
          <w:sz w:val="21"/>
        </w:rPr>
        <w:t xml:space="preserve">Justification : réduit coûts de transaction, améliore santé, productivité ; signale inclusion.</w:t>
      </w:r>
    </w:p>
    <w:p>
      <w:pPr>
        <w:numPr>
          <w:ilvl w:val="1"/>
          <w:numId w:val="13"/>
        </w:numPr>
        <w:spacing w:line="360" w:before="105" w:after="105" w:lineRule="auto"/>
      </w:pPr>
      <w:r>
        <w:rPr>
          <w:rFonts w:eastAsia="source serif 4" w:cs="source serif 4" w:ascii="source serif 4" w:hAnsi="source serif 4"/>
          <w:color w:val="000000"/>
          <w:sz w:val="21"/>
        </w:rPr>
        <w:t xml:space="preserve">Empirique : logement durable, accès eau potable, toilette, électricité corrélés à faible vulnérabilité.</w:t>
      </w:r>
    </w:p>
    <w:p>
      <w:pPr>
        <w:numPr>
          <w:ilvl w:val="1"/>
          <w:numId w:val="13"/>
        </w:numPr>
        <w:spacing w:line="360" w:before="105" w:after="105" w:lineRule="auto"/>
      </w:pPr>
      <w:r>
        <w:rPr>
          <w:rFonts w:eastAsia="source serif 4" w:cs="source serif 4" w:ascii="source serif 4" w:hAnsi="source serif 4"/>
          <w:color w:val="000000"/>
          <w:sz w:val="21"/>
        </w:rPr>
        <w:t xml:space="preserve">Variables : elec_ur, elec_ua, eau potable saison sèche/ pluie (eauboi_ss/eauboi_sp), toilet, eva_eau, mur/toit/sol.</w:t>
      </w:r>
    </w:p>
    <w:p>
      <w:pPr>
        <w:numPr>
          <w:ilvl w:val="0"/>
          <w:numId w:val="13"/>
        </w:numPr>
        <w:spacing w:line="360" w:before="105" w:after="105" w:lineRule="auto"/>
      </w:pPr>
      <w:r>
        <w:rPr>
          <w:rFonts w:eastAsia="source serif 4" w:cs="source serif 4" w:ascii="source serif 4" w:hAnsi="source serif 4"/>
          <w:color w:val="000000"/>
          <w:sz w:val="21"/>
        </w:rPr>
        <w:t xml:space="preserve">G. Réseaux sociaux et transferts (social protection, remittances)</w:t>
      </w:r>
    </w:p>
    <w:p>
      <w:pPr>
        <w:numPr>
          <w:ilvl w:val="1"/>
          <w:numId w:val="13"/>
        </w:numPr>
        <w:spacing w:line="360" w:before="105" w:after="105" w:lineRule="auto"/>
      </w:pPr>
      <w:r>
        <w:rPr>
          <w:rFonts w:eastAsia="source serif 4" w:cs="source serif 4" w:ascii="source serif 4" w:hAnsi="source serif 4"/>
          <w:color w:val="000000"/>
          <w:sz w:val="21"/>
        </w:rPr>
        <w:t xml:space="preserve">Justification : filets sociaux et transferts forment filets de sécurité ; social capital facilite partage de risque.</w:t>
      </w:r>
    </w:p>
    <w:p>
      <w:pPr>
        <w:numPr>
          <w:ilvl w:val="1"/>
          <w:numId w:val="13"/>
        </w:numPr>
        <w:spacing w:line="360" w:before="105" w:after="105" w:lineRule="auto"/>
      </w:pPr>
      <w:r>
        <w:rPr>
          <w:rFonts w:eastAsia="source serif 4" w:cs="source serif 4" w:ascii="source serif 4" w:hAnsi="source serif 4"/>
          <w:color w:val="000000"/>
          <w:sz w:val="21"/>
        </w:rPr>
        <w:t xml:space="preserve">Empirique : transferts et remittances réduisent volatilité; participation programmes sociaux (variable souvent absent) réduit probabilité de chute.</w:t>
      </w:r>
    </w:p>
    <w:p>
      <w:pPr>
        <w:numPr>
          <w:ilvl w:val="1"/>
          <w:numId w:val="13"/>
        </w:numPr>
        <w:spacing w:line="360" w:before="105" w:after="105" w:lineRule="auto"/>
      </w:pPr>
      <w:r>
        <w:rPr>
          <w:rFonts w:eastAsia="source serif 4" w:cs="source serif 4" w:ascii="source serif 4" w:hAnsi="source serif 4"/>
          <w:color w:val="000000"/>
          <w:sz w:val="21"/>
        </w:rPr>
        <w:t xml:space="preserve">Variables : bank (compte), transferts reçus (si disponibles), indicateurs de choc covariant &amp; d’aide.</w:t>
      </w:r>
    </w:p>
    <w:p>
      <w:pPr>
        <w:numPr>
          <w:ilvl w:val="0"/>
          <w:numId w:val="13"/>
        </w:numPr>
        <w:spacing w:line="360" w:before="105" w:after="105" w:lineRule="auto"/>
      </w:pPr>
      <w:r>
        <w:rPr>
          <w:rFonts w:eastAsia="source serif 4" w:cs="source serif 4" w:ascii="source serif 4" w:hAnsi="source serif 4"/>
          <w:color w:val="000000"/>
          <w:sz w:val="21"/>
        </w:rPr>
        <w:t xml:space="preserve">H. Chocs et exposition (exposition aux risques naturels, économiques, santé)</w:t>
      </w:r>
    </w:p>
    <w:p>
      <w:pPr>
        <w:numPr>
          <w:ilvl w:val="1"/>
          <w:numId w:val="13"/>
        </w:numPr>
        <w:spacing w:line="360" w:before="105" w:after="105" w:lineRule="auto"/>
      </w:pPr>
      <w:r>
        <w:rPr>
          <w:rFonts w:eastAsia="source serif 4" w:cs="source serif 4" w:ascii="source serif 4" w:hAnsi="source serif 4"/>
          <w:color w:val="000000"/>
          <w:sz w:val="21"/>
        </w:rPr>
        <w:t xml:space="preserve">Justification : exposition directe qui déclenche vulnérabilité ; évalue fréquence &amp; type de chocs.</w:t>
      </w:r>
    </w:p>
    <w:p>
      <w:pPr>
        <w:numPr>
          <w:ilvl w:val="1"/>
          <w:numId w:val="13"/>
        </w:numPr>
        <w:spacing w:line="360" w:before="105" w:after="105" w:lineRule="auto"/>
      </w:pPr>
      <w:r>
        <w:rPr>
          <w:rFonts w:eastAsia="source serif 4" w:cs="source serif 4" w:ascii="source serif 4" w:hAnsi="source serif 4"/>
          <w:color w:val="000000"/>
          <w:sz w:val="21"/>
        </w:rPr>
        <w:t xml:space="preserve">Empirique : sh_co_natu, sh_co_eco, sh_id_* dans EHCVM ; corrélation fortes avec détérioration de consommation.</w:t>
      </w:r>
    </w:p>
    <w:p>
      <w:pPr>
        <w:numPr>
          <w:ilvl w:val="1"/>
          <w:numId w:val="13"/>
        </w:numPr>
        <w:spacing w:line="360" w:before="105" w:after="105" w:lineRule="auto"/>
      </w:pPr>
      <w:r>
        <w:rPr>
          <w:rFonts w:eastAsia="source serif 4" w:cs="source serif 4" w:ascii="source serif 4" w:hAnsi="source serif 4"/>
          <w:color w:val="000000"/>
          <w:sz w:val="21"/>
        </w:rPr>
        <w:t xml:space="preserve">Variables : sh_co_natu, sh_co_eco, sh_co_vio, sh_id_demo, sh_id_eco, pertes récoltes signalées.</w:t>
      </w:r>
    </w:p>
    <w:p>
      <w:pPr>
        <w:numPr>
          <w:ilvl w:val="0"/>
          <w:numId w:val="13"/>
        </w:numPr>
        <w:spacing w:line="360" w:before="105" w:after="105" w:lineRule="auto"/>
      </w:pPr>
      <w:r>
        <w:rPr>
          <w:rFonts w:eastAsia="source serif 4" w:cs="source serif 4" w:ascii="source serif 4" w:hAnsi="source serif 4"/>
          <w:color w:val="000000"/>
          <w:sz w:val="21"/>
        </w:rPr>
        <w:t xml:space="preserve">I. Capacités financières / liquidité (épargne, crédit)</w:t>
      </w:r>
    </w:p>
    <w:p>
      <w:pPr>
        <w:numPr>
          <w:ilvl w:val="1"/>
          <w:numId w:val="13"/>
        </w:numPr>
        <w:spacing w:line="360" w:before="105" w:after="105" w:lineRule="auto"/>
      </w:pPr>
      <w:r>
        <w:rPr>
          <w:rFonts w:eastAsia="source serif 4" w:cs="source serif 4" w:ascii="source serif 4" w:hAnsi="source serif 4"/>
          <w:color w:val="000000"/>
          <w:sz w:val="21"/>
        </w:rPr>
        <w:t xml:space="preserve">Justification : accès au crédit/épargne permet lissage; absence mène à ventes d’actifs.</w:t>
      </w:r>
    </w:p>
    <w:p>
      <w:pPr>
        <w:numPr>
          <w:ilvl w:val="1"/>
          <w:numId w:val="13"/>
        </w:numPr>
        <w:spacing w:line="360" w:before="105" w:after="105" w:lineRule="auto"/>
      </w:pPr>
      <w:r>
        <w:rPr>
          <w:rFonts w:eastAsia="source serif 4" w:cs="source serif 4" w:ascii="source serif 4" w:hAnsi="source serif 4"/>
          <w:color w:val="000000"/>
          <w:sz w:val="21"/>
        </w:rPr>
        <w:t xml:space="preserve">Empirique : accès aux comptes (bank, telpor?), possession d’actifs facilement monétisables.</w:t>
      </w:r>
    </w:p>
    <w:p>
      <w:pPr>
        <w:numPr>
          <w:ilvl w:val="1"/>
          <w:numId w:val="13"/>
        </w:numPr>
        <w:spacing w:line="360" w:before="105" w:after="105" w:lineRule="auto"/>
      </w:pPr>
      <w:r>
        <w:rPr>
          <w:rFonts w:eastAsia="source serif 4" w:cs="source serif 4" w:ascii="source serif 4" w:hAnsi="source serif 4"/>
          <w:color w:val="000000"/>
          <w:sz w:val="21"/>
        </w:rPr>
        <w:t xml:space="preserve">Variables : bank, possession telpor (proxy d’accès mobile money), dettes (si disponible).</w:t>
      </w:r>
    </w:p>
    <w:p>
      <w:pPr>
        <w:numPr>
          <w:ilvl w:val="0"/>
          <w:numId w:val="13"/>
        </w:numPr>
        <w:spacing w:line="360" w:before="105" w:after="105" w:lineRule="auto"/>
      </w:pPr>
      <w:r>
        <w:rPr>
          <w:rFonts w:eastAsia="source serif 4" w:cs="source serif 4" w:ascii="source serif 4" w:hAnsi="source serif 4"/>
          <w:color w:val="000000"/>
          <w:sz w:val="21"/>
        </w:rPr>
        <w:t xml:space="preserve">J. Gouvernance locale / accès marché et institutions</w:t>
      </w:r>
    </w:p>
    <w:p>
      <w:pPr>
        <w:numPr>
          <w:ilvl w:val="1"/>
          <w:numId w:val="13"/>
        </w:numPr>
        <w:spacing w:line="360" w:before="105" w:after="105" w:lineRule="auto"/>
      </w:pPr>
      <w:r>
        <w:rPr>
          <w:rFonts w:eastAsia="source serif 4" w:cs="source serif 4" w:ascii="source serif 4" w:hAnsi="source serif 4"/>
          <w:color w:val="000000"/>
          <w:sz w:val="21"/>
        </w:rPr>
        <w:t xml:space="preserve">Justification : marchés fonctionnels et institutions publiques réduisent risque.</w:t>
      </w:r>
    </w:p>
    <w:p>
      <w:pPr>
        <w:numPr>
          <w:ilvl w:val="1"/>
          <w:numId w:val="13"/>
        </w:numPr>
        <w:spacing w:line="360" w:before="105" w:after="105" w:lineRule="auto"/>
      </w:pPr>
      <w:r>
        <w:rPr>
          <w:rFonts w:eastAsia="source serif 4" w:cs="source serif 4" w:ascii="source serif 4" w:hAnsi="source serif 4"/>
          <w:color w:val="000000"/>
          <w:sz w:val="21"/>
        </w:rPr>
        <w:t xml:space="preserve">Empirique : études montrent importance d’accès routes, marchés, extension agricole, prix stables.</w:t>
      </w:r>
    </w:p>
    <w:p>
      <w:pPr>
        <w:numPr>
          <w:ilvl w:val="1"/>
          <w:numId w:val="13"/>
        </w:numPr>
        <w:spacing w:line="360" w:before="105" w:after="105" w:lineRule="auto"/>
      </w:pPr>
      <w:r>
        <w:rPr>
          <w:rFonts w:eastAsia="source serif 4" w:cs="source serif 4" w:ascii="source serif 4" w:hAnsi="source serif 4"/>
          <w:color w:val="000000"/>
          <w:sz w:val="21"/>
        </w:rPr>
        <w:t xml:space="preserve">Variables proxys : distance marché (si dispo), région/zone, densité urbaine/rurale (milieu, region), grappe.</w:t>
      </w:r>
    </w:p>
    <w:p>
      <w:pPr>
        <w:spacing w:line="360" w:after="210" w:lineRule="auto"/>
      </w:pPr>
      <w:r>
        <w:rPr>
          <w:rFonts w:eastAsia="source serif 4" w:cs="source serif 4" w:ascii="source serif 4" w:hAnsi="source serif 4"/>
          <w:color w:val="000000"/>
        </w:rPr>
        <w:t xml:space="preserve">Synthèse tableau (format textuel demandé)</w:t>
      </w:r>
    </w:p>
    <w:p>
      <w:pPr>
        <w:numPr>
          <w:ilvl w:val="0"/>
          <w:numId w:val="14"/>
        </w:numPr>
        <w:spacing w:line="360" w:before="105" w:after="105" w:lineRule="auto"/>
      </w:pPr>
      <w:r>
        <w:rPr>
          <w:rFonts w:eastAsia="source serif 4" w:cs="source serif 4" w:ascii="source serif 4" w:hAnsi="source serif 4"/>
          <w:color w:val="000000"/>
          <w:sz w:val="21"/>
        </w:rPr>
        <w:t xml:space="preserve">Je fournis ci‑dessous le tableau synthétique demandé (chaque ligne = Dimension | Justification | Références majeures | Variables généralement utilisées (compatibles EHCVM)).</w:t>
      </w:r>
    </w:p>
    <w:p>
      <w:pPr>
        <w:spacing w:line="360" w:after="210" w:lineRule="auto"/>
      </w:pPr>
      <w:r>
        <w:rPr>
          <w:rFonts w:eastAsia="source serif 4" w:cs="source serif 4" w:ascii="source serif 4" w:hAnsi="source serif 4"/>
          <w:color w:val="000000"/>
        </w:rPr>
        <w:t xml:space="preserve">Dimension | Justification théorique | Références majeures | Variables généralement utilisées (EHCVM compatibles)</w:t>
      </w:r>
    </w:p>
    <w:p>
      <w:pPr>
        <w:numPr>
          <w:ilvl w:val="0"/>
          <w:numId w:val="15"/>
        </w:numPr>
        <w:spacing w:line="360" w:before="105" w:after="105" w:lineRule="auto"/>
      </w:pPr>
      <w:r>
        <w:rPr>
          <w:rFonts w:eastAsia="source serif 4" w:cs="source serif 4" w:ascii="source serif 4" w:hAnsi="source serif 4"/>
          <w:color w:val="000000"/>
          <w:sz w:val="21"/>
        </w:rPr>
        <w:t xml:space="preserve">Biens / Actifs physiques &amp; productifs | Les actifs servent de cushion: production, vente, collatéral et capital de reproduction, déterminent capacité d’absorption | Filmer &amp; Pritchett (2001); Dercon (2004); DFID SLF; Alwang et al. (2001) | frigo, tv, ordin, voiture (car), moto (volonté), loyer imputé, mur/toit/sol, superf (superficie agricole), nb bétail (grosrum, petitrum, volail), porc, lapin</w:t>
      </w:r>
    </w:p>
    <w:p>
      <w:pPr>
        <w:numPr>
          <w:ilvl w:val="0"/>
          <w:numId w:val="15"/>
        </w:numPr>
        <w:spacing w:line="360" w:before="105" w:after="105" w:lineRule="auto"/>
      </w:pPr>
      <w:r>
        <w:rPr>
          <w:rFonts w:eastAsia="source serif 4" w:cs="source serif 4" w:ascii="source serif 4" w:hAnsi="source serif 4"/>
          <w:color w:val="000000"/>
          <w:sz w:val="21"/>
        </w:rPr>
        <w:t xml:space="preserve">Revenus &amp; diversification | Diversification réduit l’exposition aux chocs covariants; revenus stables améliorent résilience | Barrett et al. (2001); Dercon; Hoddinott | hactiv7j/hactiv12m, hbranch, salaire, salaire_sec, volhor, part revenu agricole (construction à partir conso ou activité), transferts (si dispo)</w:t>
      </w:r>
    </w:p>
    <w:p>
      <w:pPr>
        <w:numPr>
          <w:ilvl w:val="0"/>
          <w:numId w:val="15"/>
        </w:numPr>
        <w:spacing w:line="360" w:before="105" w:after="105" w:lineRule="auto"/>
      </w:pPr>
      <w:r>
        <w:rPr>
          <w:rFonts w:eastAsia="source serif 4" w:cs="source serif 4" w:ascii="source serif 4" w:hAnsi="source serif 4"/>
          <w:color w:val="000000"/>
          <w:sz w:val="21"/>
        </w:rPr>
        <w:t xml:space="preserve">Consommation / bien‑être (welfare) | Mesure du niveau actuel et base pour VEP; indicateur principal de pauvreté | Chaudhuri et al. (2002); Ravallion | dtot, dail, dnal, pcexp, zref (seuil)</w:t>
      </w:r>
    </w:p>
    <w:p>
      <w:pPr>
        <w:numPr>
          <w:ilvl w:val="0"/>
          <w:numId w:val="15"/>
        </w:numPr>
        <w:spacing w:line="360" w:before="105" w:after="105" w:lineRule="auto"/>
      </w:pPr>
      <w:r>
        <w:rPr>
          <w:rFonts w:eastAsia="source serif 4" w:cs="source serif 4" w:ascii="source serif 4" w:hAnsi="source serif 4"/>
          <w:color w:val="000000"/>
          <w:sz w:val="21"/>
        </w:rPr>
        <w:t xml:space="preserve">Sécurité alimentaire &amp; nutrition | Domaine central du bien‑être; directement sensible aux chocs et saisonnalité | FAO (1996); WFP VAM; Maxwell, Webb | consommation alimentaire (conso items → calories), FCS/rCSI (calculable), fréquence repas (si dispo), share alim. (dali/dtot)</w:t>
      </w:r>
    </w:p>
    <w:p>
      <w:pPr>
        <w:numPr>
          <w:ilvl w:val="0"/>
          <w:numId w:val="15"/>
        </w:numPr>
        <w:spacing w:line="360" w:before="105" w:after="105" w:lineRule="auto"/>
      </w:pPr>
      <w:r>
        <w:rPr>
          <w:rFonts w:eastAsia="source serif 4" w:cs="source serif 4" w:ascii="source serif 4" w:hAnsi="source serif 4"/>
          <w:color w:val="000000"/>
          <w:sz w:val="21"/>
        </w:rPr>
        <w:t xml:space="preserve">Capital humain (éducation &amp; santé) | Education et santé déterminent productivité, opportunités et coût de choc | Sen; Dercon; Hoddinott | heduc/hdiploma/halfa, age CM (hage), mal30j, hos12m, couverture maladie (couvmal)</w:t>
      </w:r>
    </w:p>
    <w:p>
      <w:pPr>
        <w:numPr>
          <w:ilvl w:val="0"/>
          <w:numId w:val="15"/>
        </w:numPr>
        <w:spacing w:line="360" w:before="105" w:after="105" w:lineRule="auto"/>
      </w:pPr>
      <w:r>
        <w:rPr>
          <w:rFonts w:eastAsia="source serif 4" w:cs="source serif 4" w:ascii="source serif 4" w:hAnsi="source serif 4"/>
          <w:color w:val="000000"/>
          <w:sz w:val="21"/>
        </w:rPr>
        <w:t xml:space="preserve">Accès services de base (infrastructures) | Influence santé, productivité, coûts de reproduction, signale inclusion | World Bank WDR; DFID | elec_ac/elec_ur/elec_ua, eauboi_ss/sp, toilet, eva_eau, eva_toi, loyer, ordure</w:t>
      </w:r>
    </w:p>
    <w:p>
      <w:pPr>
        <w:numPr>
          <w:ilvl w:val="0"/>
          <w:numId w:val="15"/>
        </w:numPr>
        <w:spacing w:line="360" w:before="105" w:after="105" w:lineRule="auto"/>
      </w:pPr>
      <w:r>
        <w:rPr>
          <w:rFonts w:eastAsia="source serif 4" w:cs="source serif 4" w:ascii="source serif 4" w:hAnsi="source serif 4"/>
          <w:color w:val="000000"/>
          <w:sz w:val="21"/>
        </w:rPr>
        <w:t xml:space="preserve">Réseaux sociaux &amp; transferts | Transferts/solidarité réduisent pertes; filets garantissent lissage | Dercon; Adger | bank (compte), remittances (si dispo), indicateurs aide, composition ménage (hhsize)</w:t>
      </w:r>
    </w:p>
    <w:p>
      <w:pPr>
        <w:numPr>
          <w:ilvl w:val="0"/>
          <w:numId w:val="15"/>
        </w:numPr>
        <w:spacing w:line="360" w:before="105" w:after="105" w:lineRule="auto"/>
      </w:pPr>
      <w:r>
        <w:rPr>
          <w:rFonts w:eastAsia="source serif 4" w:cs="source serif 4" w:ascii="source serif 4" w:hAnsi="source serif 4"/>
          <w:color w:val="000000"/>
          <w:sz w:val="21"/>
        </w:rPr>
        <w:t xml:space="preserve">Exposition aux chocs | Chocs déclenchent basculement; nature des chocs informe mécanismes de protection | Dercon; IPCC (vulnerability) | sh_co_natu, sh_co_eco, sh_co_vio, sh_co_oth, sh_id_demo, sh_id_eco</w:t>
      </w:r>
    </w:p>
    <w:p>
      <w:pPr>
        <w:numPr>
          <w:ilvl w:val="0"/>
          <w:numId w:val="15"/>
        </w:numPr>
        <w:spacing w:line="360" w:before="105" w:after="105" w:lineRule="auto"/>
      </w:pPr>
      <w:r>
        <w:rPr>
          <w:rFonts w:eastAsia="source serif 4" w:cs="source serif 4" w:ascii="source serif 4" w:hAnsi="source serif 4"/>
          <w:color w:val="000000"/>
          <w:sz w:val="21"/>
        </w:rPr>
        <w:t xml:space="preserve">Liquidité &amp; accès crédit | Permet lissage, investissement; absence cause ventes d’actifs | Dercon; World Bank | bank, telpor (mobile money prox), dettes (si dispo)</w:t>
      </w:r>
    </w:p>
    <w:p>
      <w:pPr>
        <w:numPr>
          <w:ilvl w:val="0"/>
          <w:numId w:val="15"/>
        </w:numPr>
        <w:spacing w:line="360" w:before="105" w:after="105" w:lineRule="auto"/>
      </w:pPr>
      <w:r>
        <w:rPr>
          <w:rFonts w:eastAsia="source serif 4" w:cs="source serif 4" w:ascii="source serif 4" w:hAnsi="source serif 4"/>
          <w:color w:val="000000"/>
          <w:sz w:val="21"/>
        </w:rPr>
        <w:t xml:space="preserve">Marchés &amp; institutions locales | Accès marché et institutions modèrent impacts des chocs | Barrett; World Bank | region, milieu, grappe, distance marché proxy (si disposée), accès internet (internet), hsectins</w:t>
      </w:r>
    </w:p>
    <w:p>
      <w:pPr>
        <w:numPr>
          <w:ilvl w:val="0"/>
          <w:numId w:val="16"/>
        </w:numPr>
        <w:spacing w:line="360" w:before="105" w:after="105" w:lineRule="auto"/>
      </w:pPr>
      <w:r>
        <w:rPr>
          <w:rFonts w:eastAsia="source serif 4" w:cs="source serif 4" w:ascii="source serif 4" w:hAnsi="source serif 4"/>
          <w:color w:val="000000"/>
          <w:sz w:val="21"/>
        </w:rPr>
        <w:t xml:space="preserve">Variables observables compatibles avec EHCVM (pour chaque dimension)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Je liste variables précises extraites de votre description EHCVM (nom var entre parenthèses) ; celles-ci sont directement utilisables ou calculables :</w:t>
      </w:r>
    </w:p>
    <w:p>
      <w:pPr>
        <w:numPr>
          <w:ilvl w:val="0"/>
          <w:numId w:val="17"/>
        </w:numPr>
        <w:spacing w:line="360" w:before="105" w:after="105" w:lineRule="auto"/>
      </w:pPr>
      <w:r>
        <w:rPr>
          <w:rFonts w:eastAsia="source serif 4" w:cs="source serif 4" w:ascii="source serif 4" w:hAnsi="source serif 4"/>
          <w:color w:val="000000"/>
          <w:sz w:val="21"/>
        </w:rPr>
        <w:t xml:space="preserve">Actifs / richesse</w:t>
      </w:r>
    </w:p>
    <w:p>
      <w:pPr>
        <w:numPr>
          <w:ilvl w:val="1"/>
          <w:numId w:val="17"/>
        </w:numPr>
        <w:spacing w:line="360" w:before="105" w:after="105" w:lineRule="auto"/>
      </w:pPr>
      <w:r>
        <w:rPr>
          <w:rFonts w:eastAsia="source serif 4" w:cs="source serif 4" w:ascii="source serif 4" w:hAnsi="source serif 4"/>
          <w:color w:val="000000"/>
          <w:sz w:val="21"/>
        </w:rPr>
        <w:t xml:space="preserve">biens durables : frigo, tv, ordin (ordinateur), car (voiture), fer, decod, cuisin (cuisinière), plaque solaire (indice), mobilier (si dispo).</w:t>
      </w:r>
    </w:p>
    <w:p>
      <w:pPr>
        <w:numPr>
          <w:ilvl w:val="1"/>
          <w:numId w:val="17"/>
        </w:numPr>
        <w:spacing w:line="360" w:before="105" w:after="105" w:lineRule="auto"/>
      </w:pPr>
      <w:r>
        <w:rPr>
          <w:rFonts w:eastAsia="source serif 4" w:cs="source serif 4" w:ascii="source serif 4" w:hAnsi="source serif 4"/>
          <w:color w:val="000000"/>
          <w:sz w:val="21"/>
        </w:rPr>
        <w:t xml:space="preserve">logement &amp; matériaux : mur, toit, sol, logem (type d’occupation), loyer (imputed), superficie agricole (superf).</w:t>
      </w:r>
    </w:p>
    <w:p>
      <w:pPr>
        <w:numPr>
          <w:ilvl w:val="1"/>
          <w:numId w:val="17"/>
        </w:numPr>
        <w:spacing w:line="360" w:before="105" w:after="105" w:lineRule="auto"/>
      </w:pPr>
      <w:r>
        <w:rPr>
          <w:rFonts w:eastAsia="source serif 4" w:cs="source serif 4" w:ascii="source serif 4" w:hAnsi="source serif 4"/>
          <w:color w:val="000000"/>
          <w:sz w:val="21"/>
        </w:rPr>
        <w:t xml:space="preserve">bétail et production : grosrum, petitrum, volail, porc, lapin.</w:t>
      </w:r>
    </w:p>
    <w:p>
      <w:pPr>
        <w:numPr>
          <w:ilvl w:val="0"/>
          <w:numId w:val="17"/>
        </w:numPr>
        <w:spacing w:line="360" w:before="105" w:after="105" w:lineRule="auto"/>
      </w:pPr>
      <w:r>
        <w:rPr>
          <w:rFonts w:eastAsia="source serif 4" w:cs="source serif 4" w:ascii="source serif 4" w:hAnsi="source serif 4"/>
          <w:color w:val="000000"/>
          <w:sz w:val="21"/>
        </w:rPr>
        <w:t xml:space="preserve">Revenus &amp; diversification</w:t>
      </w:r>
    </w:p>
    <w:p>
      <w:pPr>
        <w:numPr>
          <w:ilvl w:val="1"/>
          <w:numId w:val="17"/>
        </w:numPr>
        <w:spacing w:line="360" w:before="105" w:after="105" w:lineRule="auto"/>
      </w:pPr>
      <w:r>
        <w:rPr>
          <w:rFonts w:eastAsia="source serif 4" w:cs="source serif 4" w:ascii="source serif 4" w:hAnsi="source serif 4"/>
          <w:color w:val="000000"/>
          <w:sz w:val="21"/>
        </w:rPr>
        <w:t xml:space="preserve">activité chef mén. (hbranch, hactiv7j/hactiv12m), salaire, salaire_sec, volhor, csp/hcsp (cat socio‑pro), branche/branch.</w:t>
      </w:r>
    </w:p>
    <w:p>
      <w:pPr>
        <w:numPr>
          <w:ilvl w:val="0"/>
          <w:numId w:val="17"/>
        </w:numPr>
        <w:spacing w:line="360" w:before="105" w:after="105" w:lineRule="auto"/>
      </w:pPr>
      <w:r>
        <w:rPr>
          <w:rFonts w:eastAsia="source serif 4" w:cs="source serif 4" w:ascii="source serif 4" w:hAnsi="source serif 4"/>
          <w:color w:val="000000"/>
          <w:sz w:val="21"/>
        </w:rPr>
        <w:t xml:space="preserve">Consommation &amp; bien‑être</w:t>
      </w:r>
    </w:p>
    <w:p>
      <w:pPr>
        <w:numPr>
          <w:ilvl w:val="1"/>
          <w:numId w:val="17"/>
        </w:numPr>
        <w:spacing w:line="360" w:before="105" w:after="105" w:lineRule="auto"/>
      </w:pPr>
      <w:r>
        <w:rPr>
          <w:rFonts w:eastAsia="source serif 4" w:cs="source serif 4" w:ascii="source serif 4" w:hAnsi="source serif 4"/>
          <w:color w:val="000000"/>
          <w:sz w:val="21"/>
        </w:rPr>
        <w:t xml:space="preserve">dtot (consommation totale), dali (aliments), dnal (non‑aliments), pcexp or pcexp indicator, zref (threshold).</w:t>
      </w:r>
    </w:p>
    <w:p>
      <w:pPr>
        <w:numPr>
          <w:ilvl w:val="1"/>
          <w:numId w:val="17"/>
        </w:numPr>
        <w:spacing w:line="360" w:before="105" w:after="105" w:lineRule="auto"/>
      </w:pPr>
      <w:r>
        <w:rPr>
          <w:rFonts w:eastAsia="source serif 4" w:cs="source serif 4" w:ascii="source serif 4" w:hAnsi="source serif 4"/>
          <w:color w:val="000000"/>
          <w:sz w:val="21"/>
        </w:rPr>
        <w:t xml:space="preserve">calculer consommation par adulte équivalent (household size = hhsize).</w:t>
      </w:r>
    </w:p>
    <w:p>
      <w:pPr>
        <w:numPr>
          <w:ilvl w:val="0"/>
          <w:numId w:val="17"/>
        </w:numPr>
        <w:spacing w:line="360" w:before="105" w:after="105" w:lineRule="auto"/>
      </w:pPr>
      <w:r>
        <w:rPr>
          <w:rFonts w:eastAsia="source serif 4" w:cs="source serif 4" w:ascii="source serif 4" w:hAnsi="source serif 4"/>
          <w:color w:val="000000"/>
          <w:sz w:val="21"/>
        </w:rPr>
        <w:t xml:space="preserve">Sécurité alimentaire</w:t>
      </w:r>
    </w:p>
    <w:p>
      <w:pPr>
        <w:numPr>
          <w:ilvl w:val="1"/>
          <w:numId w:val="17"/>
        </w:numPr>
        <w:spacing w:line="360" w:before="105" w:after="105" w:lineRule="auto"/>
      </w:pPr>
      <w:r>
        <w:rPr>
          <w:rFonts w:eastAsia="source serif 4" w:cs="source serif 4" w:ascii="source serif 4" w:hAnsi="source serif 4"/>
          <w:color w:val="000000"/>
          <w:sz w:val="21"/>
        </w:rPr>
        <w:t xml:space="preserve">conso items détaillés (codpr + depan leads to annual expenditure per item → compute FCS/rCSI if frequencies present; otherwise use share of food consumption).</w:t>
      </w:r>
    </w:p>
    <w:p>
      <w:pPr>
        <w:numPr>
          <w:ilvl w:val="1"/>
          <w:numId w:val="17"/>
        </w:numPr>
        <w:spacing w:line="360" w:before="105" w:after="105" w:lineRule="auto"/>
      </w:pPr>
      <w:r>
        <w:rPr>
          <w:rFonts w:eastAsia="source serif 4" w:cs="source serif 4" w:ascii="source serif 4" w:hAnsi="source serif 4"/>
          <w:color w:val="000000"/>
          <w:sz w:val="21"/>
        </w:rPr>
        <w:t xml:space="preserve">Food share = dali/dtot.</w:t>
      </w:r>
    </w:p>
    <w:p>
      <w:pPr>
        <w:numPr>
          <w:ilvl w:val="0"/>
          <w:numId w:val="17"/>
        </w:numPr>
        <w:spacing w:line="360" w:before="105" w:after="105" w:lineRule="auto"/>
      </w:pPr>
      <w:r>
        <w:rPr>
          <w:rFonts w:eastAsia="source serif 4" w:cs="source serif 4" w:ascii="source serif 4" w:hAnsi="source serif 4"/>
          <w:color w:val="000000"/>
          <w:sz w:val="21"/>
        </w:rPr>
        <w:t xml:space="preserve">Capital humain</w:t>
      </w:r>
    </w:p>
    <w:p>
      <w:pPr>
        <w:numPr>
          <w:ilvl w:val="1"/>
          <w:numId w:val="17"/>
        </w:numPr>
        <w:spacing w:line="360" w:before="105" w:after="105" w:lineRule="auto"/>
      </w:pPr>
      <w:r>
        <w:rPr>
          <w:rFonts w:eastAsia="source serif 4" w:cs="source serif 4" w:ascii="source serif 4" w:hAnsi="source serif 4"/>
          <w:color w:val="000000"/>
          <w:sz w:val="21"/>
        </w:rPr>
        <w:t xml:space="preserve">niveau éducation CM (heduc/hdiploma/halfa), age CM (hage), mal30j, hos12m, couverture maladie (couvmal), handicap (handig/handit).</w:t>
      </w:r>
    </w:p>
    <w:p>
      <w:pPr>
        <w:numPr>
          <w:ilvl w:val="0"/>
          <w:numId w:val="17"/>
        </w:numPr>
        <w:spacing w:line="360" w:before="105" w:after="105" w:lineRule="auto"/>
      </w:pPr>
      <w:r>
        <w:rPr>
          <w:rFonts w:eastAsia="source serif 4" w:cs="source serif 4" w:ascii="source serif 4" w:hAnsi="source serif 4"/>
          <w:color w:val="000000"/>
          <w:sz w:val="21"/>
        </w:rPr>
        <w:t xml:space="preserve">Services de base /infrastructures</w:t>
      </w:r>
    </w:p>
    <w:p>
      <w:pPr>
        <w:numPr>
          <w:ilvl w:val="1"/>
          <w:numId w:val="17"/>
        </w:numPr>
        <w:spacing w:line="360" w:before="105" w:after="105" w:lineRule="auto"/>
      </w:pPr>
      <w:r>
        <w:rPr>
          <w:rFonts w:eastAsia="source serif 4" w:cs="source serif 4" w:ascii="source serif 4" w:hAnsi="source serif 4"/>
          <w:color w:val="000000"/>
          <w:sz w:val="21"/>
        </w:rPr>
        <w:t xml:space="preserve">elec_ur/elec_ac/elec_ua, eauboi_sp/eauboi_ss, toilet, eva_eau, eva_toi, ordure.</w:t>
      </w:r>
    </w:p>
    <w:p>
      <w:pPr>
        <w:numPr>
          <w:ilvl w:val="0"/>
          <w:numId w:val="17"/>
        </w:numPr>
        <w:spacing w:line="360" w:before="105" w:after="105" w:lineRule="auto"/>
      </w:pPr>
      <w:r>
        <w:rPr>
          <w:rFonts w:eastAsia="source serif 4" w:cs="source serif 4" w:ascii="source serif 4" w:hAnsi="source serif 4"/>
          <w:color w:val="000000"/>
          <w:sz w:val="21"/>
        </w:rPr>
        <w:t xml:space="preserve">Réseaux &amp; transferts</w:t>
      </w:r>
    </w:p>
    <w:p>
      <w:pPr>
        <w:numPr>
          <w:ilvl w:val="1"/>
          <w:numId w:val="17"/>
        </w:numPr>
        <w:spacing w:line="360" w:before="105" w:after="105" w:lineRule="auto"/>
      </w:pPr>
      <w:r>
        <w:rPr>
          <w:rFonts w:eastAsia="source serif 4" w:cs="source serif 4" w:ascii="source serif 4" w:hAnsi="source serif 4"/>
          <w:color w:val="000000"/>
          <w:sz w:val="21"/>
        </w:rPr>
        <w:t xml:space="preserve">bank (compte bancaire), telpor (possède portable), indications sur transferts (si variable dispo dans conso ou welfare).</w:t>
      </w:r>
    </w:p>
    <w:p>
      <w:pPr>
        <w:numPr>
          <w:ilvl w:val="0"/>
          <w:numId w:val="17"/>
        </w:numPr>
        <w:spacing w:line="360" w:before="105" w:after="105" w:lineRule="auto"/>
      </w:pPr>
      <w:r>
        <w:rPr>
          <w:rFonts w:eastAsia="source serif 4" w:cs="source serif 4" w:ascii="source serif 4" w:hAnsi="source serif 4"/>
          <w:color w:val="000000"/>
          <w:sz w:val="21"/>
        </w:rPr>
        <w:t xml:space="preserve">Exposition aux chocs</w:t>
      </w:r>
    </w:p>
    <w:p>
      <w:pPr>
        <w:numPr>
          <w:ilvl w:val="1"/>
          <w:numId w:val="17"/>
        </w:numPr>
        <w:spacing w:line="360" w:before="105" w:after="105" w:lineRule="auto"/>
      </w:pPr>
      <w:r>
        <w:rPr>
          <w:rFonts w:eastAsia="source serif 4" w:cs="source serif 4" w:ascii="source serif 4" w:hAnsi="source serif 4"/>
          <w:color w:val="000000"/>
          <w:sz w:val="21"/>
        </w:rPr>
        <w:t xml:space="preserve">sh_co_natu, sh_co_eco, sh_co_vio, sh_co_oth, sh_id_demo, sh_id_eco (variables prêtes dans menage).</w:t>
      </w:r>
    </w:p>
    <w:p>
      <w:pPr>
        <w:numPr>
          <w:ilvl w:val="0"/>
          <w:numId w:val="17"/>
        </w:numPr>
        <w:spacing w:line="360" w:before="105" w:after="105" w:lineRule="auto"/>
      </w:pPr>
      <w:r>
        <w:rPr>
          <w:rFonts w:eastAsia="source serif 4" w:cs="source serif 4" w:ascii="source serif 4" w:hAnsi="source serif 4"/>
          <w:color w:val="000000"/>
          <w:sz w:val="21"/>
        </w:rPr>
        <w:t xml:space="preserve">Liquidité &amp; crédit</w:t>
      </w:r>
    </w:p>
    <w:p>
      <w:pPr>
        <w:numPr>
          <w:ilvl w:val="1"/>
          <w:numId w:val="17"/>
        </w:numPr>
        <w:spacing w:line="360" w:before="105" w:after="105" w:lineRule="auto"/>
      </w:pPr>
      <w:r>
        <w:rPr>
          <w:rFonts w:eastAsia="source serif 4" w:cs="source serif 4" w:ascii="source serif 4" w:hAnsi="source serif 4"/>
          <w:color w:val="000000"/>
          <w:sz w:val="21"/>
        </w:rPr>
        <w:t xml:space="preserve">bank (compte), salaire, salaire_sec, possesions monétisables (car, tv).</w:t>
      </w:r>
    </w:p>
    <w:p>
      <w:pPr>
        <w:numPr>
          <w:ilvl w:val="0"/>
          <w:numId w:val="17"/>
        </w:numPr>
        <w:spacing w:line="360" w:before="105" w:after="105" w:lineRule="auto"/>
      </w:pPr>
      <w:r>
        <w:rPr>
          <w:rFonts w:eastAsia="source serif 4" w:cs="source serif 4" w:ascii="source serif 4" w:hAnsi="source serif 4"/>
          <w:color w:val="000000"/>
          <w:sz w:val="21"/>
        </w:rPr>
        <w:t xml:space="preserve">Institutions &amp; marché (proxies)</w:t>
      </w:r>
    </w:p>
    <w:p>
      <w:pPr>
        <w:numPr>
          <w:ilvl w:val="1"/>
          <w:numId w:val="17"/>
        </w:numPr>
        <w:spacing w:line="360" w:before="105" w:after="105" w:lineRule="auto"/>
      </w:pPr>
      <w:r>
        <w:rPr>
          <w:rFonts w:eastAsia="source serif 4" w:cs="source serif 4" w:ascii="source serif 4" w:hAnsi="source serif 4"/>
          <w:color w:val="000000"/>
          <w:sz w:val="21"/>
        </w:rPr>
        <w:t xml:space="preserve">region, milieu (urbain/rural), internet (accès individuel), grappe.</w:t>
      </w:r>
    </w:p>
    <w:p>
      <w:pPr>
        <w:numPr>
          <w:ilvl w:val="0"/>
          <w:numId w:val="18"/>
        </w:numPr>
        <w:spacing w:line="360" w:before="105" w:after="105" w:lineRule="auto"/>
      </w:pPr>
      <w:r>
        <w:rPr>
          <w:rFonts w:eastAsia="source serif 4" w:cs="source serif 4" w:ascii="source serif 4" w:hAnsi="source serif 4"/>
          <w:color w:val="000000"/>
          <w:sz w:val="21"/>
        </w:rPr>
        <w:t xml:space="preserve">Proposition de cadre conceptuel adapté pour l’EHCVM Sénégal (2021–2022) — orienté ACM + clustering</w:t>
      </w:r>
    </w:p>
    <w:p>
      <w:pPr>
        <w:numPr>
          <w:ilvl w:val="0"/>
          <w:numId w:val="19"/>
        </w:numPr>
        <w:spacing w:line="360" w:before="105" w:after="105" w:lineRule="auto"/>
      </w:pPr>
      <w:r>
        <w:rPr>
          <w:rFonts w:eastAsia="source serif 4" w:cs="source serif 4" w:ascii="source serif 4" w:hAnsi="source serif 4"/>
          <w:color w:val="000000"/>
          <w:sz w:val="21"/>
        </w:rPr>
        <w:t xml:space="preserve">Objectif : construire une typologie multidimensionnelle des ménages selon vulnérabilité ex ante et ex post, intégrant exposition, capacités (actifs), niveau de bien‑être et sécurité alimentaire.</w:t>
      </w:r>
    </w:p>
    <w:p>
      <w:pPr>
        <w:numPr>
          <w:ilvl w:val="0"/>
          <w:numId w:val="19"/>
        </w:numPr>
        <w:spacing w:line="360" w:before="105" w:after="105" w:lineRule="auto"/>
      </w:pPr>
      <w:r>
        <w:rPr>
          <w:rFonts w:eastAsia="source serif 4" w:cs="source serif 4" w:ascii="source serif 4" w:hAnsi="source serif 4"/>
          <w:color w:val="000000"/>
          <w:sz w:val="21"/>
        </w:rPr>
        <w:t xml:space="preserve">Etapes conceptuelles :</w:t>
      </w:r>
    </w:p>
    <w:p>
      <w:pPr>
        <w:numPr>
          <w:ilvl w:val="1"/>
          <w:numId w:val="19"/>
        </w:numPr>
        <w:spacing w:line="360" w:before="105" w:after="105" w:lineRule="auto"/>
      </w:pPr>
      <w:r>
        <w:rPr>
          <w:rFonts w:eastAsia="source serif 4" w:cs="source serif 4" w:ascii="source serif 4" w:hAnsi="source serif 4"/>
          <w:color w:val="000000"/>
          <w:sz w:val="21"/>
        </w:rPr>
        <w:t xml:space="preserve">Définir finalité : typologie utile pour ciblage politique (filets) et compréhension des trajectoires vulnérables (résilience).</w:t>
      </w:r>
    </w:p>
    <w:p>
      <w:pPr>
        <w:numPr>
          <w:ilvl w:val="1"/>
          <w:numId w:val="19"/>
        </w:numPr>
        <w:spacing w:line="360" w:before="105" w:after="105" w:lineRule="auto"/>
      </w:pPr>
      <w:r>
        <w:rPr>
          <w:rFonts w:eastAsia="source serif 4" w:cs="source serif 4" w:ascii="source serif 4" w:hAnsi="source serif 4"/>
          <w:color w:val="000000"/>
          <w:sz w:val="21"/>
        </w:rPr>
        <w:t xml:space="preserve">Sélection multidimensionnelle d’indicateurs (voir dimensions/variables ci‑dessus). Inclure indicateurs d’exposition (sh_co_*), actif/productif (bétail, superf), services (eau, électricité), capital humain (éducation, santé), consommation et sécurité alimentaire.</w:t>
      </w:r>
    </w:p>
    <w:p>
      <w:pPr>
        <w:numPr>
          <w:ilvl w:val="1"/>
          <w:numId w:val="19"/>
        </w:numPr>
        <w:spacing w:line="360" w:before="105" w:after="105" w:lineRule="auto"/>
      </w:pPr>
      <w:r>
        <w:rPr>
          <w:rFonts w:eastAsia="source serif 4" w:cs="source serif 4" w:ascii="source serif 4" w:hAnsi="source serif 4"/>
          <w:color w:val="000000"/>
          <w:sz w:val="21"/>
        </w:rPr>
        <w:t xml:space="preserve">Préparation des variables : coder variables catégorielles (possession d’actifs, accès services) et discrétiser continues (superficie, consommation p.c. quintiles ou bins), traiter valeurs manquantes, appliquer pondérations d’enquête (hhweight).</w:t>
      </w:r>
    </w:p>
    <w:p>
      <w:pPr>
        <w:numPr>
          <w:ilvl w:val="1"/>
          <w:numId w:val="19"/>
        </w:numPr>
        <w:spacing w:line="360" w:before="105" w:after="105" w:lineRule="auto"/>
      </w:pPr>
      <w:r>
        <w:rPr>
          <w:rFonts w:eastAsia="source serif 4" w:cs="source serif 4" w:ascii="source serif 4" w:hAnsi="source serif 4"/>
          <w:color w:val="000000"/>
          <w:sz w:val="21"/>
        </w:rPr>
        <w:t xml:space="preserve">Réduction dimensionnelle adaptée aux types de variables :</w:t>
      </w:r>
    </w:p>
    <w:p>
      <w:pPr>
        <w:numPr>
          <w:ilvl w:val="2"/>
          <w:numId w:val="19"/>
        </w:numPr>
        <w:spacing w:line="360" w:before="105" w:after="105" w:lineRule="auto"/>
      </w:pPr>
      <w:r>
        <w:rPr>
          <w:rFonts w:eastAsia="source serif 4" w:cs="source serif 4" w:ascii="source serif 4" w:hAnsi="source serif 4"/>
          <w:color w:val="000000"/>
          <w:sz w:val="21"/>
        </w:rPr>
        <w:t xml:space="preserve">Pour variables majoritairement catégorielles/ binaires : Utiliser Analyse des Correspondances Multiples (ACM) — adapté à vos objectifs.</w:t>
      </w:r>
    </w:p>
    <w:p>
      <w:pPr>
        <w:numPr>
          <w:ilvl w:val="2"/>
          <w:numId w:val="19"/>
        </w:numPr>
        <w:spacing w:line="360" w:before="105" w:after="105" w:lineRule="auto"/>
      </w:pPr>
      <w:r>
        <w:rPr>
          <w:rFonts w:eastAsia="source serif 4" w:cs="source serif 4" w:ascii="source serif 4" w:hAnsi="source serif 4"/>
          <w:color w:val="000000"/>
          <w:sz w:val="21"/>
        </w:rPr>
        <w:t xml:space="preserve">Pour variables continues (consommation per capita, superficie) : standardiser et inclure par PCA, ou discretiser et inclure dans ACM.</w:t>
      </w:r>
    </w:p>
    <w:p>
      <w:pPr>
        <w:numPr>
          <w:ilvl w:val="2"/>
          <w:numId w:val="19"/>
        </w:numPr>
        <w:spacing w:line="360" w:before="105" w:after="105" w:lineRule="auto"/>
      </w:pPr>
      <w:r>
        <w:rPr>
          <w:rFonts w:eastAsia="source serif 4" w:cs="source serif 4" w:ascii="source serif 4" w:hAnsi="source serif 4"/>
          <w:color w:val="000000"/>
          <w:sz w:val="21"/>
        </w:rPr>
        <w:t xml:space="preserve">Alternative : combiner résultat ACM (axes principaux) et PCA axes via concaténation puis clustering.</w:t>
      </w:r>
    </w:p>
    <w:p>
      <w:pPr>
        <w:numPr>
          <w:ilvl w:val="1"/>
          <w:numId w:val="19"/>
        </w:numPr>
        <w:spacing w:line="360" w:before="105" w:after="105" w:lineRule="auto"/>
      </w:pPr>
      <w:r>
        <w:rPr>
          <w:rFonts w:eastAsia="source serif 4" w:cs="source serif 4" w:ascii="source serif 4" w:hAnsi="source serif 4"/>
          <w:color w:val="000000"/>
          <w:sz w:val="21"/>
        </w:rPr>
        <w:t xml:space="preserve">Clustering : appliquer plusieurs méthodes (k‑means sur axes continus, partitioning around medoids (PAM), clustering hiérarchique avec linkage Ward) ; choisir k via gap statistic, silhouette, stability bootstrap. Tenir compte poids d’enquête lors de calcul distances (ou poststratifier clusters).</w:t>
      </w:r>
    </w:p>
    <w:p>
      <w:pPr>
        <w:numPr>
          <w:ilvl w:val="1"/>
          <w:numId w:val="19"/>
        </w:numPr>
        <w:spacing w:line="360" w:before="105" w:after="105" w:lineRule="auto"/>
      </w:pPr>
      <w:r>
        <w:rPr>
          <w:rFonts w:eastAsia="source serif 4" w:cs="source serif 4" w:ascii="source serif 4" w:hAnsi="source serif 4"/>
          <w:color w:val="000000"/>
          <w:sz w:val="21"/>
        </w:rPr>
        <w:t xml:space="preserve">Validation : internes (silhouette, within‑cluster sum of squares), externes (corrélation clusters avec pcexp, zref, sécurité alimentaire), robustness (various k, methods), et interprétabilité (profils moyens par cluster).</w:t>
      </w:r>
    </w:p>
    <w:p>
      <w:pPr>
        <w:numPr>
          <w:ilvl w:val="1"/>
          <w:numId w:val="19"/>
        </w:numPr>
        <w:spacing w:line="360" w:before="105" w:after="105" w:lineRule="auto"/>
      </w:pPr>
      <w:r>
        <w:rPr>
          <w:rFonts w:eastAsia="source serif 4" w:cs="source serif 4" w:ascii="source serif 4" w:hAnsi="source serif 4"/>
          <w:color w:val="000000"/>
          <w:sz w:val="21"/>
        </w:rPr>
        <w:t xml:space="preserve">Nommage et interprétation : labelliser profils (résilient, faible vulnérabilité, modérée, élevée, chronique) selon règles transparentes (ex : cluster avec dtot&gt;1.25*zref + faible exposition = résilient).</w:t>
      </w:r>
    </w:p>
    <w:p>
      <w:pPr>
        <w:numPr>
          <w:ilvl w:val="1"/>
          <w:numId w:val="19"/>
        </w:numPr>
        <w:spacing w:line="360" w:before="105" w:after="105" w:lineRule="auto"/>
      </w:pPr>
      <w:r>
        <w:rPr>
          <w:rFonts w:eastAsia="source serif 4" w:cs="source serif 4" w:ascii="source serif 4" w:hAnsi="source serif 4"/>
          <w:color w:val="000000"/>
          <w:sz w:val="21"/>
        </w:rPr>
        <w:t xml:space="preserve">Analyse spatiale et politique : cartographier prévalence par region/grappe, évaluer ciblage programmes.</w:t>
      </w:r>
    </w:p>
    <w:p>
      <w:pPr>
        <w:numPr>
          <w:ilvl w:val="0"/>
          <w:numId w:val="19"/>
        </w:numPr>
        <w:spacing w:line="360" w:before="105" w:after="105" w:lineRule="auto"/>
      </w:pPr>
      <w:r>
        <w:rPr>
          <w:rFonts w:eastAsia="source serif 4" w:cs="source serif 4" w:ascii="source serif 4" w:hAnsi="source serif 4"/>
          <w:color w:val="000000"/>
          <w:sz w:val="21"/>
        </w:rPr>
        <w:t xml:space="preserve">Mesure ex ante (vulnérabilité probabiliste) complémentaire :</w:t>
      </w:r>
    </w:p>
    <w:p>
      <w:pPr>
        <w:numPr>
          <w:ilvl w:val="1"/>
          <w:numId w:val="19"/>
        </w:numPr>
        <w:spacing w:line="360" w:before="105" w:after="105" w:lineRule="auto"/>
      </w:pPr>
      <w:r>
        <w:rPr>
          <w:rFonts w:eastAsia="source serif 4" w:cs="source serif 4" w:ascii="source serif 4" w:hAnsi="source serif 4"/>
          <w:color w:val="000000"/>
          <w:sz w:val="21"/>
        </w:rPr>
        <w:t xml:space="preserve">Estimer VEP (E[pov_{t+1}]) via modèles économétriques (e.g., log consumption regressions, estimate variance of shocks) pour produire risque de basculement, et l’ajouter comme variable dans typologie ou comme critère de classement.</w:t>
      </w:r>
    </w:p>
    <w:p>
      <w:pPr>
        <w:numPr>
          <w:ilvl w:val="0"/>
          <w:numId w:val="19"/>
        </w:numPr>
        <w:spacing w:line="360" w:before="105" w:after="105" w:lineRule="auto"/>
      </w:pPr>
      <w:r>
        <w:rPr>
          <w:rFonts w:eastAsia="source serif 4" w:cs="source serif 4" w:ascii="source serif 4" w:hAnsi="source serif 4"/>
          <w:color w:val="000000"/>
          <w:sz w:val="21"/>
        </w:rPr>
        <w:t xml:space="preserve">Mesure résilience :</w:t>
      </w:r>
    </w:p>
    <w:p>
      <w:pPr>
        <w:numPr>
          <w:ilvl w:val="1"/>
          <w:numId w:val="19"/>
        </w:numPr>
        <w:spacing w:line="360" w:before="105" w:after="105" w:lineRule="auto"/>
      </w:pPr>
      <w:r>
        <w:rPr>
          <w:rFonts w:eastAsia="source serif 4" w:cs="source serif 4" w:ascii="source serif 4" w:hAnsi="source serif 4"/>
          <w:color w:val="000000"/>
          <w:sz w:val="21"/>
        </w:rPr>
        <w:t xml:space="preserve">Construire indices proxies (diversification des revenus, assets liquidables, accès aux services, banques) ; combiner dans score résilience.</w:t>
      </w:r>
    </w:p>
    <w:p>
      <w:pPr>
        <w:numPr>
          <w:ilvl w:val="0"/>
          <w:numId w:val="20"/>
        </w:numPr>
        <w:spacing w:line="360" w:before="105" w:after="105" w:lineRule="auto"/>
      </w:pPr>
      <w:r>
        <w:rPr>
          <w:rFonts w:eastAsia="source serif 4" w:cs="source serif 4" w:ascii="source serif 4" w:hAnsi="source serif 4"/>
          <w:color w:val="000000"/>
          <w:sz w:val="21"/>
        </w:rPr>
        <w:t xml:space="preserve">Méthodologie pratique recommandée (pipeline détaillé rapide)</w:t>
      </w:r>
    </w:p>
    <w:p>
      <w:pPr>
        <w:numPr>
          <w:ilvl w:val="0"/>
          <w:numId w:val="21"/>
        </w:numPr>
        <w:spacing w:line="360" w:before="105" w:after="105" w:lineRule="auto"/>
      </w:pPr>
      <w:r>
        <w:rPr>
          <w:rFonts w:eastAsia="source serif 4" w:cs="source serif 4" w:ascii="source serif 4" w:hAnsi="source serif 4"/>
          <w:color w:val="000000"/>
          <w:sz w:val="21"/>
        </w:rPr>
        <w:t xml:space="preserve">Sélection variables (voir tableau).</w:t>
      </w:r>
    </w:p>
    <w:p>
      <w:pPr>
        <w:numPr>
          <w:ilvl w:val="0"/>
          <w:numId w:val="21"/>
        </w:numPr>
        <w:spacing w:line="360" w:before="105" w:after="105" w:lineRule="auto"/>
      </w:pPr>
      <w:r>
        <w:rPr>
          <w:rFonts w:eastAsia="source serif 4" w:cs="source serif 4" w:ascii="source serif 4" w:hAnsi="source serif 4"/>
          <w:color w:val="000000"/>
          <w:sz w:val="21"/>
        </w:rPr>
        <w:t xml:space="preserve">Traitement : imputation ponctuelle, création d’indicateurs binaires/ cat.</w:t>
      </w:r>
    </w:p>
    <w:p>
      <w:pPr>
        <w:numPr>
          <w:ilvl w:val="0"/>
          <w:numId w:val="21"/>
        </w:numPr>
        <w:spacing w:line="360" w:before="105" w:after="105" w:lineRule="auto"/>
      </w:pPr>
      <w:r>
        <w:rPr>
          <w:rFonts w:eastAsia="source serif 4" w:cs="source serif 4" w:ascii="source serif 4" w:hAnsi="source serif 4"/>
          <w:color w:val="000000"/>
          <w:sz w:val="21"/>
        </w:rPr>
        <w:t xml:space="preserve">Réduction dimensions : ACM (package FactoMineR / CA / ade4), garder axes cumulant ~60–80% inertie utile (pragmatique).</w:t>
      </w:r>
    </w:p>
    <w:p>
      <w:pPr>
        <w:numPr>
          <w:ilvl w:val="0"/>
          <w:numId w:val="21"/>
        </w:numPr>
        <w:spacing w:line="360" w:before="105" w:after="105" w:lineRule="auto"/>
      </w:pPr>
      <w:r>
        <w:rPr>
          <w:rFonts w:eastAsia="source serif 4" w:cs="source serif 4" w:ascii="source serif 4" w:hAnsi="source serif 4"/>
          <w:color w:val="000000"/>
          <w:sz w:val="21"/>
        </w:rPr>
        <w:t xml:space="preserve">Clustering : standardiser axes, essayer kmeans, PAM, hierarchical(Ward), déterminer k par gap statistic, silhouette, bootstrap.</w:t>
      </w:r>
    </w:p>
    <w:p>
      <w:pPr>
        <w:numPr>
          <w:ilvl w:val="0"/>
          <w:numId w:val="21"/>
        </w:numPr>
        <w:spacing w:line="360" w:before="105" w:after="105" w:lineRule="auto"/>
      </w:pPr>
      <w:r>
        <w:rPr>
          <w:rFonts w:eastAsia="source serif 4" w:cs="source serif 4" w:ascii="source serif 4" w:hAnsi="source serif 4"/>
          <w:color w:val="000000"/>
          <w:sz w:val="21"/>
        </w:rPr>
        <w:t xml:space="preserve">Post‑hoc : profiler clusters (moyennes, part de ménages pauvre, food share, exposition chocs), tests statistiques (chi2, ANOVA) pour différences.</w:t>
      </w:r>
    </w:p>
    <w:p>
      <w:pPr>
        <w:numPr>
          <w:ilvl w:val="0"/>
          <w:numId w:val="21"/>
        </w:numPr>
        <w:spacing w:line="360" w:before="105" w:after="105" w:lineRule="auto"/>
      </w:pPr>
      <w:r>
        <w:rPr>
          <w:rFonts w:eastAsia="source serif 4" w:cs="source serif 4" w:ascii="source serif 4" w:hAnsi="source serif 4"/>
          <w:color w:val="000000"/>
          <w:sz w:val="21"/>
        </w:rPr>
        <w:t xml:space="preserve">Robustesse : sensibilité à pondérations (use hhweight), imputations, découpage variables.</w:t>
      </w:r>
    </w:p>
    <w:p>
      <w:pPr>
        <w:numPr>
          <w:ilvl w:val="0"/>
          <w:numId w:val="21"/>
        </w:numPr>
        <w:spacing w:line="360" w:before="105" w:after="105" w:lineRule="auto"/>
      </w:pPr>
      <w:r>
        <w:rPr>
          <w:rFonts w:eastAsia="source serif 4" w:cs="source serif 4" w:ascii="source serif 4" w:hAnsi="source serif 4"/>
          <w:color w:val="000000"/>
          <w:sz w:val="21"/>
        </w:rPr>
        <w:t xml:space="preserve">Visualisations : biplot ACM axes, dendrogramme, cartes régionales, heatmap des indicateurs par cluster, distribution consommation par cluster, spider/radar charts résilience dimensions.</w:t>
      </w:r>
    </w:p>
    <w:p>
      <w:pPr>
        <w:numPr>
          <w:ilvl w:val="0"/>
          <w:numId w:val="22"/>
        </w:numPr>
        <w:spacing w:line="360" w:before="105" w:after="105" w:lineRule="auto"/>
      </w:pPr>
      <w:r>
        <w:rPr>
          <w:rFonts w:eastAsia="source serif 4" w:cs="source serif 4" w:ascii="source serif 4" w:hAnsi="source serif 4"/>
          <w:color w:val="000000"/>
          <w:sz w:val="21"/>
        </w:rPr>
        <w:t xml:space="preserve">Profils types et critères de classification (exemples de règles opérationnelles)</w:t>
      </w:r>
    </w:p>
    <w:p>
      <w:pPr>
        <w:numPr>
          <w:ilvl w:val="0"/>
          <w:numId w:val="23"/>
        </w:numPr>
        <w:spacing w:line="360" w:before="105" w:after="105" w:lineRule="auto"/>
      </w:pPr>
      <w:r>
        <w:rPr>
          <w:rFonts w:eastAsia="source serif 4" w:cs="source serif 4" w:ascii="source serif 4" w:hAnsi="source serif 4"/>
          <w:color w:val="000000"/>
          <w:sz w:val="21"/>
        </w:rPr>
        <w:t xml:space="preserve">Ménages « résilients » : dtot/adult &gt; 1.5*zref, faibles chocs signalés, actifs productifs (superf &gt; X, bétail), diversification revenus, accès services (électricité, eau), bank=1.</w:t>
      </w:r>
    </w:p>
    <w:p>
      <w:pPr>
        <w:numPr>
          <w:ilvl w:val="0"/>
          <w:numId w:val="23"/>
        </w:numPr>
        <w:spacing w:line="360" w:before="105" w:after="105" w:lineRule="auto"/>
      </w:pPr>
      <w:r>
        <w:rPr>
          <w:rFonts w:eastAsia="source serif 4" w:cs="source serif 4" w:ascii="source serif 4" w:hAnsi="source serif 4"/>
          <w:color w:val="000000"/>
          <w:sz w:val="21"/>
        </w:rPr>
        <w:t xml:space="preserve">Vulnérabilité faible : consommation &gt; zref, faible exposition mais actifs limités.</w:t>
      </w:r>
    </w:p>
    <w:p>
      <w:pPr>
        <w:numPr>
          <w:ilvl w:val="0"/>
          <w:numId w:val="23"/>
        </w:numPr>
        <w:spacing w:line="360" w:before="105" w:after="105" w:lineRule="auto"/>
      </w:pPr>
      <w:r>
        <w:rPr>
          <w:rFonts w:eastAsia="source serif 4" w:cs="source serif 4" w:ascii="source serif 4" w:hAnsi="source serif 4"/>
          <w:color w:val="000000"/>
          <w:sz w:val="21"/>
        </w:rPr>
        <w:t xml:space="preserve">Vulnérabilité modérée : consommation proche du seuil (0.75–1.25*zref), chocs récents sporadiques, vente occasionnelle d’actifs.</w:t>
      </w:r>
    </w:p>
    <w:p>
      <w:pPr>
        <w:numPr>
          <w:ilvl w:val="0"/>
          <w:numId w:val="23"/>
        </w:numPr>
        <w:spacing w:line="360" w:before="105" w:after="105" w:lineRule="auto"/>
      </w:pPr>
      <w:r>
        <w:rPr>
          <w:rFonts w:eastAsia="source serif 4" w:cs="source serif 4" w:ascii="source serif 4" w:hAnsi="source serif 4"/>
          <w:color w:val="000000"/>
          <w:sz w:val="21"/>
        </w:rPr>
        <w:t xml:space="preserve">Vulnérabilité élevée : dtot &lt; zref, forte exposition (sh_co_natu=1 ou sh_co_eco=1), faibles actifs, sécur. alimentaire instable.</w:t>
      </w:r>
    </w:p>
    <w:p>
      <w:pPr>
        <w:numPr>
          <w:ilvl w:val="0"/>
          <w:numId w:val="23"/>
        </w:numPr>
        <w:spacing w:line="360" w:before="105" w:after="105" w:lineRule="auto"/>
      </w:pPr>
      <w:r>
        <w:rPr>
          <w:rFonts w:eastAsia="source serif 4" w:cs="source serif 4" w:ascii="source serif 4" w:hAnsi="source serif 4"/>
          <w:color w:val="000000"/>
          <w:sz w:val="21"/>
        </w:rPr>
        <w:t xml:space="preserve">Vulnérabilité chronique : dtot &lt;&lt; zref, taille mén large, faible capital humain, santé/maladie récurrente, peu de diversification.</w:t>
      </w:r>
    </w:p>
    <w:p>
      <w:pPr>
        <w:numPr>
          <w:ilvl w:val="0"/>
          <w:numId w:val="23"/>
        </w:numPr>
        <w:spacing w:line="360" w:before="105" w:after="105" w:lineRule="auto"/>
      </w:pPr>
      <w:r>
        <w:rPr>
          <w:rFonts w:eastAsia="source serif 4" w:cs="source serif 4" w:ascii="source serif 4" w:hAnsi="source serif 4"/>
          <w:color w:val="000000"/>
          <w:sz w:val="21"/>
        </w:rPr>
        <w:t xml:space="preserve">Autres catégories observées : « urbain non‑poor but food insecure » ; « pastoraux exposés » ; « migrants-receiver ».</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(Choisir seuils empiriques selon distribution dtot, pcexp et zref.)</w:t>
      </w:r>
    </w:p>
    <w:p>
      <w:pPr>
        <w:numPr>
          <w:ilvl w:val="0"/>
          <w:numId w:val="24"/>
        </w:numPr>
        <w:spacing w:line="360" w:before="105" w:after="105" w:lineRule="auto"/>
      </w:pPr>
      <w:r>
        <w:rPr>
          <w:rFonts w:eastAsia="source serif 4" w:cs="source serif 4" w:ascii="source serif 4" w:hAnsi="source serif 4"/>
          <w:color w:val="000000"/>
          <w:sz w:val="21"/>
        </w:rPr>
        <w:t xml:space="preserve">Narratifs scientifiques pour un concours de poster (5 angles)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Je propose pour chaque angle : titre potentiel, question centrale, principaux résultats attendus, visualisations, message final aux décideurs.</w:t>
      </w:r>
    </w:p>
    <w:p>
      <w:pPr>
        <w:spacing w:line="360" w:after="210" w:lineRule="auto"/>
      </w:pPr>
      <w:r>
        <w:rPr>
          <w:rFonts w:eastAsia="source serif 4" w:cs="source serif 4" w:ascii="source serif 4" w:hAnsi="source serif 4"/>
          <w:color w:val="000000"/>
        </w:rPr>
        <w:t xml:space="preserve">Angle politique publique</w:t>
      </w:r>
    </w:p>
    <w:p>
      <w:pPr>
        <w:numPr>
          <w:ilvl w:val="0"/>
          <w:numId w:val="25"/>
        </w:numPr>
        <w:spacing w:line="360" w:before="105" w:after="105" w:lineRule="auto"/>
      </w:pPr>
      <w:r>
        <w:rPr>
          <w:rFonts w:eastAsia="source serif 4" w:cs="source serif 4" w:ascii="source serif 4" w:hAnsi="source serif 4"/>
          <w:color w:val="000000"/>
          <w:sz w:val="21"/>
        </w:rPr>
        <w:t xml:space="preserve">Titre potentiel : “Cibler l’aide au Sénégal : typologies multidimensionnelles pour un meilleur ciblage des filets sociaux”</w:t>
      </w:r>
    </w:p>
    <w:p>
      <w:pPr>
        <w:numPr>
          <w:ilvl w:val="0"/>
          <w:numId w:val="25"/>
        </w:numPr>
        <w:spacing w:line="360" w:before="105" w:after="105" w:lineRule="auto"/>
      </w:pPr>
      <w:r>
        <w:rPr>
          <w:rFonts w:eastAsia="source serif 4" w:cs="source serif 4" w:ascii="source serif 4" w:hAnsi="source serif 4"/>
          <w:color w:val="000000"/>
          <w:sz w:val="21"/>
        </w:rPr>
        <w:t xml:space="preserve">Question centrale : Quels types de ménages sont les plus susceptibles de basculer en pauvreté et comment prioriser l’action publique ?</w:t>
      </w:r>
    </w:p>
    <w:p>
      <w:pPr>
        <w:numPr>
          <w:ilvl w:val="0"/>
          <w:numId w:val="25"/>
        </w:numPr>
        <w:spacing w:line="360" w:before="105" w:after="105" w:lineRule="auto"/>
      </w:pPr>
      <w:r>
        <w:rPr>
          <w:rFonts w:eastAsia="source serif 4" w:cs="source serif 4" w:ascii="source serif 4" w:hAnsi="source serif 4"/>
          <w:color w:val="000000"/>
          <w:sz w:val="21"/>
        </w:rPr>
        <w:t xml:space="preserve">Résultats attendus : identification de clusters à forte probabilité de basculement (vulnérabilité élevée &amp; exposition), cartes régionales de concentration, évaluation capacité cible actuelle couvre (ex : % pauvres non couverts).</w:t>
      </w:r>
    </w:p>
    <w:p>
      <w:pPr>
        <w:numPr>
          <w:ilvl w:val="0"/>
          <w:numId w:val="25"/>
        </w:numPr>
        <w:spacing w:line="360" w:before="105" w:after="105" w:lineRule="auto"/>
      </w:pPr>
      <w:r>
        <w:rPr>
          <w:rFonts w:eastAsia="source serif 4" w:cs="source serif 4" w:ascii="source serif 4" w:hAnsi="source serif 4"/>
          <w:color w:val="000000"/>
          <w:sz w:val="21"/>
        </w:rPr>
        <w:t xml:space="preserve">Visualisations : carte choroplèthe régionale des parts de ménages vulnérables; heatmap variables par cluster; barres part de bénéficiaires actuels vs besoin.</w:t>
      </w:r>
    </w:p>
    <w:p>
      <w:pPr>
        <w:numPr>
          <w:ilvl w:val="0"/>
          <w:numId w:val="25"/>
        </w:numPr>
        <w:spacing w:line="360" w:before="105" w:after="105" w:lineRule="auto"/>
      </w:pPr>
      <w:r>
        <w:rPr>
          <w:rFonts w:eastAsia="source serif 4" w:cs="source serif 4" w:ascii="source serif 4" w:hAnsi="source serif 4"/>
          <w:color w:val="000000"/>
          <w:sz w:val="21"/>
        </w:rPr>
        <w:t xml:space="preserve">Message final : cibler au-delà du revenu — inclure indicateurs d’exposition et actifs pour améliorer efficacité des transferts.</w:t>
      </w:r>
    </w:p>
    <w:p>
      <w:pPr>
        <w:spacing w:line="360" w:after="210" w:lineRule="auto"/>
      </w:pPr>
      <w:r>
        <w:rPr>
          <w:rFonts w:eastAsia="source serif 4" w:cs="source serif 4" w:ascii="source serif 4" w:hAnsi="source serif 4"/>
          <w:color w:val="000000"/>
        </w:rPr>
        <w:t xml:space="preserve">Angle sécurité alimentaire</w:t>
      </w:r>
    </w:p>
    <w:p>
      <w:pPr>
        <w:numPr>
          <w:ilvl w:val="0"/>
          <w:numId w:val="26"/>
        </w:numPr>
        <w:spacing w:line="360" w:before="105" w:after="105" w:lineRule="auto"/>
      </w:pPr>
      <w:r>
        <w:rPr>
          <w:rFonts w:eastAsia="source serif 4" w:cs="source serif 4" w:ascii="source serif 4" w:hAnsi="source serif 4"/>
          <w:color w:val="000000"/>
          <w:sz w:val="21"/>
        </w:rPr>
        <w:t xml:space="preserve">Titre potentiel : “Qui est food insecure au Sénégal ? Une typologie multidimensionnelle basée sur l’EHCVM 2021”</w:t>
      </w:r>
    </w:p>
    <w:p>
      <w:pPr>
        <w:numPr>
          <w:ilvl w:val="0"/>
          <w:numId w:val="26"/>
        </w:numPr>
        <w:spacing w:line="360" w:before="105" w:after="105" w:lineRule="auto"/>
      </w:pPr>
      <w:r>
        <w:rPr>
          <w:rFonts w:eastAsia="source serif 4" w:cs="source serif 4" w:ascii="source serif 4" w:hAnsi="source serif 4"/>
          <w:color w:val="000000"/>
          <w:sz w:val="21"/>
        </w:rPr>
        <w:t xml:space="preserve">Question centrale : Comment les formes de vulnérabilité multidimensionnelle expliquent la sécurité alimentaire ?</w:t>
      </w:r>
    </w:p>
    <w:p>
      <w:pPr>
        <w:numPr>
          <w:ilvl w:val="0"/>
          <w:numId w:val="26"/>
        </w:numPr>
        <w:spacing w:line="360" w:before="105" w:after="105" w:lineRule="auto"/>
      </w:pPr>
      <w:r>
        <w:rPr>
          <w:rFonts w:eastAsia="source serif 4" w:cs="source serif 4" w:ascii="source serif 4" w:hAnsi="source serif 4"/>
          <w:color w:val="000000"/>
          <w:sz w:val="21"/>
        </w:rPr>
        <w:t xml:space="preserve">Résultats attendus : clusters fortement corrélés à scores FCS/rCSI et share_food; identification de ménages urbains non‑pauvres mais food insecure.</w:t>
      </w:r>
    </w:p>
    <w:p>
      <w:pPr>
        <w:numPr>
          <w:ilvl w:val="0"/>
          <w:numId w:val="26"/>
        </w:numPr>
        <w:spacing w:line="360" w:before="105" w:after="105" w:lineRule="auto"/>
      </w:pPr>
      <w:r>
        <w:rPr>
          <w:rFonts w:eastAsia="source serif 4" w:cs="source serif 4" w:ascii="source serif 4" w:hAnsi="source serif 4"/>
          <w:color w:val="000000"/>
          <w:sz w:val="21"/>
        </w:rPr>
        <w:t xml:space="preserve">Visualisations : boxplots consommation alimentaire par cluster; radar chart des facteurs (actifs, exposition, capital humain) pour clusters food insecure; carte.</w:t>
      </w:r>
    </w:p>
    <w:p>
      <w:pPr>
        <w:numPr>
          <w:ilvl w:val="0"/>
          <w:numId w:val="26"/>
        </w:numPr>
        <w:spacing w:line="360" w:before="105" w:after="105" w:lineRule="auto"/>
      </w:pPr>
      <w:r>
        <w:rPr>
          <w:rFonts w:eastAsia="source serif 4" w:cs="source serif 4" w:ascii="source serif 4" w:hAnsi="source serif 4"/>
          <w:color w:val="000000"/>
          <w:sz w:val="21"/>
        </w:rPr>
        <w:t xml:space="preserve">Message final : interventions nutritionnelles doivent prendre en compte exposition saisonnière et accès services, pas seulement le revenu.</w:t>
      </w:r>
    </w:p>
    <w:p>
      <w:pPr>
        <w:spacing w:line="360" w:after="210" w:lineRule="auto"/>
      </w:pPr>
      <w:r>
        <w:rPr>
          <w:rFonts w:eastAsia="source serif 4" w:cs="source serif 4" w:ascii="source serif 4" w:hAnsi="source serif 4"/>
          <w:color w:val="000000"/>
        </w:rPr>
        <w:t xml:space="preserve">Angle résilience</w:t>
      </w:r>
    </w:p>
    <w:p>
      <w:pPr>
        <w:numPr>
          <w:ilvl w:val="0"/>
          <w:numId w:val="27"/>
        </w:numPr>
        <w:spacing w:line="360" w:before="105" w:after="105" w:lineRule="auto"/>
      </w:pPr>
      <w:r>
        <w:rPr>
          <w:rFonts w:eastAsia="source serif 4" w:cs="source serif 4" w:ascii="source serif 4" w:hAnsi="source serif 4"/>
          <w:color w:val="000000"/>
          <w:sz w:val="21"/>
        </w:rPr>
        <w:t xml:space="preserve">Titre potentiel : “Mesurer la résilience des ménages : vers une carte des capacités d’absorption au Sénégal”</w:t>
      </w:r>
    </w:p>
    <w:p>
      <w:pPr>
        <w:numPr>
          <w:ilvl w:val="0"/>
          <w:numId w:val="27"/>
        </w:numPr>
        <w:spacing w:line="360" w:before="105" w:after="105" w:lineRule="auto"/>
      </w:pPr>
      <w:r>
        <w:rPr>
          <w:rFonts w:eastAsia="source serif 4" w:cs="source serif 4" w:ascii="source serif 4" w:hAnsi="source serif 4"/>
          <w:color w:val="000000"/>
          <w:sz w:val="21"/>
        </w:rPr>
        <w:t xml:space="preserve">Question centrale : Quels ménages ont les capacités d’absorption et d’adaptation face aux chocs climatiques et économiques ?</w:t>
      </w:r>
    </w:p>
    <w:p>
      <w:pPr>
        <w:numPr>
          <w:ilvl w:val="0"/>
          <w:numId w:val="27"/>
        </w:numPr>
        <w:spacing w:line="360" w:before="105" w:after="105" w:lineRule="auto"/>
      </w:pPr>
      <w:r>
        <w:rPr>
          <w:rFonts w:eastAsia="source serif 4" w:cs="source serif 4" w:ascii="source serif 4" w:hAnsi="source serif 4"/>
          <w:color w:val="000000"/>
          <w:sz w:val="21"/>
        </w:rPr>
        <w:t xml:space="preserve">Résultats attendus : construction d’indice résilience composite, gradient entre résilients et chronically vulnerable ; politiques recommandées (accès crédit, assurances climatiques).</w:t>
      </w:r>
    </w:p>
    <w:p>
      <w:pPr>
        <w:numPr>
          <w:ilvl w:val="0"/>
          <w:numId w:val="27"/>
        </w:numPr>
        <w:spacing w:line="360" w:before="105" w:after="105" w:lineRule="auto"/>
      </w:pPr>
      <w:r>
        <w:rPr>
          <w:rFonts w:eastAsia="source serif 4" w:cs="source serif 4" w:ascii="source serif 4" w:hAnsi="source serif 4"/>
          <w:color w:val="000000"/>
          <w:sz w:val="21"/>
        </w:rPr>
        <w:t xml:space="preserve">Visualisations : index résilience distribution by cluster; scatter pcexp vs resilience index; case study spider plots.</w:t>
      </w:r>
    </w:p>
    <w:p>
      <w:pPr>
        <w:numPr>
          <w:ilvl w:val="0"/>
          <w:numId w:val="27"/>
        </w:numPr>
        <w:spacing w:line="360" w:before="105" w:after="105" w:lineRule="auto"/>
      </w:pPr>
      <w:r>
        <w:rPr>
          <w:rFonts w:eastAsia="source serif 4" w:cs="source serif 4" w:ascii="source serif 4" w:hAnsi="source serif 4"/>
          <w:color w:val="000000"/>
          <w:sz w:val="21"/>
        </w:rPr>
        <w:t xml:space="preserve">Message final : renforcer actifs productifs et systèmes financiers locaux pour améliorer résilience.</w:t>
      </w:r>
    </w:p>
    <w:p>
      <w:pPr>
        <w:spacing w:line="360" w:after="210" w:lineRule="auto"/>
      </w:pPr>
      <w:r>
        <w:rPr>
          <w:rFonts w:eastAsia="source serif 4" w:cs="source serif 4" w:ascii="source serif 4" w:hAnsi="source serif 4"/>
          <w:color w:val="000000"/>
        </w:rPr>
        <w:t xml:space="preserve">Angle agriculture</w:t>
      </w:r>
    </w:p>
    <w:p>
      <w:pPr>
        <w:numPr>
          <w:ilvl w:val="0"/>
          <w:numId w:val="28"/>
        </w:numPr>
        <w:spacing w:line="360" w:before="105" w:after="105" w:lineRule="auto"/>
      </w:pPr>
      <w:r>
        <w:rPr>
          <w:rFonts w:eastAsia="source serif 4" w:cs="source serif 4" w:ascii="source serif 4" w:hAnsi="source serif 4"/>
          <w:color w:val="000000"/>
          <w:sz w:val="21"/>
        </w:rPr>
        <w:t xml:space="preserve">Titre potentiel : “Systèmes de production et vulnérabilité : comment l’agriculture détermine les trajectoires des ménages ruraux”</w:t>
      </w:r>
    </w:p>
    <w:p>
      <w:pPr>
        <w:numPr>
          <w:ilvl w:val="0"/>
          <w:numId w:val="28"/>
        </w:numPr>
        <w:spacing w:line="360" w:before="105" w:after="105" w:lineRule="auto"/>
      </w:pPr>
      <w:r>
        <w:rPr>
          <w:rFonts w:eastAsia="source serif 4" w:cs="source serif 4" w:ascii="source serif 4" w:hAnsi="source serif 4"/>
          <w:color w:val="000000"/>
          <w:sz w:val="21"/>
        </w:rPr>
        <w:t xml:space="preserve">Question centrale : Quels types d’exploitations agricoles (taille, diversification) sont associés à vulnérabilité élevée ?</w:t>
      </w:r>
    </w:p>
    <w:p>
      <w:pPr>
        <w:numPr>
          <w:ilvl w:val="0"/>
          <w:numId w:val="28"/>
        </w:numPr>
        <w:spacing w:line="360" w:before="105" w:after="105" w:lineRule="auto"/>
      </w:pPr>
      <w:r>
        <w:rPr>
          <w:rFonts w:eastAsia="source serif 4" w:cs="source serif 4" w:ascii="source serif 4" w:hAnsi="source serif 4"/>
          <w:color w:val="000000"/>
          <w:sz w:val="21"/>
        </w:rPr>
        <w:t xml:space="preserve">Résultats attendus : clusters ruraux mono‑culture rainfed plus vulnérables ; superficie faible + peu de bétail = risque élevé.</w:t>
      </w:r>
    </w:p>
    <w:p>
      <w:pPr>
        <w:numPr>
          <w:ilvl w:val="0"/>
          <w:numId w:val="28"/>
        </w:numPr>
        <w:spacing w:line="360" w:before="105" w:after="105" w:lineRule="auto"/>
      </w:pPr>
      <w:r>
        <w:rPr>
          <w:rFonts w:eastAsia="source serif 4" w:cs="source serif 4" w:ascii="source serif 4" w:hAnsi="source serif 4"/>
          <w:color w:val="000000"/>
          <w:sz w:val="21"/>
        </w:rPr>
        <w:t xml:space="preserve">Visualisations : cluster map pour rural; boxplots superf, bétail par cluster; trajectoire schématique.</w:t>
      </w:r>
    </w:p>
    <w:p>
      <w:pPr>
        <w:numPr>
          <w:ilvl w:val="0"/>
          <w:numId w:val="28"/>
        </w:numPr>
        <w:spacing w:line="360" w:before="105" w:after="105" w:lineRule="auto"/>
      </w:pPr>
      <w:r>
        <w:rPr>
          <w:rFonts w:eastAsia="source serif 4" w:cs="source serif 4" w:ascii="source serif 4" w:hAnsi="source serif 4"/>
          <w:color w:val="000000"/>
          <w:sz w:val="21"/>
        </w:rPr>
        <w:t xml:space="preserve">Message final : politiques agricoles doivent promouvoir diversification, stockage, assurances et accès marché.</w:t>
      </w:r>
    </w:p>
    <w:p>
      <w:pPr>
        <w:spacing w:line="360" w:after="210" w:lineRule="auto"/>
      </w:pPr>
      <w:r>
        <w:rPr>
          <w:rFonts w:eastAsia="source serif 4" w:cs="source serif 4" w:ascii="source serif 4" w:hAnsi="source serif 4"/>
          <w:color w:val="000000"/>
        </w:rPr>
        <w:t xml:space="preserve">Angle inégalités territoriales</w:t>
      </w:r>
    </w:p>
    <w:p>
      <w:pPr>
        <w:numPr>
          <w:ilvl w:val="0"/>
          <w:numId w:val="29"/>
        </w:numPr>
        <w:spacing w:line="360" w:before="105" w:after="105" w:lineRule="auto"/>
      </w:pPr>
      <w:r>
        <w:rPr>
          <w:rFonts w:eastAsia="source serif 4" w:cs="source serif 4" w:ascii="source serif 4" w:hAnsi="source serif 4"/>
          <w:color w:val="000000"/>
          <w:sz w:val="21"/>
        </w:rPr>
        <w:t xml:space="preserve">Titre potentiel : “Territoires et vulnérabilité : cartographie des inégalités au Sénégal selon une typologie multidimensionnelle”</w:t>
      </w:r>
    </w:p>
    <w:p>
      <w:pPr>
        <w:numPr>
          <w:ilvl w:val="0"/>
          <w:numId w:val="29"/>
        </w:numPr>
        <w:spacing w:line="360" w:before="105" w:after="105" w:lineRule="auto"/>
      </w:pPr>
      <w:r>
        <w:rPr>
          <w:rFonts w:eastAsia="source serif 4" w:cs="source serif 4" w:ascii="source serif 4" w:hAnsi="source serif 4"/>
          <w:color w:val="000000"/>
          <w:sz w:val="21"/>
        </w:rPr>
        <w:t xml:space="preserve">Question centrale : Comment la vulnérabilité varie‑t‑elle spatialement et quelles régions nécessitent prioritairement interventions ?</w:t>
      </w:r>
    </w:p>
    <w:p>
      <w:pPr>
        <w:numPr>
          <w:ilvl w:val="0"/>
          <w:numId w:val="29"/>
        </w:numPr>
        <w:spacing w:line="360" w:before="105" w:after="105" w:lineRule="auto"/>
      </w:pPr>
      <w:r>
        <w:rPr>
          <w:rFonts w:eastAsia="source serif 4" w:cs="source serif 4" w:ascii="source serif 4" w:hAnsi="source serif 4"/>
          <w:color w:val="000000"/>
          <w:sz w:val="21"/>
        </w:rPr>
        <w:t xml:space="preserve">Résultats attendus : concentration des ménages chroniquement vulnérables (ex: zones arides Sud‑est?), différences urbain/rural.</w:t>
      </w:r>
    </w:p>
    <w:p>
      <w:pPr>
        <w:numPr>
          <w:ilvl w:val="0"/>
          <w:numId w:val="29"/>
        </w:numPr>
        <w:spacing w:line="360" w:before="105" w:after="105" w:lineRule="auto"/>
      </w:pPr>
      <w:r>
        <w:rPr>
          <w:rFonts w:eastAsia="source serif 4" w:cs="source serif 4" w:ascii="source serif 4" w:hAnsi="source serif 4"/>
          <w:color w:val="000000"/>
          <w:sz w:val="21"/>
        </w:rPr>
        <w:t xml:space="preserve">Visualisations : carte de densité de clusters par région; barres part cluster by region; bubble plot cluster share vs region GDP proxy.</w:t>
      </w:r>
    </w:p>
    <w:p>
      <w:pPr>
        <w:numPr>
          <w:ilvl w:val="0"/>
          <w:numId w:val="29"/>
        </w:numPr>
        <w:spacing w:line="360" w:before="105" w:after="105" w:lineRule="auto"/>
      </w:pPr>
      <w:r>
        <w:rPr>
          <w:rFonts w:eastAsia="source serif 4" w:cs="source serif 4" w:ascii="source serif 4" w:hAnsi="source serif 4"/>
          <w:color w:val="000000"/>
          <w:sz w:val="21"/>
        </w:rPr>
        <w:t xml:space="preserve">Message final : prioriser investissements infrastructurels et services dans régions à forte prévalence de vulnérabilité chronique.</w:t>
      </w:r>
    </w:p>
    <w:p>
      <w:pPr>
        <w:numPr>
          <w:ilvl w:val="0"/>
          <w:numId w:val="30"/>
        </w:numPr>
        <w:spacing w:line="360" w:before="105" w:after="105" w:lineRule="auto"/>
      </w:pPr>
      <w:r>
        <w:rPr>
          <w:rFonts w:eastAsia="source serif 4" w:cs="source serif 4" w:ascii="source serif 4" w:hAnsi="source serif 4"/>
          <w:color w:val="000000"/>
          <w:sz w:val="21"/>
        </w:rPr>
        <w:t xml:space="preserve">Recommandations opérationnelles pour l’analyse EHCVM</w:t>
      </w:r>
    </w:p>
    <w:p>
      <w:pPr>
        <w:numPr>
          <w:ilvl w:val="0"/>
          <w:numId w:val="31"/>
        </w:numPr>
        <w:spacing w:line="360" w:before="105" w:after="105" w:lineRule="auto"/>
      </w:pPr>
      <w:r>
        <w:rPr>
          <w:rFonts w:eastAsia="source serif 4" w:cs="source serif 4" w:ascii="source serif 4" w:hAnsi="source serif 4"/>
          <w:color w:val="000000"/>
          <w:sz w:val="21"/>
        </w:rPr>
        <w:t xml:space="preserve">Utiliser pondérations (hhweight / poids) dès la réduction dimensionnelle et lors du calcul de statistiques par cluster.</w:t>
      </w:r>
    </w:p>
    <w:p>
      <w:pPr>
        <w:numPr>
          <w:ilvl w:val="0"/>
          <w:numId w:val="31"/>
        </w:numPr>
        <w:spacing w:line="360" w:before="105" w:after="105" w:lineRule="auto"/>
      </w:pPr>
      <w:r>
        <w:rPr>
          <w:rFonts w:eastAsia="source serif 4" w:cs="source serif 4" w:ascii="source serif 4" w:hAnsi="source serif 4"/>
          <w:color w:val="000000"/>
          <w:sz w:val="21"/>
        </w:rPr>
        <w:t xml:space="preserve">Favoriser ACM pour variables catégorielles, fusionner avec PCA sur variables continues si nécessaire.</w:t>
      </w:r>
    </w:p>
    <w:p>
      <w:pPr>
        <w:numPr>
          <w:ilvl w:val="0"/>
          <w:numId w:val="31"/>
        </w:numPr>
        <w:spacing w:line="360" w:before="105" w:after="105" w:lineRule="auto"/>
      </w:pPr>
      <w:r>
        <w:rPr>
          <w:rFonts w:eastAsia="source serif 4" w:cs="source serif 4" w:ascii="source serif 4" w:hAnsi="source serif 4"/>
          <w:color w:val="000000"/>
          <w:sz w:val="21"/>
        </w:rPr>
        <w:t xml:space="preserve">Tester inclusion d’un score VEP (estimation econométrique) comme variable additionnelle pour capturer risque ex ante.</w:t>
      </w:r>
    </w:p>
    <w:p>
      <w:pPr>
        <w:numPr>
          <w:ilvl w:val="0"/>
          <w:numId w:val="31"/>
        </w:numPr>
        <w:spacing w:line="360" w:before="105" w:after="105" w:lineRule="auto"/>
      </w:pPr>
      <w:r>
        <w:rPr>
          <w:rFonts w:eastAsia="source serif 4" w:cs="source serif 4" w:ascii="source serif 4" w:hAnsi="source serif 4"/>
          <w:color w:val="000000"/>
          <w:sz w:val="21"/>
        </w:rPr>
        <w:t xml:space="preserve">Documenter et justifier choix de variables et seuils pour labellisation des clusters ; faire sensibilité.</w:t>
      </w:r>
    </w:p>
    <w:p>
      <w:pPr>
        <w:numPr>
          <w:ilvl w:val="0"/>
          <w:numId w:val="31"/>
        </w:numPr>
        <w:spacing w:line="360" w:before="105" w:after="105" w:lineRule="auto"/>
      </w:pPr>
      <w:r>
        <w:rPr>
          <w:rFonts w:eastAsia="source serif 4" w:cs="source serif 4" w:ascii="source serif 4" w:hAnsi="source serif 4"/>
          <w:color w:val="000000"/>
          <w:sz w:val="21"/>
        </w:rPr>
        <w:t xml:space="preserve">Produire outputs reproductibles (R scripts : FactoMineR pour ACM, cluster, fpc, clValid, NbClust, silhouette; cartographie: tmap/ggplot2; prdata weighting via survey package).</w:t>
      </w:r>
    </w:p>
    <w:p>
      <w:pPr>
        <w:numPr>
          <w:ilvl w:val="0"/>
          <w:numId w:val="32"/>
        </w:numPr>
        <w:spacing w:line="360" w:before="105" w:after="105" w:lineRule="auto"/>
      </w:pPr>
      <w:r>
        <w:rPr>
          <w:rFonts w:eastAsia="source serif 4" w:cs="source serif 4" w:ascii="source serif 4" w:hAnsi="source serif 4"/>
          <w:color w:val="000000"/>
          <w:sz w:val="21"/>
        </w:rPr>
        <w:t xml:space="preserve">Références complètes (sélection priorisée)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(Je donne ci‑dessous références complètes essentielles ; je peux fournir un fichier BibTeX sur demande.)</w:t>
      </w:r>
    </w:p>
    <w:p>
      <w:pPr>
        <w:numPr>
          <w:ilvl w:val="0"/>
          <w:numId w:val="33"/>
        </w:numPr>
        <w:spacing w:line="360" w:before="105" w:after="105" w:lineRule="auto"/>
      </w:pPr>
      <w:r>
        <w:rPr>
          <w:rFonts w:eastAsia="source serif 4" w:cs="source serif 4" w:ascii="source serif 4" w:hAnsi="source serif 4"/>
          <w:color w:val="000000"/>
          <w:sz w:val="21"/>
        </w:rPr>
        <w:t xml:space="preserve">Alwang, J., Siegel, P. B., &amp; Jørgensen, S. L. (2001). Vulnerability: A View from Different Disciplines. World Bank Technical Paper No. 211. The World Bank.</w:t>
      </w:r>
    </w:p>
    <w:p>
      <w:pPr>
        <w:numPr>
          <w:ilvl w:val="0"/>
          <w:numId w:val="33"/>
        </w:numPr>
        <w:spacing w:line="360" w:before="105" w:after="105" w:lineRule="auto"/>
      </w:pPr>
      <w:r>
        <w:rPr>
          <w:rFonts w:eastAsia="source serif 4" w:cs="source serif 4" w:ascii="source serif 4" w:hAnsi="source serif 4"/>
          <w:color w:val="000000"/>
          <w:sz w:val="21"/>
        </w:rPr>
        <w:t xml:space="preserve">Barrett, C. B., Reardon, T., &amp; Webb, P. (2001). Nonfarm Income Diversification and Household Livelihood Strategies in Rural Africa: Concepts, Dynamics and Policy Implications. Food Policy, 26(4), 315–331.</w:t>
      </w:r>
    </w:p>
    <w:p>
      <w:pPr>
        <w:numPr>
          <w:ilvl w:val="0"/>
          <w:numId w:val="33"/>
        </w:numPr>
        <w:spacing w:line="360" w:before="105" w:after="105" w:lineRule="auto"/>
      </w:pPr>
      <w:r>
        <w:rPr>
          <w:rFonts w:eastAsia="source serif 4" w:cs="source serif 4" w:ascii="source serif 4" w:hAnsi="source serif 4"/>
          <w:color w:val="000000"/>
          <w:sz w:val="21"/>
        </w:rPr>
        <w:t xml:space="preserve">Chaudhuri, S., Jalan, J., &amp; Suryahadi, A. (2002). Assessing Vulnerability to Poverty: Concepts, Empirical Methods and Illustrative Examples. World Development, 30(3), 499–524. (World Bank Policy Research WP 2307 earlier)</w:t>
      </w:r>
    </w:p>
    <w:p>
      <w:pPr>
        <w:numPr>
          <w:ilvl w:val="0"/>
          <w:numId w:val="33"/>
        </w:numPr>
        <w:spacing w:line="360" w:before="105" w:after="105" w:lineRule="auto"/>
      </w:pPr>
      <w:r>
        <w:rPr>
          <w:rFonts w:eastAsia="source serif 4" w:cs="source serif 4" w:ascii="source serif 4" w:hAnsi="source serif 4"/>
          <w:color w:val="000000"/>
          <w:sz w:val="21"/>
        </w:rPr>
        <w:t xml:space="preserve">Dercon, S. (2004). Growth and shocks: evidence from rural Ethiopia. Journal of Development Economics, 74(2), 309–329. Also: Dercon, S. (2004). “Vulnerability: A Micro Perspective.” Background paper for WDR 2004.</w:t>
      </w:r>
    </w:p>
    <w:p>
      <w:pPr>
        <w:numPr>
          <w:ilvl w:val="0"/>
          <w:numId w:val="33"/>
        </w:numPr>
        <w:spacing w:line="360" w:before="105" w:after="105" w:lineRule="auto"/>
      </w:pPr>
      <w:r>
        <w:rPr>
          <w:rFonts w:eastAsia="source serif 4" w:cs="source serif 4" w:ascii="source serif 4" w:hAnsi="source serif 4"/>
          <w:color w:val="000000"/>
          <w:sz w:val="21"/>
        </w:rPr>
        <w:t xml:space="preserve">Filmer, D., &amp; Pritchett, L. (2001). Estimating Wealth Effects Without Expenditure Data — or Tears: An Application to Educational Enrollments in States of India. Demography, 38(1), 115–132.</w:t>
      </w:r>
    </w:p>
    <w:p>
      <w:pPr>
        <w:numPr>
          <w:ilvl w:val="0"/>
          <w:numId w:val="33"/>
        </w:numPr>
        <w:spacing w:line="360" w:before="105" w:after="105" w:lineRule="auto"/>
      </w:pPr>
      <w:r>
        <w:rPr>
          <w:rFonts w:eastAsia="source serif 4" w:cs="source serif 4" w:ascii="source serif 4" w:hAnsi="source serif 4"/>
          <w:color w:val="000000"/>
          <w:sz w:val="21"/>
        </w:rPr>
        <w:t xml:space="preserve">Greenacre, M. (2007). Correspondence Analysis in Practice. Chapman &amp; Hall/CRC.</w:t>
      </w:r>
    </w:p>
    <w:p>
      <w:pPr>
        <w:numPr>
          <w:ilvl w:val="0"/>
          <w:numId w:val="33"/>
        </w:numPr>
        <w:spacing w:line="360" w:before="105" w:after="105" w:lineRule="auto"/>
      </w:pPr>
      <w:r>
        <w:rPr>
          <w:rFonts w:eastAsia="source serif 4" w:cs="source serif 4" w:ascii="source serif 4" w:hAnsi="source serif 4"/>
          <w:color w:val="000000"/>
          <w:sz w:val="21"/>
        </w:rPr>
        <w:t xml:space="preserve">Hoddinott, J., &amp; Yohannes, Y. (2002). Dietary Diversity as a Food Security Indicator. IFPRI FCND Discussion Paper 136.</w:t>
      </w:r>
    </w:p>
    <w:p>
      <w:pPr>
        <w:numPr>
          <w:ilvl w:val="0"/>
          <w:numId w:val="33"/>
        </w:numPr>
        <w:spacing w:line="360" w:before="105" w:after="105" w:lineRule="auto"/>
      </w:pPr>
      <w:r>
        <w:rPr>
          <w:rFonts w:eastAsia="source serif 4" w:cs="source serif 4" w:ascii="source serif 4" w:hAnsi="source serif 4"/>
          <w:color w:val="000000"/>
          <w:sz w:val="21"/>
        </w:rPr>
        <w:t xml:space="preserve">Ligon, E., &amp; Schechter, L. (2003). Measuring Vulnerability. Economic Journal, 113(486), C95–C102.</w:t>
      </w:r>
    </w:p>
    <w:p>
      <w:pPr>
        <w:numPr>
          <w:ilvl w:val="0"/>
          <w:numId w:val="33"/>
        </w:numPr>
        <w:spacing w:line="360" w:before="105" w:after="105" w:lineRule="auto"/>
      </w:pPr>
      <w:r>
        <w:rPr>
          <w:rFonts w:eastAsia="source serif 4" w:cs="source serif 4" w:ascii="source serif 4" w:hAnsi="source serif 4"/>
          <w:color w:val="000000"/>
          <w:sz w:val="21"/>
        </w:rPr>
        <w:t xml:space="preserve">Maxwell, D., &amp; Caldwell, R. (2008). The Coping Strategies Index: Field Methods Manual. CARE &amp; WFP.</w:t>
      </w:r>
    </w:p>
    <w:p>
      <w:pPr>
        <w:numPr>
          <w:ilvl w:val="0"/>
          <w:numId w:val="33"/>
        </w:numPr>
        <w:spacing w:line="360" w:before="105" w:after="105" w:lineRule="auto"/>
      </w:pPr>
      <w:r>
        <w:rPr>
          <w:rFonts w:eastAsia="source serif 4" w:cs="source serif 4" w:ascii="source serif 4" w:hAnsi="source serif 4"/>
          <w:color w:val="000000"/>
          <w:sz w:val="21"/>
        </w:rPr>
        <w:t xml:space="preserve">Pritchett, L., Suryahadi, A., &amp; Sumarto, S. (2000). Quantifying vulnerability to poverty: a proposed measure, applied to Indonesia. SMU Economics Discussion Paper.</w:t>
      </w:r>
    </w:p>
    <w:p>
      <w:pPr>
        <w:numPr>
          <w:ilvl w:val="0"/>
          <w:numId w:val="33"/>
        </w:numPr>
        <w:spacing w:line="360" w:before="105" w:after="105" w:lineRule="auto"/>
      </w:pPr>
      <w:r>
        <w:rPr>
          <w:rFonts w:eastAsia="source serif 4" w:cs="source serif 4" w:ascii="source serif 4" w:hAnsi="source serif 4"/>
          <w:color w:val="000000"/>
          <w:sz w:val="21"/>
        </w:rPr>
        <w:t xml:space="preserve">Sen, A. (1999). Development as Freedom. Oxford University Press.</w:t>
      </w:r>
    </w:p>
    <w:p>
      <w:pPr>
        <w:numPr>
          <w:ilvl w:val="0"/>
          <w:numId w:val="33"/>
        </w:numPr>
        <w:spacing w:line="360" w:before="105" w:after="105" w:lineRule="auto"/>
      </w:pPr>
      <w:r>
        <w:rPr>
          <w:rFonts w:eastAsia="source serif 4" w:cs="source serif 4" w:ascii="source serif 4" w:hAnsi="source serif 4"/>
          <w:color w:val="000000"/>
          <w:sz w:val="21"/>
        </w:rPr>
        <w:t xml:space="preserve">World Bank (2004). World Development Report 2004: Making services work for poor. (See risk background materials.)</w:t>
      </w:r>
    </w:p>
    <w:p>
      <w:pPr>
        <w:numPr>
          <w:ilvl w:val="0"/>
          <w:numId w:val="33"/>
        </w:numPr>
        <w:spacing w:line="360" w:before="105" w:after="105" w:lineRule="auto"/>
      </w:pPr>
      <w:r>
        <w:rPr>
          <w:rFonts w:eastAsia="source serif 4" w:cs="source serif 4" w:ascii="source serif 4" w:hAnsi="source serif 4"/>
          <w:color w:val="000000"/>
          <w:sz w:val="21"/>
        </w:rPr>
        <w:t xml:space="preserve">WFP — VAM reports (Vulnerability Analysis and Mapping) — country briefs and methodological notes (various years).</w:t>
      </w:r>
    </w:p>
    <w:p>
      <w:pPr>
        <w:numPr>
          <w:ilvl w:val="0"/>
          <w:numId w:val="33"/>
        </w:numPr>
        <w:spacing w:line="360" w:before="105" w:after="105" w:lineRule="auto"/>
      </w:pPr>
      <w:r>
        <w:rPr>
          <w:rFonts w:eastAsia="source serif 4" w:cs="source serif 4" w:ascii="source serif 4" w:hAnsi="source serif 4"/>
          <w:color w:val="000000"/>
          <w:sz w:val="21"/>
        </w:rPr>
        <w:t xml:space="preserve">FAO (2016). The State of Food and Agriculture — resilience in the context of food security.</w:t>
      </w:r>
    </w:p>
    <w:p>
      <w:pPr>
        <w:numPr>
          <w:ilvl w:val="0"/>
          <w:numId w:val="33"/>
        </w:numPr>
        <w:spacing w:line="360" w:before="105" w:after="105" w:lineRule="auto"/>
      </w:pPr>
      <w:r>
        <w:rPr>
          <w:rFonts w:eastAsia="source serif 4" w:cs="source serif 4" w:ascii="source serif 4" w:hAnsi="source serif 4"/>
          <w:color w:val="000000"/>
          <w:sz w:val="21"/>
        </w:rPr>
        <w:t xml:space="preserve">Alkire, S., &amp; Foster, J. (2011). Counting and Multidimensional Poverty Measurement. Journal of Public Economics, 95(7–8), 476–487.</w:t>
      </w:r>
    </w:p>
    <w:p>
      <w:pPr>
        <w:numPr>
          <w:ilvl w:val="0"/>
          <w:numId w:val="33"/>
        </w:numPr>
        <w:spacing w:line="360" w:before="105" w:after="105" w:lineRule="auto"/>
      </w:pPr>
      <w:r>
        <w:rPr>
          <w:rFonts w:eastAsia="source serif 4" w:cs="source serif 4" w:ascii="source serif 4" w:hAnsi="source serif 4"/>
          <w:color w:val="000000"/>
          <w:sz w:val="21"/>
        </w:rPr>
        <w:t xml:space="preserve">Dercon, S., &amp; Krishnan, P. (2000). In Sickness and in Health: Risk Sharing within Households in Rural Ethiopia. Journal of Political Economy, 108(4), 688–727.</w:t>
      </w:r>
    </w:p>
    <w:p>
      <w:pPr>
        <w:numPr>
          <w:ilvl w:val="0"/>
          <w:numId w:val="33"/>
        </w:numPr>
        <w:spacing w:line="360" w:before="105" w:after="105" w:lineRule="auto"/>
      </w:pPr>
      <w:r>
        <w:rPr>
          <w:rFonts w:eastAsia="source serif 4" w:cs="source serif 4" w:ascii="source serif 4" w:hAnsi="source serif 4"/>
          <w:color w:val="000000"/>
          <w:sz w:val="21"/>
        </w:rPr>
        <w:t xml:space="preserve">Adger, W. N. (2000). Social and ecological resilience: are they related? Progress in Human Geography, 24(3), 347–364.</w:t>
      </w:r>
    </w:p>
    <w:p>
      <w:pPr>
        <w:numPr>
          <w:ilvl w:val="0"/>
          <w:numId w:val="33"/>
        </w:numPr>
        <w:spacing w:line="360" w:before="105" w:after="105" w:lineRule="auto"/>
      </w:pPr>
      <w:r>
        <w:rPr>
          <w:rFonts w:eastAsia="source serif 4" w:cs="source serif 4" w:ascii="source serif 4" w:hAnsi="source serif 4"/>
          <w:color w:val="000000"/>
          <w:sz w:val="21"/>
        </w:rPr>
        <w:t xml:space="preserve">IFPRI &amp; FAO country vulnerability assessments and methodological notes (relevant country reports: Senegal, Mali, Niger — check FAO and IFPRI websites)</w:t>
      </w:r>
    </w:p>
    <w:p>
      <w:pPr>
        <w:numPr>
          <w:ilvl w:val="0"/>
          <w:numId w:val="33"/>
        </w:numPr>
        <w:spacing w:line="360" w:before="105" w:after="105" w:lineRule="auto"/>
      </w:pPr>
      <w:r>
        <w:rPr>
          <w:rFonts w:eastAsia="source serif 4" w:cs="source serif 4" w:ascii="source serif 4" w:hAnsi="source serif 4"/>
          <w:color w:val="000000"/>
          <w:sz w:val="21"/>
        </w:rPr>
        <w:t xml:space="preserve">Greenacre, M., &amp; Blasius, J. (2006). Multiple Correspondence Analysis and Related Methods. Chapman &amp; Hall/CRC.</w:t>
      </w:r>
    </w:p>
    <w:p>
      <w:pPr>
        <w:numPr>
          <w:ilvl w:val="0"/>
          <w:numId w:val="34"/>
        </w:numPr>
        <w:spacing w:line="360" w:before="105" w:after="105" w:lineRule="auto"/>
      </w:pPr>
      <w:r>
        <w:rPr>
          <w:rFonts w:eastAsia="source serif 4" w:cs="source serif 4" w:ascii="source serif 4" w:hAnsi="source serif 4"/>
          <w:color w:val="000000"/>
          <w:sz w:val="21"/>
        </w:rPr>
        <w:t xml:space="preserve">Prochaine étape — proposition d’analyse R &amp; checklist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Si vous souhaitez, je peux :</w:t>
      </w:r>
    </w:p>
    <w:p>
      <w:pPr>
        <w:numPr>
          <w:ilvl w:val="0"/>
          <w:numId w:val="35"/>
        </w:numPr>
        <w:spacing w:line="360" w:before="105" w:after="105" w:lineRule="auto"/>
      </w:pPr>
      <w:r>
        <w:rPr>
          <w:rFonts w:eastAsia="source serif 4" w:cs="source serif 4" w:ascii="source serif 4" w:hAnsi="source serif 4"/>
          <w:color w:val="000000"/>
          <w:sz w:val="21"/>
        </w:rPr>
        <w:t xml:space="preserve">Fournir un script R de départ (prétraitement, ACM via FactoMineR, clustering, validation, mapping) adapté à vos tables (ehcvm_welfare_SEN2021, menage, individu, conso) et en tenant compte des pondérations.</w:t>
      </w:r>
    </w:p>
    <w:p>
      <w:pPr>
        <w:numPr>
          <w:ilvl w:val="0"/>
          <w:numId w:val="35"/>
        </w:numPr>
        <w:spacing w:line="360" w:before="105" w:after="105" w:lineRule="auto"/>
      </w:pPr>
      <w:r>
        <w:rPr>
          <w:rFonts w:eastAsia="source serif 4" w:cs="source serif 4" w:ascii="source serif 4" w:hAnsi="source serif 4"/>
          <w:color w:val="000000"/>
          <w:sz w:val="21"/>
        </w:rPr>
        <w:t xml:space="preserve">Produire une liste finale de variables (colonnes) codées, avec instructions de discretisation (seuils) et suggestions de pondération.</w:t>
      </w:r>
    </w:p>
    <w:p>
      <w:pPr>
        <w:numPr>
          <w:ilvl w:val="0"/>
          <w:numId w:val="35"/>
        </w:numPr>
        <w:spacing w:line="360" w:before="105" w:after="105" w:lineRule="auto"/>
      </w:pPr>
      <w:r>
        <w:rPr>
          <w:rFonts w:eastAsia="source serif 4" w:cs="source serif 4" w:ascii="source serif 4" w:hAnsi="source serif 4"/>
          <w:color w:val="000000"/>
          <w:sz w:val="21"/>
        </w:rPr>
        <w:t xml:space="preserve">Aider à définir règles d’étiquetage des clusters (seuils pcexp, food share, exposition) et proposer tests statistiques.</w:t>
      </w:r>
    </w:p>
    <w:p>
      <w:pPr>
        <w:spacing w:line="360" w:after="210" w:lineRule="auto"/>
      </w:pPr>
      <w:r>
        <w:rPr>
          <w:rFonts w:eastAsia="source serif 4" w:cs="source serif 4" w:ascii="source serif 4" w:hAnsi="source serif 4"/>
          <w:color w:val="000000"/>
        </w:rPr>
        <w:t xml:space="preserve">Souhaitez‑vous que je vous fournisse :</w:t>
      </w:r>
    </w:p>
    <w:p>
      <w:pPr>
        <w:numPr>
          <w:ilvl w:val="0"/>
          <w:numId w:val="36"/>
        </w:numPr>
        <w:spacing w:line="360" w:before="105" w:after="105" w:lineRule="auto"/>
      </w:pPr>
      <w:r>
        <w:rPr>
          <w:rFonts w:eastAsia="source serif 4" w:cs="source serif 4" w:ascii="source serif 4" w:hAnsi="source serif 4"/>
          <w:color w:val="000000"/>
          <w:sz w:val="21"/>
        </w:rPr>
        <w:t xml:space="preserve">un script R commenté pour implémenter l’ACM + clustering sur votre EHCVM (avec pondérations) ? ou</w:t>
      </w:r>
    </w:p>
    <w:p>
      <w:pPr>
        <w:numPr>
          <w:ilvl w:val="0"/>
          <w:numId w:val="36"/>
        </w:numPr>
        <w:spacing w:line="360" w:before="105" w:after="105" w:lineRule="auto"/>
      </w:pPr>
      <w:r>
        <w:rPr>
          <w:rFonts w:eastAsia="source serif 4" w:cs="source serif 4" w:ascii="source serif 4" w:hAnsi="source serif 4"/>
          <w:color w:val="000000"/>
          <w:sz w:val="21"/>
        </w:rPr>
        <w:t xml:space="preserve">une liste finale de variables (fichier CSV des noms et transformations recommandées) prête à être importée dans R ?</w:t>
      </w:r>
    </w:p>
    <w:p>
      <w:pPr>
        <w:spacing w:line="360" w:after="210" w:lineRule="auto"/>
      </w:pPr>
      <w:r>
        <w:rPr>
          <w:rFonts w:eastAsia="source serif 4" w:cs="source serif 4" w:ascii="source serif 4" w:hAnsi="source serif 4"/>
          <w:color w:val="000000"/>
        </w:rPr>
        <w:t xml:space="preserve">Quelle option préférez‑vous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2"/>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3"/>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4"/>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5"/>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6"/>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
    <w:multiLevelType w:val="hybridMultilevel"/>
    <w:lvl w:ilvl="0">
      <w:start w:val="7"/>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lvl w:ilvl="2">
      <w:start w:val="1"/>
      <w:numFmt w:val="bullet"/>
      <w:lvlText w:val=""/>
      <w:lvlJc w:val="left"/>
      <w:pPr>
        <w:tabs>
          <w:tab w:val="num" w:pos="1980"/>
        </w:tabs>
        <w:ind w:left="1620" w:hanging="360"/>
      </w:pPr>
      <w:rPr>
        <w:rFonts w:ascii="Wingdings" w:hAnsi="Wingdings" w:hint="default"/>
      </w:rPr>
    </w:lvl>
  </w:abstractNum>
  <w:abstractNum w:abstractNumId="20">
    <w:multiLevelType w:val="hybridMultilevel"/>
    <w:lvl w:ilvl="0">
      <w:start w:val="8"/>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9"/>
      <w:numFmt w:val="decimal"/>
      <w:lvlText w:val="%1."/>
      <w:lvlJc w:val="left"/>
      <w:pPr>
        <w:tabs>
          <w:tab w:val="num" w:pos="900"/>
        </w:tabs>
        <w:ind w:left="54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0"/>
      <w:numFmt w:val="decimal"/>
      <w:lvlText w:val="%1."/>
      <w:lvlJc w:val="left"/>
      <w:pPr>
        <w:tabs>
          <w:tab w:val="num" w:pos="900"/>
        </w:tabs>
        <w:ind w:left="540" w:hanging="360"/>
      </w:p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1"/>
      <w:numFmt w:val="decimal"/>
      <w:lvlText w:val="%1."/>
      <w:lvlJc w:val="left"/>
      <w:pPr>
        <w:tabs>
          <w:tab w:val="num" w:pos="900"/>
        </w:tabs>
        <w:ind w:left="540" w:hanging="360"/>
      </w:p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2"/>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3"/>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9503dfcc993975a47670203a0ab1a0a9f78d8a17.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2026-06-09T22:41:23.070Z</dcterms:created>
  <dcterms:modified xsi:type="dcterms:W3CDTF">2026-06-09T22:41:23.070Z</dcterms:modified>
</cp:coreProperties>
</file>