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653"/>
        <w:tblW w:w="3940"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40"/>
      </w:tblGrid>
      <w:tr w:rsidR="00857CDA" w:rsidRPr="00794933" w:rsidTr="00857CDA">
        <w:trPr>
          <w:trHeight w:val="2520"/>
        </w:trPr>
        <w:tc>
          <w:tcPr>
            <w:tcW w:w="3940" w:type="dxa"/>
            <w:tcBorders>
              <w:top w:val="nil"/>
              <w:bottom w:val="nil"/>
              <w:right w:val="nil"/>
            </w:tcBorders>
          </w:tcPr>
          <w:p w:rsidR="00857CDA" w:rsidRPr="00794933" w:rsidRDefault="00857CDA" w:rsidP="00857CDA">
            <w:pPr>
              <w:rPr>
                <w:b/>
                <w:bCs/>
                <w:sz w:val="26"/>
                <w:szCs w:val="26"/>
              </w:rPr>
            </w:pPr>
            <w:r w:rsidRPr="00794933">
              <w:rPr>
                <w:b/>
                <w:bCs/>
                <w:sz w:val="22"/>
                <w:szCs w:val="22"/>
              </w:rPr>
              <w:t xml:space="preserve">     </w:t>
            </w:r>
            <w:r w:rsidRPr="00794933">
              <w:rPr>
                <w:b/>
                <w:bCs/>
                <w:sz w:val="26"/>
                <w:szCs w:val="26"/>
              </w:rPr>
              <w:t>République du Sénégal</w:t>
            </w:r>
          </w:p>
          <w:p w:rsidR="00857CDA" w:rsidRPr="00794933" w:rsidRDefault="00857CDA" w:rsidP="00857CDA">
            <w:pPr>
              <w:rPr>
                <w:b/>
                <w:bCs/>
                <w:sz w:val="16"/>
                <w:szCs w:val="16"/>
              </w:rPr>
            </w:pPr>
            <w:r w:rsidRPr="00794933">
              <w:rPr>
                <w:b/>
                <w:sz w:val="16"/>
                <w:szCs w:val="16"/>
              </w:rPr>
              <w:t xml:space="preserve">          Un Peuple – Un But – Une Foi</w:t>
            </w:r>
          </w:p>
          <w:p w:rsidR="00857CDA" w:rsidRPr="00794933" w:rsidRDefault="009E6321" w:rsidP="00857CDA">
            <w:pPr>
              <w:rPr>
                <w:b/>
                <w:sz w:val="22"/>
                <w:szCs w:val="22"/>
              </w:rPr>
            </w:pPr>
            <w:r>
              <w:rPr>
                <w:b/>
                <w:sz w:val="22"/>
                <w:szCs w:val="22"/>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6pt;margin-top:11.8pt;width:86.25pt;height:83.8pt;z-index:251658240" wrapcoords="-159 0 -159 21450 21600 21450 21600 0 -159 0">
                  <v:imagedata r:id="rId4" o:title=""/>
                </v:shape>
                <o:OLEObject Type="Embed" ProgID="MSPhotoEd.3" ShapeID="_x0000_s1027" DrawAspect="Content" ObjectID="_1732345497" r:id="rId5"/>
              </w:object>
            </w:r>
            <w:r w:rsidR="00857CDA" w:rsidRPr="00794933">
              <w:rPr>
                <w:b/>
                <w:sz w:val="22"/>
                <w:szCs w:val="22"/>
              </w:rPr>
              <w:t xml:space="preserve">               ------------</w:t>
            </w:r>
          </w:p>
          <w:p w:rsidR="00857CDA" w:rsidRPr="00794933" w:rsidRDefault="00857CDA" w:rsidP="00857CDA">
            <w:pPr>
              <w:rPr>
                <w:b/>
                <w:sz w:val="22"/>
                <w:szCs w:val="22"/>
              </w:rPr>
            </w:pPr>
            <w:r w:rsidRPr="00794933">
              <w:rPr>
                <w:b/>
                <w:bCs/>
                <w:sz w:val="22"/>
                <w:szCs w:val="22"/>
              </w:rPr>
              <w:t xml:space="preserve">         </w:t>
            </w:r>
          </w:p>
          <w:p w:rsidR="00857CDA" w:rsidRPr="00794933" w:rsidRDefault="00857CDA" w:rsidP="00857CDA">
            <w:pPr>
              <w:jc w:val="center"/>
              <w:rPr>
                <w:b/>
                <w:sz w:val="22"/>
                <w:szCs w:val="22"/>
              </w:rPr>
            </w:pPr>
          </w:p>
          <w:p w:rsidR="00857CDA" w:rsidRPr="00794933" w:rsidRDefault="00857CDA" w:rsidP="00857CDA">
            <w:pPr>
              <w:jc w:val="center"/>
              <w:rPr>
                <w:b/>
                <w:sz w:val="22"/>
                <w:szCs w:val="22"/>
              </w:rPr>
            </w:pPr>
          </w:p>
          <w:p w:rsidR="00857CDA" w:rsidRPr="00794933" w:rsidRDefault="00857CDA" w:rsidP="00857CDA">
            <w:pPr>
              <w:jc w:val="center"/>
              <w:rPr>
                <w:b/>
                <w:sz w:val="22"/>
                <w:szCs w:val="22"/>
              </w:rPr>
            </w:pPr>
          </w:p>
          <w:p w:rsidR="00857CDA" w:rsidRPr="00794933" w:rsidRDefault="00857CDA" w:rsidP="00857CDA">
            <w:pPr>
              <w:spacing w:after="120"/>
              <w:ind w:right="1"/>
              <w:rPr>
                <w:b/>
                <w:sz w:val="22"/>
                <w:szCs w:val="22"/>
              </w:rPr>
            </w:pPr>
          </w:p>
          <w:p w:rsidR="00857CDA" w:rsidRPr="00794933" w:rsidRDefault="00857CDA" w:rsidP="00857CDA">
            <w:pPr>
              <w:spacing w:after="120"/>
              <w:ind w:right="1"/>
              <w:rPr>
                <w:b/>
                <w:sz w:val="22"/>
                <w:szCs w:val="22"/>
              </w:rPr>
            </w:pPr>
          </w:p>
        </w:tc>
      </w:tr>
    </w:tbl>
    <w:p w:rsidR="00857CDA" w:rsidRPr="00794933" w:rsidRDefault="00857CDA" w:rsidP="00857CDA">
      <w:pPr>
        <w:rPr>
          <w:rFonts w:ascii="Arial" w:hAnsi="Arial" w:cs="Arial"/>
          <w:b/>
          <w:bCs/>
          <w:sz w:val="22"/>
          <w:szCs w:val="22"/>
        </w:rPr>
      </w:pPr>
    </w:p>
    <w:p w:rsidR="00857CDA" w:rsidRPr="00794933" w:rsidRDefault="00857CDA" w:rsidP="00857CDA">
      <w:pPr>
        <w:rPr>
          <w:rFonts w:ascii="Arial" w:hAnsi="Arial" w:cs="Arial"/>
          <w:b/>
          <w:bCs/>
          <w:sz w:val="22"/>
          <w:szCs w:val="22"/>
        </w:rPr>
      </w:pPr>
    </w:p>
    <w:p w:rsidR="00857CDA" w:rsidRDefault="00857CDA" w:rsidP="00857CDA">
      <w:pPr>
        <w:rPr>
          <w:rFonts w:ascii="Arial" w:hAnsi="Arial" w:cs="Arial"/>
          <w:b/>
          <w:bCs/>
        </w:rPr>
      </w:pPr>
    </w:p>
    <w:p w:rsidR="00857CDA" w:rsidRDefault="00857CDA" w:rsidP="00857CDA">
      <w:pPr>
        <w:rPr>
          <w:rFonts w:ascii="Arial" w:hAnsi="Arial" w:cs="Arial"/>
          <w:b/>
          <w:bCs/>
        </w:rPr>
      </w:pPr>
    </w:p>
    <w:p w:rsidR="00857CDA" w:rsidRDefault="00857CDA" w:rsidP="00857CDA">
      <w:pPr>
        <w:rPr>
          <w:rFonts w:ascii="Arial" w:hAnsi="Arial" w:cs="Arial"/>
          <w:b/>
          <w:bCs/>
        </w:rPr>
      </w:pPr>
    </w:p>
    <w:p w:rsidR="00857CDA" w:rsidRDefault="00857CDA" w:rsidP="00857CDA">
      <w:pPr>
        <w:rPr>
          <w:rFonts w:ascii="Arial" w:hAnsi="Arial" w:cs="Arial"/>
          <w:b/>
          <w:bCs/>
        </w:rPr>
      </w:pPr>
    </w:p>
    <w:p w:rsidR="00857CDA" w:rsidRDefault="00857CDA" w:rsidP="00857CDA">
      <w:pPr>
        <w:rPr>
          <w:rFonts w:ascii="Arial" w:hAnsi="Arial" w:cs="Arial"/>
          <w:b/>
          <w:bCs/>
        </w:rPr>
      </w:pPr>
    </w:p>
    <w:p w:rsidR="00857CDA" w:rsidRPr="00857CDA" w:rsidRDefault="00857CDA" w:rsidP="00857CDA">
      <w:pPr>
        <w:pBdr>
          <w:top w:val="thickThinSmallGap" w:sz="24" w:space="1" w:color="auto" w:shadow="1"/>
          <w:left w:val="thickThinSmallGap" w:sz="24" w:space="31" w:color="auto" w:shadow="1"/>
          <w:bottom w:val="thickThinSmallGap" w:sz="24" w:space="1" w:color="auto" w:shadow="1"/>
          <w:right w:val="thickThinSmallGap" w:sz="24" w:space="4" w:color="auto" w:shadow="1"/>
        </w:pBdr>
        <w:ind w:left="567" w:right="425"/>
        <w:jc w:val="center"/>
        <w:rPr>
          <w:b/>
          <w:sz w:val="32"/>
          <w:szCs w:val="32"/>
        </w:rPr>
      </w:pPr>
      <w:r w:rsidRPr="00857CDA">
        <w:rPr>
          <w:b/>
          <w:sz w:val="32"/>
          <w:szCs w:val="32"/>
        </w:rPr>
        <w:t>Note méthodologique de l’Indice des Prix à la Production Industrielle (IPPI)</w:t>
      </w:r>
    </w:p>
    <w:p w:rsidR="00857CDA" w:rsidRDefault="00857CDA" w:rsidP="00857CDA">
      <w:pPr>
        <w:rPr>
          <w:rFonts w:ascii="Arial" w:hAnsi="Arial" w:cs="Arial"/>
          <w:b/>
          <w:bCs/>
        </w:rPr>
      </w:pPr>
    </w:p>
    <w:p w:rsidR="00857CDA" w:rsidRDefault="00857CDA" w:rsidP="00857CDA">
      <w:pPr>
        <w:spacing w:before="120" w:after="120"/>
        <w:jc w:val="both"/>
        <w:rPr>
          <w:rFonts w:ascii="Arial" w:hAnsi="Arial" w:cs="Arial"/>
          <w:i/>
          <w:iCs/>
          <w:sz w:val="18"/>
          <w:szCs w:val="18"/>
        </w:rPr>
      </w:pPr>
    </w:p>
    <w:p w:rsidR="009E6321" w:rsidRPr="009E6321" w:rsidRDefault="009E6321" w:rsidP="009E6321">
      <w:pPr>
        <w:spacing w:before="120" w:after="120"/>
        <w:jc w:val="both"/>
        <w:rPr>
          <w:rFonts w:ascii="Arial" w:hAnsi="Arial" w:cs="Arial"/>
          <w:i/>
          <w:iCs/>
          <w:sz w:val="18"/>
          <w:szCs w:val="18"/>
        </w:rPr>
      </w:pPr>
      <w:r w:rsidRPr="009E6321">
        <w:rPr>
          <w:rFonts w:ascii="Arial" w:hAnsi="Arial" w:cs="Arial"/>
          <w:i/>
          <w:iCs/>
          <w:sz w:val="18"/>
          <w:szCs w:val="18"/>
        </w:rPr>
        <w:t xml:space="preserve">L’Agence nationale de la Statistique et de la Démographie (ANSD) met à votre disposition cette note mensuelle sur l’Indice des Prix de Production Industrielle (IPPI). Cet indice rénové, base 100 en 2015, mesure l’évolution des prix de production, départ usine et hors taxe et marge de transport. </w:t>
      </w:r>
    </w:p>
    <w:p w:rsidR="009E6321" w:rsidRPr="009E6321" w:rsidRDefault="009E6321" w:rsidP="009E6321">
      <w:pPr>
        <w:spacing w:before="120" w:after="120"/>
        <w:jc w:val="both"/>
        <w:rPr>
          <w:rFonts w:ascii="Arial" w:hAnsi="Arial" w:cs="Arial"/>
          <w:i/>
          <w:iCs/>
          <w:sz w:val="18"/>
          <w:szCs w:val="18"/>
        </w:rPr>
      </w:pPr>
      <w:r w:rsidRPr="009E6321">
        <w:rPr>
          <w:rFonts w:ascii="Arial" w:hAnsi="Arial" w:cs="Arial"/>
          <w:i/>
          <w:iCs/>
          <w:sz w:val="18"/>
          <w:szCs w:val="18"/>
        </w:rPr>
        <w:t xml:space="preserve">Les principaux changements apportés par la rénovation ont trait à la nomenclature, au champ de couverture, aux pondérations, aux techniques de calcul, et aux données de base. Ainsi, le nouveau champ d’application de l’IPPI se définit par rapport à la CITI rev4/NAEMA rev1 et couvre les sections B (Activités extractives), C (Activités de fabrication), D (Production et distribution d’électricité, de gaz, de vapeur et de climatisation), E (Approvisionnement en eau, activités d’assainissement et de gestion des déchets, dépollution) ainsi que les services « dits industriels » qui n’étaient pas pris en compte dans la version antérieure de l’IPPI. En revanche, certaines activités des sections B, C, D et E de la NAEMA, en l’occurrence l’égrenage de coton sont exclues du champ. S’agissant du calcul des indices, il est fait recours à un système de double pondération dynamique (utilisation simultanée du chiffre d’affaires et des valeurs ajoutées actualisées chaque année) contrairement à l’ancien IPPI où les pondérations étaient déterminées avec le chiffre d’affaires fixé à l’année de base. L’échantillon à l’année de base compte 72 entreprises couvrant 89,8% de la valeur ajoutée du tissu industriel. Celui-ci est actualisé chaque année avec le système des années de référence. L’indice est publié mensuellement et est disponible au plus tard 30 jours après la fin du mois sous revue. Il est susceptible d’être révisé lorsque le taux de réponse est inférieur 100%. </w:t>
      </w:r>
    </w:p>
    <w:p w:rsidR="00857CDA" w:rsidRPr="00955BDF" w:rsidRDefault="009E6321" w:rsidP="009E6321">
      <w:pPr>
        <w:spacing w:before="120" w:after="120"/>
        <w:jc w:val="both"/>
        <w:rPr>
          <w:rFonts w:ascii="Arial" w:hAnsi="Arial" w:cs="Arial"/>
          <w:i/>
          <w:iCs/>
          <w:sz w:val="18"/>
          <w:szCs w:val="18"/>
        </w:rPr>
      </w:pPr>
      <w:r w:rsidRPr="009E6321">
        <w:rPr>
          <w:rFonts w:ascii="Arial" w:hAnsi="Arial" w:cs="Arial"/>
          <w:i/>
          <w:iCs/>
          <w:sz w:val="18"/>
          <w:szCs w:val="18"/>
        </w:rPr>
        <w:t xml:space="preserve">Les présents indicateurs sont établis avec </w:t>
      </w:r>
      <w:r>
        <w:rPr>
          <w:rFonts w:ascii="Arial" w:hAnsi="Arial" w:cs="Arial"/>
          <w:i/>
          <w:iCs/>
          <w:sz w:val="18"/>
          <w:szCs w:val="18"/>
        </w:rPr>
        <w:t>un taux de réponse de 82,4%.</w:t>
      </w:r>
      <w:r w:rsidR="00857CDA" w:rsidRPr="00955BDF">
        <w:rPr>
          <w:rFonts w:ascii="Arial" w:hAnsi="Arial" w:cs="Arial"/>
          <w:i/>
          <w:iCs/>
          <w:sz w:val="18"/>
          <w:szCs w:val="18"/>
        </w:rPr>
        <w:t xml:space="preserve">     </w:t>
      </w:r>
    </w:p>
    <w:p w:rsidR="00857CDA" w:rsidRDefault="00857CDA" w:rsidP="00857CDA">
      <w:pPr>
        <w:jc w:val="both"/>
        <w:rPr>
          <w:b/>
          <w:bCs/>
          <w:i/>
          <w:iCs/>
          <w:sz w:val="20"/>
          <w:szCs w:val="20"/>
        </w:rPr>
      </w:pPr>
    </w:p>
    <w:p w:rsidR="00857CDA" w:rsidRDefault="00857CDA" w:rsidP="00857CDA">
      <w:pPr>
        <w:jc w:val="both"/>
        <w:rPr>
          <w:b/>
          <w:bCs/>
          <w:i/>
          <w:iCs/>
          <w:sz w:val="20"/>
          <w:szCs w:val="20"/>
        </w:rPr>
      </w:pPr>
      <w:r w:rsidRPr="00C06A56">
        <w:rPr>
          <w:b/>
          <w:bCs/>
          <w:i/>
          <w:iCs/>
          <w:sz w:val="20"/>
          <w:szCs w:val="20"/>
        </w:rPr>
        <w:t>Champ couvert</w:t>
      </w:r>
    </w:p>
    <w:p w:rsidR="00857CDA" w:rsidRDefault="00857CDA" w:rsidP="00857CDA">
      <w:pPr>
        <w:jc w:val="both"/>
        <w:rPr>
          <w:b/>
          <w:bCs/>
          <w:i/>
          <w:iCs/>
          <w:sz w:val="20"/>
          <w:szCs w:val="20"/>
        </w:rPr>
      </w:pPr>
    </w:p>
    <w:p w:rsidR="00857CDA" w:rsidRPr="00AF7661" w:rsidRDefault="00857CDA" w:rsidP="00857CDA">
      <w:pPr>
        <w:jc w:val="both"/>
        <w:rPr>
          <w:bCs/>
          <w:i/>
          <w:iCs/>
          <w:sz w:val="20"/>
          <w:szCs w:val="20"/>
        </w:rPr>
      </w:pPr>
      <w:r>
        <w:rPr>
          <w:bCs/>
          <w:i/>
          <w:iCs/>
          <w:sz w:val="20"/>
          <w:szCs w:val="20"/>
        </w:rPr>
        <w:t xml:space="preserve">En se référant à la classification traditionnelle des activités économiques en trois secteurs (primaire, secondaire, tertiaire), le calcul de l’Indice des Prix à </w:t>
      </w:r>
      <w:smartTag w:uri="urn:schemas-microsoft-com:office:smarttags" w:element="PersonName">
        <w:smartTagPr>
          <w:attr w:name="ProductID" w:val="LA PRODUCTION INDUSTRIELLE"/>
        </w:smartTagPr>
        <w:r>
          <w:rPr>
            <w:bCs/>
            <w:i/>
            <w:iCs/>
            <w:sz w:val="20"/>
            <w:szCs w:val="20"/>
          </w:rPr>
          <w:t>la Production Industrielle</w:t>
        </w:r>
      </w:smartTag>
      <w:r>
        <w:rPr>
          <w:bCs/>
          <w:i/>
          <w:iCs/>
          <w:sz w:val="20"/>
          <w:szCs w:val="20"/>
        </w:rPr>
        <w:t xml:space="preserve"> (IPPI) se rapporte au seul secteur secondaire. Il ne prend en considération que l’activité productrice des entreprises industrielles et ne s’intéresse pas aux autres facettes de la vie des entreprises telles que la rentabilité, la situation financière, l’investissement, l’emploi, les échanges avec l’extérieur, etc.</w:t>
      </w:r>
    </w:p>
    <w:p w:rsidR="00857CDA" w:rsidRPr="00FD3559" w:rsidRDefault="00857CDA" w:rsidP="00857CDA">
      <w:pPr>
        <w:jc w:val="both"/>
        <w:rPr>
          <w:bCs/>
          <w:i/>
          <w:iCs/>
          <w:sz w:val="20"/>
          <w:szCs w:val="20"/>
        </w:rPr>
      </w:pPr>
    </w:p>
    <w:p w:rsidR="00857CDA" w:rsidRPr="00C06A56" w:rsidRDefault="00857CDA" w:rsidP="00857CDA">
      <w:pPr>
        <w:jc w:val="both"/>
        <w:rPr>
          <w:b/>
          <w:bCs/>
          <w:i/>
          <w:iCs/>
          <w:sz w:val="20"/>
          <w:szCs w:val="20"/>
        </w:rPr>
      </w:pPr>
      <w:r w:rsidRPr="00C06A56">
        <w:rPr>
          <w:b/>
          <w:bCs/>
          <w:i/>
          <w:iCs/>
          <w:sz w:val="20"/>
          <w:szCs w:val="20"/>
        </w:rPr>
        <w:t>Echantillon</w:t>
      </w:r>
    </w:p>
    <w:p w:rsidR="00857CDA" w:rsidRPr="00C06A56" w:rsidRDefault="00857CDA" w:rsidP="00857CDA">
      <w:pPr>
        <w:jc w:val="both"/>
        <w:rPr>
          <w:b/>
          <w:bCs/>
          <w:i/>
          <w:iCs/>
          <w:sz w:val="20"/>
          <w:szCs w:val="20"/>
        </w:rPr>
      </w:pPr>
    </w:p>
    <w:p w:rsidR="00857CDA" w:rsidRDefault="00857CDA" w:rsidP="00857CDA">
      <w:pPr>
        <w:jc w:val="both"/>
        <w:rPr>
          <w:i/>
          <w:iCs/>
          <w:sz w:val="20"/>
          <w:szCs w:val="20"/>
        </w:rPr>
      </w:pPr>
      <w:r w:rsidRPr="00C06A56">
        <w:rPr>
          <w:i/>
          <w:iCs/>
          <w:sz w:val="20"/>
          <w:szCs w:val="20"/>
        </w:rPr>
        <w:t>Les entreprises qui composent l’échantillon ont été choisies à partir de la dernière liste complète du répertoire du Centre Unique de C</w:t>
      </w:r>
      <w:r>
        <w:rPr>
          <w:i/>
          <w:iCs/>
          <w:sz w:val="20"/>
          <w:szCs w:val="20"/>
        </w:rPr>
        <w:t>ollecte de l’Information (CUCI). Cette liste a été étendue à d’autres entreprises avec le concours de l’Observatoire de l’industrie.</w:t>
      </w:r>
      <w:r w:rsidRPr="00C06A56">
        <w:rPr>
          <w:i/>
          <w:iCs/>
          <w:sz w:val="20"/>
          <w:szCs w:val="20"/>
        </w:rPr>
        <w:t xml:space="preserve"> </w:t>
      </w:r>
      <w:r>
        <w:rPr>
          <w:i/>
          <w:iCs/>
          <w:sz w:val="20"/>
          <w:szCs w:val="20"/>
        </w:rPr>
        <w:t>Les entreprises</w:t>
      </w:r>
      <w:r w:rsidRPr="00C06A56">
        <w:rPr>
          <w:i/>
          <w:iCs/>
          <w:sz w:val="20"/>
          <w:szCs w:val="20"/>
        </w:rPr>
        <w:t xml:space="preserve"> sont classées par secteur d’activité. Les variables comme la valeur ajoutée, le chiffre d’affaire</w:t>
      </w:r>
      <w:r>
        <w:rPr>
          <w:i/>
          <w:iCs/>
          <w:sz w:val="20"/>
          <w:szCs w:val="20"/>
        </w:rPr>
        <w:t xml:space="preserve">s (CA) </w:t>
      </w:r>
      <w:r w:rsidRPr="00C06A56">
        <w:rPr>
          <w:i/>
          <w:iCs/>
          <w:sz w:val="20"/>
          <w:szCs w:val="20"/>
        </w:rPr>
        <w:t>et les effectifs ont été retenues comme critères pour mesurer les performances industrielles.</w:t>
      </w:r>
      <w:r>
        <w:rPr>
          <w:i/>
          <w:iCs/>
          <w:sz w:val="20"/>
          <w:szCs w:val="20"/>
        </w:rPr>
        <w:t xml:space="preserve"> </w:t>
      </w:r>
      <w:r w:rsidRPr="00C06A56">
        <w:rPr>
          <w:i/>
          <w:iCs/>
          <w:sz w:val="20"/>
          <w:szCs w:val="20"/>
        </w:rPr>
        <w:t>L’échantillon d’entreprises enquêtées couvre l’ensemble des dix branches d’activités industrielles</w:t>
      </w:r>
      <w:r>
        <w:rPr>
          <w:i/>
          <w:iCs/>
          <w:sz w:val="20"/>
          <w:szCs w:val="20"/>
        </w:rPr>
        <w:t>.</w:t>
      </w:r>
      <w:r w:rsidRPr="00C06A56">
        <w:rPr>
          <w:i/>
          <w:iCs/>
          <w:sz w:val="20"/>
          <w:szCs w:val="20"/>
        </w:rPr>
        <w:t> </w:t>
      </w:r>
      <w:r>
        <w:rPr>
          <w:i/>
          <w:iCs/>
          <w:sz w:val="20"/>
          <w:szCs w:val="20"/>
        </w:rPr>
        <w:t>Il a été</w:t>
      </w:r>
      <w:r w:rsidRPr="00C06A56">
        <w:rPr>
          <w:i/>
          <w:iCs/>
          <w:sz w:val="20"/>
          <w:szCs w:val="20"/>
        </w:rPr>
        <w:t xml:space="preserve"> choisi en tenant compte de la représentativité générale, de la représentativité sectorielle ainsi que de la représentativité selon la taille des entreprises.</w:t>
      </w:r>
      <w:r w:rsidRPr="008A36A4">
        <w:rPr>
          <w:i/>
          <w:iCs/>
          <w:sz w:val="20"/>
          <w:szCs w:val="20"/>
        </w:rPr>
        <w:t xml:space="preserve"> </w:t>
      </w:r>
      <w:r w:rsidRPr="00DB6F3E">
        <w:rPr>
          <w:i/>
          <w:iCs/>
          <w:sz w:val="20"/>
          <w:szCs w:val="20"/>
        </w:rPr>
        <w:t>L</w:t>
      </w:r>
      <w:r>
        <w:rPr>
          <w:i/>
          <w:iCs/>
          <w:sz w:val="20"/>
          <w:szCs w:val="20"/>
        </w:rPr>
        <w:t>’</w:t>
      </w:r>
      <w:r w:rsidRPr="00DB6F3E">
        <w:rPr>
          <w:i/>
          <w:iCs/>
          <w:sz w:val="20"/>
          <w:szCs w:val="20"/>
        </w:rPr>
        <w:t>échantillon</w:t>
      </w:r>
      <w:r>
        <w:rPr>
          <w:i/>
          <w:iCs/>
          <w:sz w:val="20"/>
          <w:szCs w:val="20"/>
        </w:rPr>
        <w:t xml:space="preserve"> définitif</w:t>
      </w:r>
      <w:r w:rsidRPr="00DB6F3E">
        <w:rPr>
          <w:i/>
          <w:iCs/>
          <w:sz w:val="20"/>
          <w:szCs w:val="20"/>
        </w:rPr>
        <w:t xml:space="preserve"> </w:t>
      </w:r>
      <w:r>
        <w:rPr>
          <w:i/>
          <w:iCs/>
          <w:sz w:val="20"/>
          <w:szCs w:val="20"/>
        </w:rPr>
        <w:t>retenu pour le suivi de la conjoncture dans l’industrie compte</w:t>
      </w:r>
      <w:r w:rsidRPr="00DB6F3E">
        <w:rPr>
          <w:i/>
          <w:iCs/>
          <w:sz w:val="20"/>
          <w:szCs w:val="20"/>
        </w:rPr>
        <w:t xml:space="preserve"> 69 entreprises couvrant 89,</w:t>
      </w:r>
      <w:r>
        <w:rPr>
          <w:i/>
          <w:iCs/>
          <w:sz w:val="20"/>
          <w:szCs w:val="20"/>
        </w:rPr>
        <w:t>8</w:t>
      </w:r>
      <w:r w:rsidRPr="00DB6F3E">
        <w:rPr>
          <w:i/>
          <w:iCs/>
          <w:sz w:val="20"/>
          <w:szCs w:val="20"/>
        </w:rPr>
        <w:t>% de la valeur ajoutée industrielle du pays</w:t>
      </w:r>
      <w:r>
        <w:rPr>
          <w:i/>
          <w:iCs/>
          <w:sz w:val="20"/>
          <w:szCs w:val="20"/>
        </w:rPr>
        <w:t>.</w:t>
      </w:r>
    </w:p>
    <w:p w:rsidR="00857CDA" w:rsidRPr="00C06A56" w:rsidRDefault="00857CDA" w:rsidP="00857CDA">
      <w:pPr>
        <w:jc w:val="both"/>
        <w:rPr>
          <w:i/>
          <w:iCs/>
          <w:sz w:val="20"/>
          <w:szCs w:val="20"/>
        </w:rPr>
      </w:pPr>
    </w:p>
    <w:p w:rsidR="00857CDA" w:rsidRDefault="00857CDA" w:rsidP="00857CDA">
      <w:pPr>
        <w:jc w:val="both"/>
        <w:rPr>
          <w:b/>
          <w:bCs/>
          <w:i/>
          <w:iCs/>
          <w:sz w:val="20"/>
          <w:szCs w:val="20"/>
        </w:rPr>
      </w:pPr>
      <w:r w:rsidRPr="00DB6F3E">
        <w:rPr>
          <w:b/>
          <w:bCs/>
          <w:i/>
          <w:iCs/>
          <w:sz w:val="20"/>
          <w:szCs w:val="20"/>
        </w:rPr>
        <w:t>Modalité de tirage de l’échantillon</w:t>
      </w:r>
    </w:p>
    <w:p w:rsidR="00857CDA" w:rsidRPr="00794AAF" w:rsidRDefault="00857CDA" w:rsidP="00857CDA">
      <w:pPr>
        <w:spacing w:before="120" w:after="40"/>
        <w:jc w:val="both"/>
        <w:rPr>
          <w:i/>
          <w:iCs/>
          <w:sz w:val="20"/>
          <w:szCs w:val="20"/>
          <w:lang w:val="fr-BE"/>
        </w:rPr>
      </w:pPr>
      <w:r w:rsidRPr="00794AAF">
        <w:rPr>
          <w:i/>
          <w:iCs/>
          <w:sz w:val="20"/>
          <w:szCs w:val="20"/>
          <w:lang w:val="fr-BE"/>
        </w:rPr>
        <w:t>Au niveau de chaque secteur, le tirage de l’échant</w:t>
      </w:r>
      <w:r>
        <w:rPr>
          <w:i/>
          <w:iCs/>
          <w:sz w:val="20"/>
          <w:szCs w:val="20"/>
          <w:lang w:val="fr-BE"/>
        </w:rPr>
        <w:t>illon est fait en deux étapes : la première</w:t>
      </w:r>
      <w:r w:rsidRPr="00794AAF">
        <w:rPr>
          <w:i/>
          <w:iCs/>
          <w:sz w:val="20"/>
          <w:szCs w:val="20"/>
          <w:lang w:val="fr-BE"/>
        </w:rPr>
        <w:t xml:space="preserve"> est relative à la sélection des grandes entreprises de la strate. Un tri des entreprises par taille décroissante du chiffre d’affaires est effectué, ainsi que le calcul des proportions du CA des entreprises retenues dans la base de </w:t>
      </w:r>
      <w:r w:rsidRPr="00794AAF">
        <w:rPr>
          <w:i/>
          <w:iCs/>
          <w:sz w:val="20"/>
          <w:szCs w:val="20"/>
          <w:lang w:val="fr-BE"/>
        </w:rPr>
        <w:lastRenderedPageBreak/>
        <w:t xml:space="preserve">sondage et celui des proportions cumulées. Il est fixé un seuil de pourcentage cumulé de CA, une borne au-delà de laquelle toutes les entreprises sont retenues. </w:t>
      </w:r>
    </w:p>
    <w:p w:rsidR="00857CDA" w:rsidRPr="00794AAF" w:rsidRDefault="00857CDA" w:rsidP="00857CDA">
      <w:pPr>
        <w:spacing w:before="120" w:after="40"/>
        <w:jc w:val="both"/>
        <w:rPr>
          <w:i/>
          <w:iCs/>
          <w:sz w:val="20"/>
          <w:szCs w:val="20"/>
          <w:lang w:val="fr-BE"/>
        </w:rPr>
      </w:pPr>
      <w:r w:rsidRPr="00794AAF">
        <w:rPr>
          <w:i/>
          <w:iCs/>
          <w:sz w:val="20"/>
          <w:szCs w:val="20"/>
          <w:lang w:val="fr-BE"/>
        </w:rPr>
        <w:t xml:space="preserve">La deuxième étape consiste à la sélection des autres entreprises de la strate. Pour les entreprises dont le pourcentage du chiffre d’affaires est inférieur à la borne fixée, il est procédé à un échantillonnage par choix raisonné sur la base du chiffre d’affaires ou de critères de taille correspondant aux recommandations méthodologiques d’Eurostat. </w:t>
      </w:r>
    </w:p>
    <w:p w:rsidR="00857CDA" w:rsidRPr="00794AAF" w:rsidRDefault="00857CDA" w:rsidP="00857CDA">
      <w:pPr>
        <w:jc w:val="both"/>
        <w:rPr>
          <w:sz w:val="20"/>
          <w:szCs w:val="20"/>
        </w:rPr>
      </w:pPr>
    </w:p>
    <w:p w:rsidR="00857CDA" w:rsidRPr="00C06A56" w:rsidRDefault="00857CDA" w:rsidP="00857CDA">
      <w:pPr>
        <w:jc w:val="both"/>
        <w:rPr>
          <w:b/>
          <w:bCs/>
          <w:i/>
          <w:iCs/>
          <w:sz w:val="20"/>
          <w:szCs w:val="20"/>
        </w:rPr>
      </w:pPr>
      <w:bookmarkStart w:id="0" w:name="_GoBack"/>
      <w:bookmarkEnd w:id="0"/>
      <w:r w:rsidRPr="00C06A56">
        <w:rPr>
          <w:b/>
          <w:bCs/>
          <w:i/>
          <w:iCs/>
          <w:sz w:val="20"/>
          <w:szCs w:val="20"/>
        </w:rPr>
        <w:t>Modalité de calcul des indices</w:t>
      </w:r>
    </w:p>
    <w:p w:rsidR="00857CDA" w:rsidRDefault="00857CDA" w:rsidP="00857CDA">
      <w:pPr>
        <w:spacing w:before="120" w:after="40"/>
        <w:jc w:val="both"/>
        <w:rPr>
          <w:i/>
          <w:iCs/>
          <w:sz w:val="20"/>
          <w:szCs w:val="20"/>
          <w:lang w:val="fr-BE"/>
        </w:rPr>
      </w:pPr>
      <w:r>
        <w:rPr>
          <w:i/>
          <w:iCs/>
          <w:sz w:val="20"/>
          <w:szCs w:val="20"/>
          <w:lang w:val="fr-BE"/>
        </w:rPr>
        <w:t>Le calcul des I</w:t>
      </w:r>
      <w:r w:rsidRPr="00C06A56">
        <w:rPr>
          <w:i/>
          <w:iCs/>
          <w:sz w:val="20"/>
          <w:szCs w:val="20"/>
          <w:lang w:val="fr-BE"/>
        </w:rPr>
        <w:t>ndices</w:t>
      </w:r>
      <w:r>
        <w:rPr>
          <w:i/>
          <w:iCs/>
          <w:sz w:val="20"/>
          <w:szCs w:val="20"/>
          <w:lang w:val="fr-BE"/>
        </w:rPr>
        <w:t xml:space="preserve"> des Prix à </w:t>
      </w:r>
      <w:smartTag w:uri="urn:schemas-microsoft-com:office:smarttags" w:element="PersonName">
        <w:smartTagPr>
          <w:attr w:name="ProductID" w:val="LA PRODUCTION INDUSTRIELLE"/>
        </w:smartTagPr>
        <w:r>
          <w:rPr>
            <w:i/>
            <w:iCs/>
            <w:sz w:val="20"/>
            <w:szCs w:val="20"/>
            <w:lang w:val="fr-BE"/>
          </w:rPr>
          <w:t>la Production I</w:t>
        </w:r>
        <w:r w:rsidRPr="00C06A56">
          <w:rPr>
            <w:i/>
            <w:iCs/>
            <w:sz w:val="20"/>
            <w:szCs w:val="20"/>
            <w:lang w:val="fr-BE"/>
          </w:rPr>
          <w:t>ndustrielle</w:t>
        </w:r>
      </w:smartTag>
      <w:r>
        <w:rPr>
          <w:i/>
          <w:iCs/>
          <w:sz w:val="20"/>
          <w:szCs w:val="20"/>
          <w:lang w:val="fr-BE"/>
        </w:rPr>
        <w:t xml:space="preserve"> (IPPI)</w:t>
      </w:r>
      <w:r w:rsidRPr="00C06A56">
        <w:rPr>
          <w:i/>
          <w:iCs/>
          <w:sz w:val="20"/>
          <w:szCs w:val="20"/>
          <w:lang w:val="fr-BE"/>
        </w:rPr>
        <w:t xml:space="preserve"> s’effectue de manière hiérarchisée </w:t>
      </w:r>
      <w:r>
        <w:rPr>
          <w:i/>
          <w:iCs/>
          <w:sz w:val="20"/>
          <w:szCs w:val="20"/>
          <w:lang w:val="fr-BE"/>
        </w:rPr>
        <w:t>en partant d</w:t>
      </w:r>
      <w:r w:rsidRPr="00C06A56">
        <w:rPr>
          <w:i/>
          <w:iCs/>
          <w:sz w:val="20"/>
          <w:szCs w:val="20"/>
          <w:lang w:val="fr-BE"/>
        </w:rPr>
        <w:t>es indices élémentaires correspondant aux produits industriels caractéristiques</w:t>
      </w:r>
      <w:r>
        <w:rPr>
          <w:i/>
          <w:iCs/>
          <w:sz w:val="20"/>
          <w:szCs w:val="20"/>
          <w:lang w:val="fr-BE"/>
        </w:rPr>
        <w:t xml:space="preserve">  aux indices de </w:t>
      </w:r>
      <w:r w:rsidRPr="00C06A56">
        <w:rPr>
          <w:i/>
          <w:iCs/>
          <w:sz w:val="20"/>
          <w:szCs w:val="20"/>
          <w:lang w:val="fr-BE"/>
        </w:rPr>
        <w:t>sous-branche et à l’I</w:t>
      </w:r>
      <w:r>
        <w:rPr>
          <w:i/>
          <w:iCs/>
          <w:sz w:val="20"/>
          <w:szCs w:val="20"/>
          <w:lang w:val="fr-BE"/>
        </w:rPr>
        <w:t>P</w:t>
      </w:r>
      <w:r w:rsidRPr="00C06A56">
        <w:rPr>
          <w:i/>
          <w:iCs/>
          <w:sz w:val="20"/>
          <w:szCs w:val="20"/>
          <w:lang w:val="fr-BE"/>
        </w:rPr>
        <w:t>PI  national.</w:t>
      </w:r>
      <w:r>
        <w:rPr>
          <w:i/>
          <w:iCs/>
          <w:sz w:val="20"/>
          <w:szCs w:val="20"/>
          <w:lang w:val="fr-BE"/>
        </w:rPr>
        <w:t xml:space="preserve"> </w:t>
      </w:r>
      <w:r w:rsidRPr="00C06A56">
        <w:rPr>
          <w:i/>
          <w:iCs/>
          <w:sz w:val="20"/>
          <w:szCs w:val="20"/>
          <w:lang w:val="fr-BE"/>
        </w:rPr>
        <w:t>Les indices élémentaires représent</w:t>
      </w:r>
      <w:r>
        <w:rPr>
          <w:i/>
          <w:iCs/>
          <w:sz w:val="20"/>
          <w:szCs w:val="20"/>
          <w:lang w:val="fr-BE"/>
        </w:rPr>
        <w:t>ent le rapport du prix</w:t>
      </w:r>
      <w:r w:rsidRPr="00C06A56">
        <w:rPr>
          <w:i/>
          <w:iCs/>
          <w:sz w:val="20"/>
          <w:szCs w:val="20"/>
          <w:lang w:val="fr-BE"/>
        </w:rPr>
        <w:t xml:space="preserve"> au cours du </w:t>
      </w:r>
      <w:r>
        <w:rPr>
          <w:i/>
          <w:iCs/>
          <w:sz w:val="20"/>
          <w:szCs w:val="20"/>
          <w:lang w:val="fr-BE"/>
        </w:rPr>
        <w:t xml:space="preserve">mois </w:t>
      </w:r>
      <w:r w:rsidRPr="00C06A56">
        <w:rPr>
          <w:i/>
          <w:iCs/>
          <w:sz w:val="20"/>
          <w:szCs w:val="20"/>
          <w:lang w:val="fr-BE"/>
        </w:rPr>
        <w:t>courant à cel</w:t>
      </w:r>
      <w:r>
        <w:rPr>
          <w:i/>
          <w:iCs/>
          <w:sz w:val="20"/>
          <w:szCs w:val="20"/>
          <w:lang w:val="fr-BE"/>
        </w:rPr>
        <w:t>ui</w:t>
      </w:r>
      <w:r w:rsidRPr="00C06A56">
        <w:rPr>
          <w:i/>
          <w:iCs/>
          <w:sz w:val="20"/>
          <w:szCs w:val="20"/>
          <w:lang w:val="fr-BE"/>
        </w:rPr>
        <w:t xml:space="preserve"> correspondant </w:t>
      </w:r>
      <w:r>
        <w:rPr>
          <w:i/>
          <w:iCs/>
          <w:sz w:val="20"/>
          <w:szCs w:val="20"/>
          <w:lang w:val="fr-BE"/>
        </w:rPr>
        <w:t>à la moyenne</w:t>
      </w:r>
      <w:r w:rsidRPr="00C06A56">
        <w:rPr>
          <w:i/>
          <w:iCs/>
          <w:sz w:val="20"/>
          <w:szCs w:val="20"/>
          <w:lang w:val="fr-BE"/>
        </w:rPr>
        <w:t xml:space="preserve"> de l’année de base.</w:t>
      </w:r>
      <w:r>
        <w:rPr>
          <w:i/>
          <w:iCs/>
          <w:sz w:val="20"/>
          <w:szCs w:val="20"/>
          <w:lang w:val="fr-BE"/>
        </w:rPr>
        <w:t xml:space="preserve"> </w:t>
      </w:r>
      <w:r w:rsidRPr="00C06A56">
        <w:rPr>
          <w:i/>
          <w:iCs/>
          <w:sz w:val="20"/>
          <w:szCs w:val="20"/>
          <w:lang w:val="fr-BE"/>
        </w:rPr>
        <w:t>Les indices de sous-branches sont</w:t>
      </w:r>
      <w:r>
        <w:rPr>
          <w:i/>
          <w:iCs/>
          <w:sz w:val="20"/>
          <w:szCs w:val="20"/>
          <w:lang w:val="fr-BE"/>
        </w:rPr>
        <w:t xml:space="preserve"> </w:t>
      </w:r>
      <w:r w:rsidRPr="00C06A56">
        <w:rPr>
          <w:i/>
          <w:iCs/>
          <w:sz w:val="20"/>
          <w:szCs w:val="20"/>
          <w:lang w:val="fr-BE"/>
        </w:rPr>
        <w:t xml:space="preserve">des indices de </w:t>
      </w:r>
      <w:proofErr w:type="spellStart"/>
      <w:r w:rsidRPr="00C06A56">
        <w:rPr>
          <w:i/>
          <w:iCs/>
          <w:sz w:val="20"/>
          <w:szCs w:val="20"/>
          <w:lang w:val="fr-BE"/>
        </w:rPr>
        <w:t>Laspeyres</w:t>
      </w:r>
      <w:proofErr w:type="spellEnd"/>
      <w:r w:rsidRPr="00C06A56">
        <w:rPr>
          <w:i/>
          <w:iCs/>
          <w:sz w:val="20"/>
          <w:szCs w:val="20"/>
          <w:lang w:val="fr-BE"/>
        </w:rPr>
        <w:t xml:space="preserve"> pondérant les indices élémentaires précédents relatifs aux produits selon leur poids respectif (pour l’année de base) dans la </w:t>
      </w:r>
      <w:r>
        <w:rPr>
          <w:i/>
          <w:iCs/>
          <w:sz w:val="20"/>
          <w:szCs w:val="20"/>
          <w:lang w:val="fr-BE"/>
        </w:rPr>
        <w:t xml:space="preserve">valeur ajoutée totale. </w:t>
      </w:r>
      <w:r w:rsidRPr="00C06A56">
        <w:rPr>
          <w:i/>
          <w:iCs/>
          <w:sz w:val="20"/>
          <w:szCs w:val="20"/>
          <w:lang w:val="fr-BE"/>
        </w:rPr>
        <w:t>L’I</w:t>
      </w:r>
      <w:r>
        <w:rPr>
          <w:i/>
          <w:iCs/>
          <w:sz w:val="20"/>
          <w:szCs w:val="20"/>
          <w:lang w:val="fr-BE"/>
        </w:rPr>
        <w:t>P</w:t>
      </w:r>
      <w:r w:rsidRPr="00C06A56">
        <w:rPr>
          <w:i/>
          <w:iCs/>
          <w:sz w:val="20"/>
          <w:szCs w:val="20"/>
          <w:lang w:val="fr-BE"/>
        </w:rPr>
        <w:t xml:space="preserve">PI est un indice de </w:t>
      </w:r>
      <w:proofErr w:type="spellStart"/>
      <w:r w:rsidRPr="00C06A56">
        <w:rPr>
          <w:i/>
          <w:iCs/>
          <w:sz w:val="20"/>
          <w:szCs w:val="20"/>
          <w:lang w:val="fr-BE"/>
        </w:rPr>
        <w:t>Lasp</w:t>
      </w:r>
      <w:r>
        <w:rPr>
          <w:i/>
          <w:iCs/>
          <w:sz w:val="20"/>
          <w:szCs w:val="20"/>
          <w:lang w:val="fr-BE"/>
        </w:rPr>
        <w:t>eyres</w:t>
      </w:r>
      <w:proofErr w:type="spellEnd"/>
      <w:r>
        <w:rPr>
          <w:i/>
          <w:iCs/>
          <w:sz w:val="20"/>
          <w:szCs w:val="20"/>
          <w:lang w:val="fr-BE"/>
        </w:rPr>
        <w:t xml:space="preserve"> pondérant les indices de </w:t>
      </w:r>
      <w:r w:rsidRPr="00C06A56">
        <w:rPr>
          <w:i/>
          <w:iCs/>
          <w:sz w:val="20"/>
          <w:szCs w:val="20"/>
          <w:lang w:val="fr-BE"/>
        </w:rPr>
        <w:t>sous-branches précé</w:t>
      </w:r>
      <w:r>
        <w:rPr>
          <w:i/>
          <w:iCs/>
          <w:sz w:val="20"/>
          <w:szCs w:val="20"/>
          <w:lang w:val="fr-BE"/>
        </w:rPr>
        <w:t xml:space="preserve">dents relatifs aux différentes </w:t>
      </w:r>
      <w:r w:rsidRPr="00C06A56">
        <w:rPr>
          <w:i/>
          <w:iCs/>
          <w:sz w:val="20"/>
          <w:szCs w:val="20"/>
          <w:lang w:val="fr-BE"/>
        </w:rPr>
        <w:t xml:space="preserve">sous-branches industrielles selon leur poids respectif </w:t>
      </w:r>
      <w:r>
        <w:rPr>
          <w:i/>
          <w:iCs/>
          <w:sz w:val="20"/>
          <w:szCs w:val="20"/>
          <w:lang w:val="fr-BE"/>
        </w:rPr>
        <w:t xml:space="preserve"> </w:t>
      </w:r>
      <w:r w:rsidRPr="00C06A56">
        <w:rPr>
          <w:i/>
          <w:iCs/>
          <w:sz w:val="20"/>
          <w:szCs w:val="20"/>
          <w:lang w:val="fr-BE"/>
        </w:rPr>
        <w:t xml:space="preserve">dans la </w:t>
      </w:r>
      <w:r>
        <w:rPr>
          <w:i/>
          <w:iCs/>
          <w:sz w:val="20"/>
          <w:szCs w:val="20"/>
          <w:lang w:val="fr-BE"/>
        </w:rPr>
        <w:t>valeur ajoutée industrielle</w:t>
      </w:r>
      <w:r w:rsidRPr="00C06A56">
        <w:rPr>
          <w:i/>
          <w:iCs/>
          <w:sz w:val="20"/>
          <w:szCs w:val="20"/>
          <w:lang w:val="fr-BE"/>
        </w:rPr>
        <w:t xml:space="preserve"> totale. </w:t>
      </w:r>
    </w:p>
    <w:p w:rsidR="00857CDA" w:rsidRPr="00794AAF" w:rsidRDefault="00857CDA" w:rsidP="00857CDA">
      <w:pPr>
        <w:jc w:val="both"/>
        <w:rPr>
          <w:sz w:val="20"/>
          <w:szCs w:val="20"/>
          <w:lang w:val="fr-BE"/>
        </w:rPr>
      </w:pPr>
    </w:p>
    <w:p w:rsidR="00857CDA" w:rsidRDefault="00857CDA" w:rsidP="00857CDA">
      <w:pPr>
        <w:jc w:val="both"/>
        <w:rPr>
          <w:b/>
          <w:bCs/>
          <w:i/>
          <w:iCs/>
          <w:sz w:val="20"/>
          <w:szCs w:val="20"/>
        </w:rPr>
      </w:pPr>
      <w:r w:rsidRPr="00C06A56">
        <w:rPr>
          <w:b/>
          <w:bCs/>
          <w:i/>
          <w:iCs/>
          <w:sz w:val="20"/>
          <w:szCs w:val="20"/>
        </w:rPr>
        <w:t>Diffusion</w:t>
      </w:r>
    </w:p>
    <w:p w:rsidR="00857CDA" w:rsidRPr="00794AAF" w:rsidRDefault="00857CDA" w:rsidP="00857CDA">
      <w:pPr>
        <w:jc w:val="both"/>
        <w:rPr>
          <w:b/>
          <w:bCs/>
          <w:sz w:val="20"/>
          <w:szCs w:val="20"/>
        </w:rPr>
      </w:pPr>
    </w:p>
    <w:p w:rsidR="00857CDA" w:rsidRPr="00F27102" w:rsidRDefault="00857CDA" w:rsidP="00857CDA">
      <w:pPr>
        <w:jc w:val="both"/>
        <w:rPr>
          <w:i/>
          <w:iCs/>
          <w:sz w:val="20"/>
          <w:szCs w:val="20"/>
          <w:lang w:val="fr-BE"/>
        </w:rPr>
      </w:pPr>
      <w:r w:rsidRPr="00F27102">
        <w:rPr>
          <w:i/>
          <w:iCs/>
          <w:sz w:val="20"/>
          <w:szCs w:val="20"/>
          <w:lang w:val="fr-BE"/>
        </w:rPr>
        <w:t xml:space="preserve"> Les indices sont présentés </w:t>
      </w:r>
      <w:r>
        <w:rPr>
          <w:i/>
          <w:iCs/>
          <w:sz w:val="20"/>
          <w:szCs w:val="20"/>
          <w:lang w:val="fr-BE"/>
        </w:rPr>
        <w:t xml:space="preserve">dans un tableau au niveau branche et sous-branche </w:t>
      </w:r>
      <w:r w:rsidRPr="00F27102">
        <w:rPr>
          <w:i/>
          <w:iCs/>
          <w:sz w:val="20"/>
          <w:szCs w:val="20"/>
          <w:lang w:val="fr-BE"/>
        </w:rPr>
        <w:t xml:space="preserve">selon la nomenclature des activités et produits </w:t>
      </w:r>
      <w:r>
        <w:rPr>
          <w:i/>
          <w:iCs/>
          <w:sz w:val="20"/>
          <w:szCs w:val="20"/>
          <w:lang w:val="fr-BE"/>
        </w:rPr>
        <w:t>des Etats membres d’AFRISTAT. Ce tableau comporte les indices du mois, l</w:t>
      </w:r>
      <w:r w:rsidRPr="00F27102">
        <w:rPr>
          <w:i/>
          <w:iCs/>
          <w:sz w:val="20"/>
          <w:szCs w:val="20"/>
          <w:lang w:val="fr-BE"/>
        </w:rPr>
        <w:t>es indices des mois précédents</w:t>
      </w:r>
      <w:r>
        <w:rPr>
          <w:i/>
          <w:iCs/>
          <w:sz w:val="20"/>
          <w:szCs w:val="20"/>
          <w:lang w:val="fr-BE"/>
        </w:rPr>
        <w:t xml:space="preserve"> de l’année en cours, l</w:t>
      </w:r>
      <w:r w:rsidRPr="00F27102">
        <w:rPr>
          <w:i/>
          <w:iCs/>
          <w:sz w:val="20"/>
          <w:szCs w:val="20"/>
          <w:lang w:val="fr-BE"/>
        </w:rPr>
        <w:t>es indices du m</w:t>
      </w:r>
      <w:r>
        <w:rPr>
          <w:i/>
          <w:iCs/>
          <w:sz w:val="20"/>
          <w:szCs w:val="20"/>
          <w:lang w:val="fr-BE"/>
        </w:rPr>
        <w:t>ême mois de l’année précédente, l</w:t>
      </w:r>
      <w:r w:rsidRPr="00F27102">
        <w:rPr>
          <w:i/>
          <w:iCs/>
          <w:sz w:val="20"/>
          <w:szCs w:val="20"/>
          <w:lang w:val="fr-BE"/>
        </w:rPr>
        <w:t>es variati</w:t>
      </w:r>
      <w:r>
        <w:rPr>
          <w:i/>
          <w:iCs/>
          <w:sz w:val="20"/>
          <w:szCs w:val="20"/>
          <w:lang w:val="fr-BE"/>
        </w:rPr>
        <w:t>ons entre le mois courant et le</w:t>
      </w:r>
      <w:r w:rsidRPr="00F27102">
        <w:rPr>
          <w:i/>
          <w:iCs/>
          <w:sz w:val="20"/>
          <w:szCs w:val="20"/>
          <w:lang w:val="fr-BE"/>
        </w:rPr>
        <w:t xml:space="preserve"> mois</w:t>
      </w:r>
      <w:r>
        <w:rPr>
          <w:i/>
          <w:iCs/>
          <w:sz w:val="20"/>
          <w:szCs w:val="20"/>
          <w:lang w:val="fr-BE"/>
        </w:rPr>
        <w:t xml:space="preserve"> précédent, ainsi que celle du même mois de l’année précédente. </w:t>
      </w:r>
      <w:r w:rsidRPr="00F27102">
        <w:rPr>
          <w:i/>
          <w:iCs/>
          <w:sz w:val="20"/>
          <w:szCs w:val="20"/>
          <w:lang w:val="fr-BE"/>
        </w:rPr>
        <w:t xml:space="preserve">Les indices sont disponibles au plus tard 45 jours après la fin du mois sous revue. </w:t>
      </w:r>
      <w:r>
        <w:rPr>
          <w:i/>
          <w:iCs/>
          <w:sz w:val="20"/>
          <w:szCs w:val="20"/>
          <w:lang w:val="fr-BE"/>
        </w:rPr>
        <w:t xml:space="preserve">Ils sont </w:t>
      </w:r>
      <w:r w:rsidRPr="00F27102">
        <w:rPr>
          <w:i/>
          <w:iCs/>
          <w:sz w:val="20"/>
          <w:szCs w:val="20"/>
          <w:lang w:val="fr-BE"/>
        </w:rPr>
        <w:t>accessible</w:t>
      </w:r>
      <w:r>
        <w:rPr>
          <w:i/>
          <w:iCs/>
          <w:sz w:val="20"/>
          <w:szCs w:val="20"/>
          <w:lang w:val="fr-BE"/>
        </w:rPr>
        <w:t>s</w:t>
      </w:r>
      <w:r w:rsidRPr="00F27102">
        <w:rPr>
          <w:i/>
          <w:iCs/>
          <w:sz w:val="20"/>
          <w:szCs w:val="20"/>
          <w:lang w:val="fr-BE"/>
        </w:rPr>
        <w:t xml:space="preserve"> sur le site internet de l’A</w:t>
      </w:r>
      <w:r>
        <w:rPr>
          <w:i/>
          <w:iCs/>
          <w:sz w:val="20"/>
          <w:szCs w:val="20"/>
          <w:lang w:val="fr-BE"/>
        </w:rPr>
        <w:t>gence</w:t>
      </w:r>
      <w:r w:rsidRPr="00F27102">
        <w:rPr>
          <w:i/>
          <w:iCs/>
          <w:sz w:val="20"/>
          <w:szCs w:val="20"/>
          <w:lang w:val="fr-BE"/>
        </w:rPr>
        <w:t> </w:t>
      </w:r>
      <w:r w:rsidRPr="002154AB">
        <w:rPr>
          <w:b/>
          <w:bCs/>
          <w:i/>
          <w:iCs/>
          <w:sz w:val="20"/>
          <w:szCs w:val="20"/>
          <w:lang w:val="fr-BE"/>
        </w:rPr>
        <w:t xml:space="preserve">: </w:t>
      </w:r>
      <w:hyperlink r:id="rId6" w:history="1">
        <w:r w:rsidRPr="005B010F">
          <w:rPr>
            <w:rStyle w:val="Lienhypertexte"/>
            <w:b/>
            <w:bCs/>
            <w:i/>
            <w:iCs/>
            <w:sz w:val="20"/>
            <w:szCs w:val="20"/>
            <w:lang w:val="fr-BE"/>
          </w:rPr>
          <w:t>www.ansd.sn</w:t>
        </w:r>
      </w:hyperlink>
      <w:r w:rsidRPr="00F27102">
        <w:rPr>
          <w:i/>
          <w:iCs/>
          <w:sz w:val="20"/>
          <w:szCs w:val="20"/>
          <w:lang w:val="fr-BE"/>
        </w:rPr>
        <w:t>. La diffusion de la publication mensuelle est faite largement en direction des utilisateurs (administrations nationales, médias nationaux et organismes internationaux</w:t>
      </w:r>
      <w:r>
        <w:rPr>
          <w:i/>
          <w:iCs/>
          <w:sz w:val="20"/>
          <w:szCs w:val="20"/>
          <w:lang w:val="fr-BE"/>
        </w:rPr>
        <w:t xml:space="preserve"> etc.)</w:t>
      </w:r>
    </w:p>
    <w:p w:rsidR="00BB6A60" w:rsidRPr="00857CDA" w:rsidRDefault="00BB6A60">
      <w:pPr>
        <w:rPr>
          <w:lang w:val="fr-BE"/>
        </w:rPr>
      </w:pPr>
    </w:p>
    <w:sectPr w:rsidR="00BB6A60" w:rsidRPr="00857CDA" w:rsidSect="00BB6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57CDA"/>
    <w:rsid w:val="000712D6"/>
    <w:rsid w:val="00144BF7"/>
    <w:rsid w:val="002838F2"/>
    <w:rsid w:val="002A0EAC"/>
    <w:rsid w:val="002D2118"/>
    <w:rsid w:val="002E49BD"/>
    <w:rsid w:val="00304D58"/>
    <w:rsid w:val="00382785"/>
    <w:rsid w:val="003866AC"/>
    <w:rsid w:val="003B731C"/>
    <w:rsid w:val="003C1A1E"/>
    <w:rsid w:val="00523695"/>
    <w:rsid w:val="00600606"/>
    <w:rsid w:val="00657AA6"/>
    <w:rsid w:val="00857CDA"/>
    <w:rsid w:val="00866145"/>
    <w:rsid w:val="00891AEB"/>
    <w:rsid w:val="008B0414"/>
    <w:rsid w:val="00947012"/>
    <w:rsid w:val="009E6321"/>
    <w:rsid w:val="00A054AA"/>
    <w:rsid w:val="00BB6A60"/>
    <w:rsid w:val="00CD6DC9"/>
    <w:rsid w:val="00D36F64"/>
    <w:rsid w:val="00DE633D"/>
    <w:rsid w:val="00DF6566"/>
    <w:rsid w:val="00E55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8"/>
    <o:shapelayout v:ext="edit">
      <o:idmap v:ext="edit" data="1"/>
    </o:shapelayout>
  </w:shapeDefaults>
  <w:decimalSymbol w:val=","/>
  <w:listSeparator w:val=";"/>
  <w15:docId w15:val="{42F66D14-5B1D-456E-9A6B-5FC8D084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CDA"/>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857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04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sd.sn" TargetMode="Externa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919</Words>
  <Characters>5059</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emgueye</dc:creator>
  <cp:lastModifiedBy>Compte Microsoft</cp:lastModifiedBy>
  <cp:revision>2</cp:revision>
  <dcterms:created xsi:type="dcterms:W3CDTF">2014-07-18T12:29:00Z</dcterms:created>
  <dcterms:modified xsi:type="dcterms:W3CDTF">2022-12-12T10:18:00Z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