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Arial" w:hAnsi="Arial" w:cs="Arial"/>
          <w:sz w:val="40"/>
          <w:sz-cs w:val="40"/>
          <w:b/>
          <w:color w:val="1F5C99"/>
        </w:rPr>
        <w:t xml:space="preserve">Portfolio Case Studies</w:t>
      </w:r>
    </w:p>
    <w:p>
      <w:pPr>
        <w:spacing w:after="80"/>
      </w:pPr>
      <w:r>
        <w:rPr>
          <w:rFonts w:ascii="Arial" w:hAnsi="Arial" w:cs="Arial"/>
          <w:sz w:val="24"/>
          <w:sz-cs w:val="24"/>
          <w:b/>
          <w:color w:val="555555"/>
        </w:rPr>
        <w:t xml:space="preserve">Awab  |  Senior Kubernetes Engineer</w:t>
      </w:r>
    </w:p>
    <w:p>
      <w:pPr>
        <w:spacing w:after="80"/>
      </w:pPr>
      <w:r>
        <w:rPr>
          <w:rFonts w:ascii="Arial" w:hAnsi="Arial" w:cs="Arial"/>
          <w:sz w:val="22"/>
          <w:sz-cs w:val="22"/>
          <w:color w:val="555555"/>
        </w:rPr>
        <w:t xml:space="preserve">Client Engagement: US-based Enterprise SaaS Platform</w:t>
      </w:r>
    </w:p>
    <w:p>
      <w:pPr>
        <w:spacing w:after="400"/>
      </w:pPr>
      <w:r>
        <w:rPr>
          <w:rFonts w:ascii="Arial" w:hAnsi="Arial" w:cs="Arial"/>
          <w:sz w:val="20"/>
          <w:sz-cs w:val="20"/>
          <w:i/>
          <w:color w:val="555555"/>
        </w:rPr>
        <w:t xml:space="preserve">Stack: Kubernetes  |  Istio  |  ArgoCD  |  Helm  |  Prometheus  |  Grafana  |  Elasticsearch  |  Jaeger  |  Kiali  |  Auth0 |  LGTM Stack |  Canary/Circuit Breaking </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  </w:t>
      </w:r>
      <w:r>
        <w:rPr>
          <w:rFonts w:ascii="Arial" w:hAnsi="Arial" w:cs="Arial"/>
          <w:sz w:val="28"/>
          <w:sz-cs w:val="28"/>
          <w:b/>
          <w:color w:val="1A1A2E"/>
        </w:rPr>
        <w:t xml:space="preserve">Multi-Environment Kubernetes Deployment Management for 400+ Microservices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operated a large-scale SaaS platform with over 400+ API microservices distributed across multiple Kubernetes clusters. Four environments existed in parallel: Dev, Staging, Testing, and Production. Each environment had its own lifecycle, and deployments needed to be consistent, traceable, and repeatable across all of them.</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As the team scaled, managing deployments across four environments manually became unsustainable. There was no standardized deployment process, which led to configuration drift between environments and frequent deployment failures that were difficult to trace.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took ownership of the deployment pipeline using ArgoCD as the single source of truth for all microservice deployments across clusters. Each microservice was packaged as a Helm chart with a dedicated values.yaml per environment, ensuring that Dev, Staging, Testing, and Production could each be deployed and updated independently without interfering with one another. When deployment failures occurred, I debugged them directly through the ArgoCD UI and logs. A common failure pattern was missing Kubernetes components, such as ConfigMaps, Secrets, or dependent resources that were not defined in the chart. For each of these, I wrote the missing YAML manifests and integrated them into the chart with the appropriate values.yaml entries so nothing was left to manual intervention.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Deployments across all four environments became consistent and fully automated through ArgoCD. Debugging time for deployment failures dropped significantly because every failure was traceable through Git and ArgoCD's sync status. The team had a clean, auditable deployment history across all clusters.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  </w:t>
      </w:r>
      <w:r>
        <w:rPr>
          <w:rFonts w:ascii="Arial" w:hAnsi="Arial" w:cs="Arial"/>
          <w:sz w:val="28"/>
          <w:sz-cs w:val="28"/>
          <w:b/>
          <w:color w:val="1A1A2E"/>
        </w:rPr>
        <w:t xml:space="preserve">Diagnosing and Fixing Inter-Service Communication Failures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deployed across Kubernetes clusters, services communicated with each other over internal DNS using Kubernetes service URLs. The platform relied on this inter-service communication functioning correctly for nearly every user-facing operation.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wave of microservice failures started appearing, where services were unable to reach each other. Initial logs pointed to connection refused and DNS resolution errors. The failures were not isolated to a single service, which suggested a systemic configuration issue rather than a code bug.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traced the failures back to incorrect service addresses hardcoded in the microservice configurations. Kubernetes internal DNS follows the format service-name.namespace.svc.cluster.local, but a number of services were using malformed variations like xyz-service:8080.namespace_name.local, which is not valid Kubernetes DNS syntax and caused silent resolution failures. I audited the service address configurations across the affected microservices, identified every instance of the incorrect format, and corrected them to the proper fully qualified internal DNS addresses. Where values were passed through Helm values files, I updated them at the chart level so the fix would persist across future deployments.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Inter-service connectivity was fully restored. Deploying the corrected configurations through ArgoCD brought all affected services back online without any application-level code changes. This also led to a standardization of how service URLs were defined across all Helm charts, preventing the same class of issue from recurring.</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3  </w:t>
      </w:r>
      <w:r>
        <w:rPr>
          <w:rFonts w:ascii="Arial" w:hAnsi="Arial" w:cs="Arial"/>
          <w:sz w:val="28"/>
          <w:sz-cs w:val="28"/>
          <w:b/>
          <w:color w:val="1A1A2E"/>
        </w:rPr>
        <w:t xml:space="preserve">Namespace-Based Aggregation and Governance for Microservice Clusters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grown to over 400+ microservices, all running across shared Kubernetes clusters. Without a deliberate organizational strategy, services from different domains and environments were becoming entangled, making network policy enforcement, RBAC scoping, and operational troubleshooting increasingly difficult.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consistent structure for how microservices were grouped or isolated within the cluster. This created risks around unintended cross-service access, made it harder to apply targeted policies, and caused operational noise when debugging because unrelated services shared the same namespace.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established a namespace-based aggregation strategy where microservices were grouped by domain and function rather than deployed into a flat default namespace. Related API services were co-located within the same namespace, and supporting infrastructure components such as monitoring, service mesh tooling, and databases were given dedicated namespaces of their own. This gave the team a clean mental model of the cluster, made Istio policy application straightforward since policies could target namespaces rather than individual workloads, and allowed RBAC rules to be scoped at a namespace level.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cluster went from an unstructured mix of workloads to a well-organized topology. Onboarding new services became faster because there was a clear convention for where each type of service belonged. Network policies and Istio configurations became more precise and easier to reason about, and debugging sessions were significantly shorter because engineers always knew exactly where to look.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4  </w:t>
      </w:r>
      <w:r>
        <w:rPr>
          <w:rFonts w:ascii="Arial" w:hAnsi="Arial" w:cs="Arial"/>
          <w:sz w:val="28"/>
          <w:sz-cs w:val="28"/>
          <w:b/>
          <w:color w:val="1A1A2E"/>
        </w:rPr>
        <w:t xml:space="preserve">Istio VirtualService and Gateway Configuration for API Traffic Routing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Istio as its service mesh for traffic management. With over 400+ microservices, each exposing API endpoints, there was a need to route external traffic correctly through the cluster and ensure that each service was reachable via a clean, domain-based URL rather than raw cluster IPs or NodePorts.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Without properly configured Istio resources, external and internal traffic could not be routed reliably to the correct microservices. There was also no centralized gateway handling inbound traffic, which meant each service was being exposed in an ad hoc manner.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a shared Istio Gateway resource that served as the single entry point for all inbound traffic to the cluster. The Gateway was configured to accept traffic broadly, allowing domain-level routing to be handled downstream by individual VirtualServices. For each microservice API, I created a corresponding VirtualService that referenced the shared Gateway and mapped the correct domain path or subdomain to that service's Kubernetes Service resource. This approach kept the Gateway simple and stable while allowing fine-grained routing control at the VirtualService level for each team.</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microservice APIs became externally accessible through clean domain-based routes. Traffic routing was fully managed through Istio, giving the team observability into traffic flows via Kiali and enabling future traffic management features like canary deployments and circuit breaking without any infrastructure changes.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5  </w:t>
      </w:r>
      <w:r>
        <w:rPr>
          <w:rFonts w:ascii="Arial" w:hAnsi="Arial" w:cs="Arial"/>
          <w:sz w:val="28"/>
          <w:sz-cs w:val="28"/>
          <w:b/>
          <w:color w:val="1A1A2E"/>
        </w:rPr>
        <w:t xml:space="preserve">Proposing and Implementing Encryption at Rest for Kubernetes Secrets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stored a significant number of sensitive credentials and configuration values as Kubernetes Secrets across multiple clusters. These Secrets were used by microservices at runtime for database credentials, API keys, and inter-service tokens.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By default, Kubernetes stores Secret objects in etcd in base64-encoded format, which is not encryption. Anyone with read access to etcd or sufficient cluster permissions could extract and decode these values trivially. For a production SaaS platform handling customer data, this was a material security risk.</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raised this as a security concern during an infrastructure review and proposed enabling encryption at rest for Kubernetes Secrets at the etcd level. The approach involved generating a dedicated encryption key and configuring the Kubernetes API server with an EncryptionConfiguration manifest specifying that all Secret resources should be encrypted using AES-CBC before being written to etcd. I documented the key management process and the steps to rotate the encryption key safely, ensuring the team understood both the implementation and the ongoing operational responsibility.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new Secrets written to the cluster were encrypted at rest. Existing Secrets were re-written through the API server to apply encryption retroactively. The platform's security posture improved meaningfully, and this change was noted as a compliance requirement that the team had not previously addressed.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6  </w:t>
      </w:r>
      <w:r>
        <w:rPr>
          <w:rFonts w:ascii="Arial" w:hAnsi="Arial" w:cs="Arial"/>
          <w:sz w:val="28"/>
          <w:sz-cs w:val="28"/>
          <w:b/>
          <w:color w:val="1A1A2E"/>
        </w:rPr>
        <w:t xml:space="preserve">Enabling Istio Sidecar Injection and Traffic Routing for PostgreSQL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PostgreSQL database inside the Kubernetes cluster. As the team expanded Istio's coverage across the cluster, there was a requirement to bring database traffic under the service mesh as well, enabling mTLS enforcement and traffic observability for database connections.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PostgreSQL operates on TCP port 5432, which Istio does not manage by default without explicit configuration. The existing setup had no Istio resources configured for the database, meaning database traffic bypassed the mesh entirely, leaving it unencrypted and unobserved.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started by verifying that port 5432 was correctly configured on the load balancer with both the TCP rule and the health check in place. The next step was sidecar injection. Because sidecar injection requires a pod restart, I injected the Envoy sidecar into the secondary scaled PostgreSQL pod first rather than the primary, to avoid disrupting active database connections. Once the sidecar was confirmed healthy, I created an Istio Gateway resource to allow inbound TCP traffic on port 5432 and a corresponding VirtualService to route that traffic to the PostgreSQL Kubernetes Service. I then confirmed that the Istio gateway was actively listening on port 5432 before declaring the configuration complete.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PostgreSQL traffic was brought fully under the Istio service mesh. Database connections were now observable through Kiali and could be governed by the same mTLS policies applied to the rest of the cluster. The staged sidecar injection approach meant zero downtime for the database during the transition.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7  </w:t>
      </w:r>
      <w:r>
        <w:rPr>
          <w:rFonts w:ascii="Arial" w:hAnsi="Arial" w:cs="Arial"/>
          <w:sz w:val="28"/>
          <w:sz-cs w:val="28"/>
          <w:b/>
          <w:color w:val="1A1A2E"/>
        </w:rPr>
        <w:t xml:space="preserve">Resolving mTLS Connectivity Failures Between API Service and MongoDB</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was progressively rolling out strict mutual TLS across namespaces to enforce encrypted, authenticated communication between all services in the mesh. The ms-service-api service in the account namespace was one of the first to have strict mTLS enabled.</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enabling strict mTLS on ms-service-api, the service immediately lost connectivity to its MongoDB instance. The MongoDB pod had no Istio sidecar injected, meaning it was operating outside the mesh. With strict mTLS enforced on the calling side, any connection attempt to a non-mesh workload would be rejected because Istio expected a valid mTLS handshake that MongoDB could not provide.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Rather than disabling mTLS or rolling back, I took a targeted approach using Istio's traffic management resources. I created a ServiceEntry to register the MongoDB service as a known external endpoint within the mesh, and a DestinationRule to specify that traffic destined for MongoDB should use a DISABLE TLS mode, effectively telling Istio's sidecar to send plain traffic to that specific destination without expecting an mTLS handshake. This allowed ms-service-api to maintain strict mTLS for all other service-to-service calls while communicating with MongoDB in a controlled, explicitly defined way.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Connectivity between ms-service-api and MongoDB was restored without weakening the mTLS posture for the rest of the namespace. The ServiceEntry and DestinationRule approach became the standard pattern for handling non-mesh workloads across the cluster going forward.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8  </w:t>
      </w:r>
      <w:r>
        <w:rPr>
          <w:rFonts w:ascii="Arial" w:hAnsi="Arial" w:cs="Arial"/>
          <w:sz w:val="28"/>
          <w:sz-cs w:val="28"/>
          <w:b/>
          <w:color w:val="1A1A2E"/>
        </w:rPr>
        <w:t xml:space="preserve">Cluster-Wide Strict mTLS Rollout and Controlled Rollback</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Following successful namespace-level mTLS implementations, the team decided to enforce strict mTLS across all namespaces simultaneously to achieve a uniform security baseline across the entire cluster.</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Enforcing strict mTLS cluster-wide is a high-risk operation in a live environment. Some services, particularly third-party components like Elasticsearch and Grafana, did not have Istio sidecars injected in their namespaces. A hard enforcement would immediately break connectivity to these services since they could not participate in mTLS handshakes.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prepared a single PeerAuthentication manifest named peer-auth-all-ns.yaml that set STRICT mTLS mode across all namespaces, along with a mirror rollback manifest ready to apply if anything failed. I applied the strict policy and monitored service health across the cluster in real time using Kiali. Within a short window, connection failures started appearing for services communicating with Elasticsearch and Grafana, both of which were running without sidecar injection. Having anticipated this possibility, I applied the rollback manifest immediately, restoring permissive mode cluster-wide before any user-facing impact could escalate.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rollback was clean and fast. The exercise surfaced exactly which namespaces and services needed sidecar injection before a cluster-wide strict mTLS policy could succeed. The team used this information to plan a phased rollout, injecting sidecars into the Elasticsearch and Grafana namespaces first, followed by a second enforcement attempt that completed successfully.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9  </w:t>
      </w:r>
      <w:r>
        <w:rPr>
          <w:rFonts w:ascii="Arial" w:hAnsi="Arial" w:cs="Arial"/>
          <w:sz w:val="28"/>
          <w:sz-cs w:val="28"/>
          <w:b/>
          <w:color w:val="1A1A2E"/>
        </w:rPr>
        <w:t xml:space="preserve">Integrating Auth0 SSO for Grafana and Prometheus Access Control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Grafana and Prometheus instances were protected by basic authentication, which was not aligned with the organization's identity management practices. The team used Auth0 as their identity provider across their SaaS product, and the goal was to bring monitoring tool access under the same SSO umbrella.</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Grafana and Prometheus out of the box do not natively support Auth0 as an identity provider without configuration. Anyone accessing monitoring dashboards had to use separate credentials, creating both a user experience problem and a security management problem since there was no centralized way to revoke access.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Grafana to use Auth0 as its OAuth2 identity provider by updating the Grafana configuration with the Auth0 application credentials, the authorization URL, the token URL, and the API URL. On the Auth0 side, I created a dedicated application for Grafana with the correct callback URLs and configured the allowed email domains to match the organization's domain, ensuring only users within that domain could authenticate. For Prometheus, I applied a similar approach using an Auth0-aware reverse proxy layer. Once the integration was live, all users in the organization's Auth0 tenant could sign in to Grafana and Prometheus using their existing organizational credentials.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Access to monitoring tools was unified under the organization's Auth0 tenant. Onboarding and offboarding engineers to monitoring access became instant since it was now tied to their organizational identity. The team eliminated a class of orphaned credentials that had previously existed on the monitoring stack.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10  </w:t>
      </w:r>
      <w:r>
        <w:rPr>
          <w:rFonts w:ascii="Arial" w:hAnsi="Arial" w:cs="Arial"/>
          <w:sz w:val="28"/>
          <w:sz-cs w:val="28"/>
          <w:b/>
          <w:color w:val="1A1A2E"/>
        </w:rPr>
        <w:t xml:space="preserve">Implementing Role-Based Access Control for Grafana via Auth0 Custom Actions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completing the Auth0 SSO integration for Grafana, the team had a new requirement. Not all users who could authenticate should have the same level of access within Grafana. Developers needed viewer access, while infrastructure engineers required editor or admin roles.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Auth0 by default passes identity claims to applications but does not automatically map organizational roles into the tokens that Grafana reads. Without role claims in the token, Grafana had no way to differentiate between users and assign them appropriate permission levels, meaning every authenticated user would land with the same default role.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used Auth0 Actions to write a custom post-login trigger that injected role information into the ID token before it reached Grafana. The action checked which Auth0 application the user was logging into and, for the Grafana application specifically, extracted the user's assigned Auth0 roles and added them as a custom claim on the ID token. This scoped the role injection to Grafana only, so the action would not affect tokens issued for any other application in the tenant. On the Grafana side, I configured the role attribute path in the OAuth2 settings to read from this custom claim, allowing Grafana to map Auth0 roles directly to Grafana permission levels at login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Grafana access became fully role-aware. Infrastructure engineers received admin access automatically upon login, developers received viewer access, and the whole flow was driven by the roles already managed in Auth0 without any per-user configuration inside Grafana itself.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11  </w:t>
      </w:r>
      <w:r>
        <w:rPr>
          <w:rFonts w:ascii="Arial" w:hAnsi="Arial" w:cs="Arial"/>
          <w:sz w:val="28"/>
          <w:sz-cs w:val="28"/>
          <w:b/>
          <w:color w:val="1A1A2E"/>
        </w:rPr>
        <w:t xml:space="preserve">Fixing Prometheus ServiceMonitors for Accurate Microservice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Prometheus deployed for metrics collection across all microservice APIs. ServiceMonitor resources are the standard mechanism for telling Prometheus which services to scrape and how, but the existing ServiceMonitors were either misconfigured or missing for a significant portion of the microservices.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was not collecting metrics from most of the microservice APIs. Dashboard queries in Grafana returned empty results, and alerting based on per-service metrics was effectively non-functional. Engineers had no visibility into the health of individual services.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audited the existing ServiceMonitor resources against the actual deployed services and found multiple issues: incorrect label selectors that did not match the labels on the target Service objects, wrong port names, and missing namespace scope definitions. For each microservice API, I created or corrected a ServiceMonitor with the accurate matchLabels selector, the correct port name referencing the metrics port, and the appropriate namespace. I validated each one by running target queries directly in the Prometheus UI, confirming that metrics from each service were appearing with the correct job and name labels before moving 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Prometheus began scraping all microservice APIs successfully. Grafana dashboards populated with live per-service metrics for the first time. The team gained actionable visibility into request rates, error rates, and latency for every API in the cluster, which directly enabled the alerting rules they had been trying to configure.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12  </w:t>
      </w:r>
      <w:r>
        <w:rPr>
          <w:rFonts w:ascii="Arial" w:hAnsi="Arial" w:cs="Arial"/>
          <w:sz w:val="28"/>
          <w:sz-cs w:val="28"/>
          <w:b/>
          <w:color w:val="1A1A2E"/>
        </w:rPr>
        <w:t xml:space="preserve">Resolving Undefined Variable Deployment Failures in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routine deployment cycle across the Testing environment, several microservices began failing to sync in ArgoCD. The failures were blocking the testing pipeline and preventing the team from validating new features before they moved to Staging and Production.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ArgoCD sync errors were appearing across multiple services, but the errors were not immediately obvious. The failure manifested as a rendering error at the Helm chart level, which meant the YAML manifests could not even be generated, let alone applied to the cluster.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reviewed the ArgoCD sync error details for each failing service and traced the root cause to a variable referenced in the Helm chart templates that had no corresponding definition in the values.yaml files for the affected environments. Helm treats undefined variables as rendering errors depending on how they are referenced, which explained why the same chart worked in some environments where the variable happened to be defined but failed in others where it was not. I identified every occurrence of the undefined variable across the chart templates, assessed whether it needed a default value or an explicit value per environment, and made the appropriate fix in each environment's values.yaml. I then triggered a re-sync in ArgoCD to confirm all services deployed cleanly.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blocked deployments resumed immediately after the values files were corrected. The fix was applied consistently across Dev, Staging, Testing, and Production values files to prevent the same failure from reappearing during subsequent deployment cycles.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13  </w:t>
      </w:r>
      <w:r>
        <w:rPr>
          <w:rFonts w:ascii="Arial" w:hAnsi="Arial" w:cs="Arial"/>
          <w:sz w:val="28"/>
          <w:sz-cs w:val="28"/>
          <w:b/>
          <w:color w:val="1A1A2E"/>
        </w:rPr>
        <w:t xml:space="preserve">Identifying and Escalating a Date Format Bug Causing API Endpoint Failures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 critical API endpoint used for auto-scheduling functionality was failing repeatedly in production. The failures were not infrastructure-related and could not be resolved through redeployment or configuration changes, which indicated the problem was in the application code itself.</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endpoint was returning errors on every invocation, which was blocking a core feature of the platform. Initial investigation pointed to a data processing issue, but the engineering team needed a precise diagnosis to make a targeted code fix.</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analyzed the application logs for the failing endpoint and identified a type comparison error in the Python code. The issue was on this line: delta = pd.to_datetime(current_date) - pd.to_datetime(primary_target_date).date(). The problem was that pd.to_datetime() returns a pandas Timestamp object, while .date() converts the second value to a Python datetime.date object. Subtracting a Timestamp from a date object raises a TypeError because they are incompatible types. I documented the exact line, the reason for the failure, and the recommended fix, which was to apply consistent type conversion on both sides of the subtraction. I also flagged a secondary warning in the code related to number format inconsistencies that posed a future risk. I raised this as a formal code issue to the development team with full context so they could action it immediately.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development team applied the fix in the next release and the endpoint resumed normal operation. By providing a precise diagnosis rather than a vague bug report, the fix was scoped to a single line change and deployed within hours of the issue being raised.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14  </w:t>
      </w:r>
      <w:r>
        <w:rPr>
          <w:rFonts w:ascii="Arial" w:hAnsi="Arial" w:cs="Arial"/>
          <w:sz w:val="28"/>
          <w:sz-cs w:val="28"/>
          <w:b/>
          <w:color w:val="1A1A2E"/>
        </w:rPr>
        <w:t xml:space="preserve">Fixing Prometheus Alert Rule Visibility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had configured Prometheus alerting rules to monitor critical conditions across the microservice APIs. However, after deployment, the alerts were not being evaluated by Prometheus and were invisible in the Alertmanager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only discovers and evaluates PrometheusRule resources deployed in namespaces it is configured to watch. The alert rule objects had been deployed into various application namespaces rather than the centralized monitoring namespace, which meant Prometheus was not picking them up.</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namespace mismatch by comparing where the PrometheusRule resources were deployed against the Prometheus operator's namespace selector configuration. The operator was configured to only watch the monitoring namespace for rule resources, which is the standard and recommended deployment pattern. I moved all PrometheusRule resources into the monitoring namespace and verified in the Prometheus UI under Status &gt; Rules that all alert rules were now loaded, evaluated, and in the expected state.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alert rules became active and visible in Prometheus. The team's alerting system, which had been silently non-functional for some time, began firing and routing alerts correctly through Alertmanager. This also prompted a documentation update so future alert rules would be deployed to the correct namespace by default.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15  </w:t>
      </w:r>
      <w:r>
        <w:rPr>
          <w:rFonts w:ascii="Arial" w:hAnsi="Arial" w:cs="Arial"/>
          <w:sz w:val="28"/>
          <w:sz-cs w:val="28"/>
          <w:b/>
          <w:color w:val="1A1A2E"/>
        </w:rPr>
        <w:t xml:space="preserve">Resolving instanceLabel Configuration Errors Across Helm Charts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deployment cycle, multiple microservice Helm charts began producing errors related to an instanceLabel field. The errors were surfacing across several repositories simultaneously, suggesting a shared chart library or common template was the source.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instanceLabel field was being referenced in chart templates but was not defined in the corresponding values files for those charts. Depending on how the field was used in the template logic, this caused either rendering failures or unexpected behavior at deployment time, blocking several services from syncing through ArgoCD.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a dedicated fix branch that spanned all affected repositories. Working through each chart, I located every reference to the instanceLabel field in the templates and cross-referenced it against the values files to confirm it was undefined. Where instanceLabel needed a value, I added the appropriate definition to the values.yaml files. Where it was referenced but optional, I added a default value guard in the template. I also audited adjacent values that were incorrectly configured in the same pass, fixing them proactively rather than waiting for them to cause separate incidents. All fixes were committed to the branch and deployed through ArgoCD after review.</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affected services resumed normal deployment. Addressing the issue at the branch level across all repositories ensured the fix was consistent and did not need to be repeated service by service. The proactive values audit caught several related misconfigurations before they caused their own incidents.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16  </w:t>
      </w:r>
      <w:r>
        <w:rPr>
          <w:rFonts w:ascii="Arial" w:hAnsi="Arial" w:cs="Arial"/>
          <w:sz w:val="28"/>
          <w:sz-cs w:val="28"/>
          <w:b/>
          <w:color w:val="1A1A2E"/>
        </w:rPr>
        <w:t xml:space="preserve">Migrating Elasticsearch and Kibana Deployment to Internal Helm Chart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required Elasticsearch and Kibana for log aggregation and search across the microservice fleet. An initial deployment was done manually to validate the setup, but the team had an existing internal Helm chart in their Git repository already configured for the ECK stack with the organization's specific values.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Running the Elasticsearch and Kibana deployment outside of the standard GitOps workflow meant it was not version-controlled, not reproducible, and not managed through ArgoCD like every other workload in the cluster. Any change to the deployment would need to be made manually, creating operational inconsistency.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internal ECK stack chart in the team's Git repository and reviewed its structure and configured values. Rather than continuing with the manually deployed resources, I transitioned to deploying via the internal chart through ArgoCD. The initial sync produced several errors from the chart configuration, which I worked through systematically by reviewing the error output, adjusting the chart values to match the cluster's current state, and re-syncing until the deployment was clean. Once successful, the Elasticsearch and Kibana deployment was fully under GitOps control.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logging stack became a first-class citizen in the cluster's GitOps workflow. Future updates to Elasticsearch or Kibana could be made through a Git commit and ArgoCD sync, with the same traceability and rollback capability available to every other service in the cluster.</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17  </w:t>
      </w:r>
      <w:r>
        <w:rPr>
          <w:rFonts w:ascii="Arial" w:hAnsi="Arial" w:cs="Arial"/>
          <w:sz w:val="28"/>
          <w:sz-cs w:val="28"/>
          <w:b/>
          <w:color w:val="1A1A2E"/>
        </w:rPr>
        <w:t xml:space="preserve">Deploying Prometheus and Grafana Monitoring Stack via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cluster needed a full observability stack deployed to support metrics collection and dashboarding for the microservice APIs. Prometheus and Grafana are the standard choice for this use case, but they needed to be deployed in a way that was consistent with the team's GitOps practices.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Deploying monitoring infrastructure manually would create the same operational debt seen with other manually managed components. The team had an internal chart for the monitoring stack but it had outstanding errors that prevented it from deploying cleanly.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kube-prometheus-stack Helm chart through ArgoCD, which packages Prometheus, Grafana, Alertmanager, and the necessary CRDs and operators together. I first attempted to use the team's custom internal chart but hit rendering errors. Rather than spending time debugging a chart that was not yet production-ready, I used the upstream kube-prometheus-stack chart while simultaneously investigating the internal chart errors for a future migration. I configured the ArgoCD Application resource with the appropriate Helm values for the cluster's namespace structure and storage requirements, monitored the component rollout through the ArgoCD UI, and confirmed that Prometheus was scraping cluster metrics and Grafana was accessible before closing the task.</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monitoring stack was operational and managed through ArgoCD. Prometheus began collecting cluster and workload metrics, and Grafana was available with the standard Kubernetes dashboards pre-loaded. This provided the baseline observability layer that all subsequent monitoring work, including ServiceMonitors and alert rules, was built on top of.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18  </w:t>
      </w:r>
      <w:r>
        <w:rPr>
          <w:rFonts w:ascii="Arial" w:hAnsi="Arial" w:cs="Arial"/>
          <w:sz w:val="28"/>
          <w:sz-cs w:val="28"/>
          <w:b/>
          <w:color w:val="1A1A2E"/>
        </w:rPr>
        <w:t xml:space="preserve">Setting Up Full Monitoring Stack for a New Cluster Environment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part of a broader cluster provisioning effort, a new environment required a complete monitoring stack to be stood up from scratch. The goal was to have Prometheus and Grafana operational before the microservice workloads were deployed so that observability was available from day one.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Prometheus and Grafana Helm charts through ArgoCD as part of the initial cluster setup sequence. This was done before application workloads were onboarded so that the monitoring stack could begin collecting infrastructure-level metrics immediately. I configured the deployments to fit the namespace structure of the new cluster, ensured persistent storage was attached correctly for Prometheus metric retention, and validated that Grafana was accessible and connected to Prometheus as its data source.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new environment had a fully operational monitoring stack ready before the first application workload arrived. This meant the team had baseline metrics and dashboards from the moment services started deploying, which proved valuable during the initial deployment validation phase.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19  </w:t>
      </w:r>
      <w:r>
        <w:rPr>
          <w:rFonts w:ascii="Arial" w:hAnsi="Arial" w:cs="Arial"/>
          <w:sz w:val="28"/>
          <w:sz-cs w:val="28"/>
          <w:b/>
          <w:color w:val="1A1A2E"/>
        </w:rPr>
        <w:t xml:space="preserve">Deploying Elastic Agents for Cluster-Wide Log and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Elasticsearch as its log aggregation backend, but raw log shipping required agents running on the cluster nodes and within pods to gather, parse, and forward logs and metrics to Elasticsearch.</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Elastic Agents across the cluster to gather both metrics and logs from all running workloads. The agents were configured as a DaemonSet to ensure every node in the cluster had coverage. I configured the agent policies to collect Kubernetes system logs, container stdout logs, and cluster-level metrics, then pointed the output to the Elasticsearch instance running in the monitoring namespace. I verified data flow by checking the Kibana Discover view to confirm logs were arriving with the correct metadata fields, including namespace, pod name, and container name, making them filterable and searchable.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full log visibility across the cluster in Kibana. Engineers could search and filter logs by service, namespace, or time range without needing direct cluster access, which significantly improved incident response speed and reduced the time spent correlating logs during debugging sessions.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20  </w:t>
      </w:r>
      <w:r>
        <w:rPr>
          <w:rFonts w:ascii="Arial" w:hAnsi="Arial" w:cs="Arial"/>
          <w:sz w:val="28"/>
          <w:sz-cs w:val="28"/>
          <w:b/>
          <w:color w:val="1A1A2E"/>
        </w:rPr>
        <w:t xml:space="preserve">Building a Multi-Region Helm Manifest Generation Script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was expanding its infrastructure to support multiple geographic regions. Each region required its own set of Kubernetes manifests derived from the same base Helm charts but with region-specific values such as deployment names, service endpoints, and resource labels.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Manually duplicating and modifying Helm manifests for each new region was error-prone and time-consuming. With over 400+ microservices and multiple regions to support, the scale of manual work was not viable and introduced significant risk of inconsistency between regions.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wrote a Bash script that automated the process of generating region-specific Kubernetes manifests from a base Helm chart. The script fetched the Helm chart for a given microservice API repository, rendered the base manifests using helm template, and then systematically transformed all region-sensitive values to match the target region. For example, a deployment named DEPLOYMENT_CENTRAL would be transformed to DEPLOYMENT_EAST for the eastern region deployment, with all corresponding labels, selectors, service names, and endpoint references updated in the same pass. The script was written to be idempotent and parameterized so that generating manifests for a new region required only passing the target region identifier as an argument.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What previously required hours of manual editing per service became a single script execution per region. The manifests generated were consistent and correct by construction, eliminating the class of region configuration errors that had previously required post-deployment debugging. The script was added to the team's tooling repository and used as the standard approach for all subsequent regional expansions.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21  </w:t>
      </w:r>
      <w:r>
        <w:rPr>
          <w:rFonts w:ascii="Arial" w:hAnsi="Arial" w:cs="Arial"/>
          <w:sz w:val="28"/>
          <w:sz-cs w:val="28"/>
          <w:b/>
          <w:color w:val="1A1A2E"/>
        </w:rPr>
        <w:t xml:space="preserve">Creating ServiceMonitors for Full Microservice API Coverage in Prometheus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the Prometheus and Grafana monitoring stack was operational, the next step was ensuring that every microservice API had a corresponding ServiceMonitor so Prometheus could scrape their metrics endpoints. Without this, Prometheus would only collect infrastructure-level metrics and remain blind to the application layer.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ServiceMonitor resources for each microservice API deployed in the cluster. Each ServiceMonitor was configured with the correct label selector to match the target Service, the metrics port name, the scrape interval, and the namespace scope. I worked through the full list of deployed APIs systematically, creating ServiceMonitors in the Prometheus namespace so the operator would pick them up correctly. After each batch, I queried the Prometheus targets page and ran test queries in the Prometheus query interface to verify that metrics were flowing in with the expected labels, including the service name and job identifier.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Every microservice API in the cluster was instrumented in Prometheus. The Grafana dashboards could now show per-service metrics including request rates, error rates, and latency percentiles. The alerting rules that had been configured earlier now had accurate, live data to evaluate against, completing the observability loop for the platform.</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22  </w:t>
      </w:r>
      <w:r>
        <w:rPr>
          <w:rFonts w:ascii="Arial" w:hAnsi="Arial" w:cs="Arial"/>
          <w:sz w:val="28"/>
          <w:sz-cs w:val="28"/>
          <w:b/>
          <w:color w:val="1A1A2E"/>
        </w:rPr>
        <w:t xml:space="preserve">Full Infrastructure Migration Across Cloud Regions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made a strategic decision to migrate their entire platform infrastructure from one cloud region to another. This involved moving all microservice workloads, the service mesh, the observability stack, and all supporting tooling without disrupting the SaaS platform's availability.</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migration of this scale involves many interdependent components. Istio, as the routing backbone for all inter-service traffic, needed to be operational before any microservices could be deployed. The observability stack needed to be in place before workloads arrived. The sequencing of the migration was as important as the individual steps.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led the infrastructure side of the migration. The new cluster was provisioned in the target region and I began by establishing the tooling namespace, which would house all platform infrastructure before any application workloads arrived. I deployed the full observability stack first: Kiali, Jaeger, Grafana, Prometheus, and Elasticsearch, all through ArgoCD using the Helm charts that had been refined over the previous months. Istio was treated as a critical dependency and deployed and validated before any microservice could be migrated. Once the service mesh was confirmed healthy, I deployed ArgoCD and used it to orchestrate the remaining workload migrations. Each microservice was deployed through its ArgoCD Application definition, with the values configured for the target region. Routing was configured through Istio VirtualServices and Gateways, matching the topology of the source region.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platform was successfully migrated to the new region. The use of GitOps throughout the migration meant the new region's state was fully reproducible from the Git repository, with no manual steps required for future disaster recovery or regional replication. The migration was completed with zero data loss and minimal service disruption.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23  </w:t>
      </w:r>
      <w:r>
        <w:rPr>
          <w:rFonts w:ascii="Arial" w:hAnsi="Arial" w:cs="Arial"/>
          <w:sz w:val="28"/>
          <w:sz-cs w:val="28"/>
          <w:b/>
          <w:color w:val="1A1A2E"/>
        </w:rPr>
        <w:t xml:space="preserve">Migrating Bitnami Helm Charts to OCI-Compatible Registry</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several Bitnami Helm charts for common infrastructure components. Bitnami deprecated their legacy chart repository hosted at charts.bitnami.com/bitnami and migrated their charts to an OCI-based registry. This affected any cluster or CI pipeline that pulled Bitnami charts using the traditional helm repo add approach.</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Bitnami's deprecation of the legacy Helm repository, all chart pulls that referenced the old repository URL began failing. This blocked deployments of any service that depended on a Bitnami chart, including database operators, message queues, and caching layers that the microservices relied 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all Helm chart dependencies across the platform's repositories that referenced the legacy Bitnami chart repository. The migration strategy was to switch from the helm repo add model to pulling charts directly from Bitnami's OCI registry at oci://registry-1.docker.io/bitnamicharts. For each affected chart, I updated the dependency reference in Chart.yaml to use the OCI URL format rather than a repository alias. For ArgoCD Application resources that referenced Bitnami charts directly, I updated the repoURL field to the OCI registry path. I tested each updated chart through a helm dependency update and a dry-run deployment before applying changes to the live cluster.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Bitnami chart dependencies were migrated to the OCI registry and deployments resumed without further interruption. The OCI-based approach is the current Bitnami standard and positions the platform correctly for all future Bitnami chart updates.</w:t>
      </w:r>
    </w:p>
    <w:p>
      <w:pPr>
        <w:spacing w:before="120" w:after="80"/>
      </w:pPr>
      <w:r>
        <w:rPr>
          <w:rFonts w:ascii="Arial" w:hAnsi="Arial" w:cs="Arial"/>
          <w:sz w:val="22"/>
          <w:sz-cs w:val="22"/>
          <w:color w:val="1A1A2E"/>
        </w:rPr>
        <w:t xml:space="preserve"/>
      </w:r>
    </w:p>
    <w:p>
      <w:pPr>
        <w:spacing w:before="480" w:after="120"/>
      </w:pPr>
      <w:r>
        <w:rPr>
          <w:rFonts w:ascii="Arial" w:hAnsi="Arial" w:cs="Arial"/>
          <w:sz w:val="28"/>
          <w:sz-cs w:val="28"/>
          <w:b/>
          <w:color w:val="1F5C99"/>
        </w:rPr>
        <w:t xml:space="preserve">Case Study 24  </w:t>
      </w:r>
      <w:r>
        <w:rPr>
          <w:rFonts w:ascii="Arial" w:hAnsi="Arial" w:cs="Arial"/>
          <w:sz w:val="28"/>
          <w:sz-cs w:val="28"/>
          <w:b/>
          <w:color w:val="1A1A2E"/>
        </w:rPr>
        <w:t xml:space="preserve">Istio Canary Deployments for Zero-Risk API Releases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microservice APIs were being deployed using standard rolling updates, which meant that every new release immediately replaced the running version across all pods. For a SaaS product with active users, this created a binary risk: either the release was fine, or it was bad and already serving 400+% of traffic before anyone caught it.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experienced several incidents where a new API version introduced a regression that only surfaced under real production traffic patterns. By the time the issue was detected, all users were affected and a rollback was the only recovery option. The team needed a safer release mechanism that allowed new versions to be validated on a small slice of live traffic before full promotion.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implemented canary deployments using Istio's subset-based traffic splitting. For each API service undergoing a canary release, I deployed the new version as a separate Kubernetes Deployment alongside the existing stable version, both sharing the same Kubernetes Service but distinguished by a version label on their pods. I defined two subsets in a DestinationRule for the service, one pointing to the stable version pods and one pointing to the canary version pods, using label selectors to target each group. I then created a VirtualService with weighted routing rules referencing those subsets directly, routing 80% of traffic to the stable subset and 20% to the canary subset. This meant the new version was receiving real production traffic immediately but only a controlled fifth of it, which was enough to surface any regressions without exposing the majority of users to risk. I monitored the traffic split in real time through Kiali's service graph, which showed the 80/20 distribution visually, and watched error rates and latency for both subsets in Grafana. Once the canary subset held healthy metrics over the observation window, I updated the VirtualService weights to shift fully to the new version and removed the old Deployment.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the ability to release new API versions with a controllable blast radius. The subset approach gave precise, label-driven control over which pods received which share of traffic, and the 80/20 split proved to be the right balance between validation coverage and user risk. Rollback at any point was a single VirtualService weight change back to 400+% stable, which took seconds rather than requiring a full redeployment.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25  </w:t>
      </w:r>
      <w:r>
        <w:rPr>
          <w:rFonts w:ascii="Arial" w:hAnsi="Arial" w:cs="Arial"/>
          <w:sz w:val="28"/>
          <w:sz-cs w:val="28"/>
          <w:b/>
          <w:color w:val="1A1A2E"/>
        </w:rPr>
        <w:t xml:space="preserve">Implementing Istio Circuit Breaking to Protect Upstream 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communicating with each other, the platform was vulnerable to cascading failures. If one service started responding slowly or returning errors, upstream callers would accumulate open connections waiting for responses, eventually exhausting their own resources and failing in turn. This failure propagation pattern had caused several wide-impact incidents.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mechanism to stop traffic from being sent to a service that was already struggling. Kubernetes liveness and readiness probes help with completely crashed pods but do nothing for a service that is still running but degraded. The platform needed a way to automatically detect unhealthy service instances and stop routing traffic to them before they could drag down their callers.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Istio circuit breaking using DestinationRule resources applied to the services most critical to platform stability. The core of the configuration was an outlier detection block within each DestinationRule that defined the rules under which a microservice pod would be ejected from the load balancing pool. Specifically, if a pod started timing out or returning consecutive errors beyond the configured threshold within a rolling time interval, Istio's Envoy sidecar would automatically remove that pod from the pool and stop routing any traffic to it for a defined ejection period. The ejection duration was set to increase with repeated violations, so a pod that kept misbehaving after returning to the pool would be removed for progressively longer windows. I also configured connection pool settings within the same DestinationRule to cap the number of concurrent connections and pending requests allowed against each service, ensuring a slow downstream could not hold connections open indefinitely against its callers. I validated the behavior using Kiali's service graph, which surfaces ejection events and shows traffic redistributing to the remaining healthy pods in real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platform gained automatic protection against degraded service instances. During a subsequent incident where one pod in a database-access service started timing out intermittently, the circuit breaker ejected it from the pool automatically within the configured interval. Healthy pods absorbed the traffic without any user-facing impact, and the issue appeared in Grafana alerts rather than as a user-reported outage. The team went from reactive incident response to having the mesh self-heal around degraded pods before the problem could cascade.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26  </w:t>
      </w:r>
      <w:r>
        <w:rPr>
          <w:rFonts w:ascii="Arial" w:hAnsi="Arial" w:cs="Arial"/>
          <w:sz w:val="28"/>
          <w:sz-cs w:val="28"/>
          <w:b/>
          <w:color w:val="1A1A2E"/>
        </w:rPr>
        <w:t xml:space="preserve">Distributed Request Tracing Across Microservices Using Jaeger</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handling API requests, understanding the full lifecycle of a single user request as it traversed multiple services was nearly impossible using logs alone. When a request failed or was slow, engineers had no way to identify which service in the chain was responsible without manually correlating log entries across multiple pods and namespaces.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absence of distributed tracing meant that debugging latency issues and tracing error propagation across service boundaries was a time-intensive process that relied on engineers having deep knowledge of the service call graph. Incident resolution times were high because identifying the failing hop in a multi-service request chain could take as long as the fix itself.</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Jaeger into the cluster's monitoring namespace and integrated it with the existing Istio service mesh. Because Istio's Envoy sidecars automatically propagate trace headers for all traffic passing through the mesh, adding Jaeger gave the platform distributed tracing coverage across all instrumented services without requiring code changes in the microservices themselves. I configured the Istio mesh to sample a percentage of requests and export trace spans to Jaeger's collector. I then used Kiali's built-in Jaeger integration to surface traces directly within the service graph view, allowing engineers to click on a service and jump into the trace timeline for any request that touched it. I validated the setup by generating test traffic across known multi-service call chains and confirming that complete end-to-end traces appeared in Jaeger with accurate span timing for each hop.</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could now trace any sampled request from entry point through every service it touched, with millisecond-level span timing for each hop. The first week after deployment, a latency issue that had been open for several days was resolved within an hour because the Jaeger trace immediately showed that the slowdown was occurring inside a specific database-access service rather than in the API layer where engineers had been looking. Mean time to diagnosis for multi-service issues dropped significantly.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27  </w:t>
      </w:r>
      <w:r>
        <w:rPr>
          <w:rFonts w:ascii="Arial" w:hAnsi="Arial" w:cs="Arial"/>
          <w:sz w:val="28"/>
          <w:sz-cs w:val="28"/>
          <w:b/>
          <w:color w:val="1A1A2E"/>
        </w:rPr>
        <w:t xml:space="preserve">Using Kiali for Real-Time Service Mesh Observability and Traffic Debugging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complex Istio service mesh with over 400+ microservices communicating across multiple namespaces. While Prometheus and Grafana provided metric-level observability, understanding the live topology of the mesh, which services were talking to which, where errors were occurring, and whether Istio configurations were being applied correctly, required a different kind of tooling.</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Debugging Istio configuration issues, such as a VirtualService not routing correctly or a DestinationRule causing unexpected traffic behavior, was difficult using metrics alone. Engineers needed to see the mesh topology in real time, understand traffic flow between services, and correlate configuration state with observed behavior without having to read raw Istio resource YAML and infer what was happening.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Kiali as the mesh observability layer and integrated it with the existing Prometheus and Jaeger deployments so it could pull service metrics and trace data into a unified view. I used Kiali's service graph to validate Istio configurations after every VirtualService or DestinationRule change, confirming that traffic was flowing along the expected paths and that no misconfiguration was creating unintended routing behavior. When services showed elevated error rates in the graph, I used Kiali's inbound and outbound metrics panels alongside the linked Jaeger traces to narrow down whether the issue was at the network layer, in the Istio configuration, or in the application itself. For mTLS rollout work specifically, Kiali's security view was the primary tool I used to confirm which service-to-service connections were encrypted, which were not, and whether PeerAuthentication policies were taking effect as expected.</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Kiali became the first tool engineers reached for when investigating mesh-level issues. Several Istio misconfigurations that would have been invisible in Prometheus, such as a VirtualService routing to the wrong subset or a DestinationRule silently affecting a service it was not intended for, were caught and corrected within minutes of deployment by reviewing the live Kiali graph. It reduced the feedback loop on Istio configuration changes from hours to minutes.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28  </w:t>
      </w:r>
      <w:r>
        <w:rPr>
          <w:rFonts w:ascii="Arial" w:hAnsi="Arial" w:cs="Arial"/>
          <w:sz w:val="28"/>
          <w:sz-cs w:val="28"/>
          <w:b/>
          <w:color w:val="1A1A2E"/>
        </w:rPr>
        <w:t xml:space="preserve">Deploying the LGTM Observability Stack for Unified Platform Monitoring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the platform matured, the team's observability requirements grew beyond what Prometheus and Grafana alone could address. Log aggregation, distributed tracing storage, and long-term metrics retention each needed dedicated backends that could scale with the platform and integrate cleanly into a single Grafana-based querying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Prometheus for metrics, Elasticsearch for logs, and Jaeger for traces, but each system was accessed through a different interface and there was no unified way to correlate a metric spike with the corresponding logs and traces from the same time window. During incidents, engineers had to jump between three separate tools and manually align timestamps, which slowed down root cause analysis.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full LGTM stack into the monitoring namespace using Helm charts managed through ArgoCD. Loki was deployed as the log aggregation backend, configured with Promtail agents running as a DaemonSet to collect container logs from every pod in the cluster and ship them to Loki with Kubernetes metadata labels attached. Tempo was deployed as the distributed trace storage backend, replacing the existing Jaeger storage layer while maintaining the same Istio-based trace instrumentation. Mimir was deployed as a scalable long-term metrics storage backend, with Prometheus configured to remote-write all scraped metrics into Mimir rather than relying solely on Prometheus's local storage with its limited retention window. All four backends, Loki, Grafana, Tempo, and Mimir, were connected to the existing Grafana instance as data sources. This allowed engineers to query logs, traces, and metrics from a single Grafana dashboard and use Grafana's built-in correlation features to jump from a metric anomaly directly to the logs and traces from the same time window and service.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team's observability experience became unified. During the first major incident after the stack was live, the on-call engineer identified the root cause in under ten minutes by starting with a Grafana alert on an error rate spike, jumping to the correlated Loki logs for that service, and then pulling the Tempo trace for the specific failing request, all without leaving Grafana. Long-term metric retention through Mimir also allowed the team to run capacity planning queries across months of historical data for the first time.</w:t>
      </w:r>
    </w:p>
    <w:p>
      <w:pPr>
        <w:spacing w:before="120" w:after="80"/>
      </w:pPr>
      <w:r>
        <w:rPr>
          <w:rFonts w:ascii="Arial" w:hAnsi="Arial" w:cs="Arial"/>
          <w:sz w:val="22"/>
          <w:sz-cs w:val="22"/>
          <w:color w:val="1A1A2E"/>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CocoaOOXMLWriter/2113.65</generator>
</meta>
</file>