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20" w:before="0"/>
        <w:jc w:val="center"/>
      </w:pPr>
      <w:r>
        <w:rPr>
          <w:rFonts w:ascii="Arial" w:cs="Arial" w:eastAsia="Arial" w:hAnsi="Arial"/>
          <w:b/>
          <w:bCs/>
          <w:caps/>
          <w:color w:val="2E5FAB"/>
          <w:sz w:val="18"/>
          <w:szCs w:val="18"/>
        </w:rPr>
        <w:t xml:space="preserve">PREPRINT - DRAFT FOR REVIEW</w:t>
      </w:r>
    </w:p>
    <w:p>
      <w:pPr>
        <w:spacing w:after="200" w:before="0"/>
        <w:jc w:val="center"/>
      </w:pPr>
      <w:r>
        <w:rPr>
          <w:rFonts w:ascii="Arial" w:cs="Arial" w:eastAsia="Arial" w:hAnsi="Arial"/>
          <w:b/>
          <w:bCs/>
          <w:color w:val="1A2E5A"/>
          <w:sz w:val="52"/>
          <w:szCs w:val="52"/>
        </w:rPr>
        <w:t xml:space="preserve">Truth Calibration Layer (TCL):</w:t>
      </w:r>
    </w:p>
    <w:p>
      <w:pPr>
        <w:spacing w:after="360" w:before="0"/>
        <w:jc w:val="center"/>
      </w:pPr>
      <w:r>
        <w:rPr>
          <w:rFonts w:ascii="Arial" w:cs="Arial" w:eastAsia="Arial" w:hAnsi="Arial"/>
          <w:i/>
          <w:iCs/>
          <w:color w:val="2E5FAB"/>
          <w:sz w:val="30"/>
          <w:szCs w:val="30"/>
        </w:rPr>
        <w:t xml:space="preserve">A Theoretical Framework for Confidence-Aware Language Models</w:t>
      </w:r>
    </w:p>
    <w:p>
      <w:pPr>
        <w:pBdr>
          <w:bottom w:val="single" w:color="1A2E5A" w:sz="6" w:space="1"/>
        </w:pBdr>
        <w:spacing w:after="160" w:before="160"/>
      </w:pPr>
    </w:p>
    <w:p>
      <w:pPr>
        <w:spacing w:after="200" w:before="0"/>
      </w:pPr>
    </w:p>
    <w:p>
      <w:pPr>
        <w:spacing w:after="80" w:before="0"/>
        <w:jc w:val="center"/>
      </w:pPr>
      <w:r>
        <w:rPr>
          <w:color w:val="000000"/>
          <w:sz w:val="22"/>
        </w:rPr>
        <w:t>Awab Mohamed</w:t>
      </w:r>
    </w:p>
    <w:p>
      <w:pPr>
        <w:spacing w:after="80" w:before="0"/>
        <w:jc w:val="center"/>
      </w:pPr>
      <w:r>
        <w:rPr>
          <w:rFonts w:ascii="Arial" w:cs="Arial" w:eastAsia="Arial" w:hAnsi="Arial"/>
          <w:color w:val="6B7280"/>
          <w:sz w:val="22"/>
          <w:szCs w:val="22"/>
        </w:rPr>
        <w:t xml:space="preserve">Independent Research Preprint</w:t>
      </w:r>
    </w:p>
    <w:p>
      <w:pPr>
        <w:spacing w:after="80" w:before="0"/>
        <w:jc w:val="center"/>
      </w:pPr>
      <w:r>
        <w:rPr>
          <w:rFonts w:ascii="Arial" w:cs="Arial" w:eastAsia="Arial" w:hAnsi="Arial"/>
          <w:color w:val="6B7280"/>
          <w:sz w:val="22"/>
          <w:szCs w:val="22"/>
        </w:rPr>
        <w:t xml:space="preserve">Qatar</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0FA" w:val="clear"/>
            <w:tcMar>
              <w:top w:type="dxa" w:w="200"/>
              <w:left w:type="dxa" w:w="300"/>
              <w:bottom w:type="dxa" w:w="200"/>
              <w:right w:type="dxa" w:w="300"/>
            </w:tcMar>
          </w:tcPr>
          <w:p>
            <w:pPr>
              <w:spacing w:after="120" w:before="0"/>
              <w:jc w:val="center"/>
            </w:pPr>
            <w:r>
              <w:rPr>
                <w:rFonts w:ascii="Arial" w:cs="Arial" w:eastAsia="Arial" w:hAnsi="Arial"/>
                <w:b/>
                <w:bCs/>
                <w:caps/>
                <w:color w:val="1A2E5A"/>
                <w:sz w:val="22"/>
                <w:szCs w:val="22"/>
              </w:rPr>
              <w:t xml:space="preserve">ABSTRACT</w:t>
            </w:r>
          </w:p>
          <w:p>
            <w:pPr>
              <w:spacing w:after="160" w:before="60"/>
              <w:jc w:val="both"/>
            </w:pPr>
            <w:r>
              <w:rPr>
                <w:rFonts w:ascii="Times New Roman" w:cs="Times New Roman" w:eastAsia="Times New Roman" w:hAnsi="Times New Roman"/>
                <w:color w:val="1F2937"/>
                <w:sz w:val="24"/>
                <w:szCs w:val="24"/>
              </w:rPr>
              <w:t xml:space="preserve">Large language models (LLMs) are trained under a next-token prediction objective that optimises for linguistic fluency but provides no guarantee of factual reliability or confidence calibration. This paper introduces the Truth Calibration Layer (TCL) as a theoretical framework for a future lightweight calibration head designed to attach to frozen LLM hidden states and estimate claim-level reliability alongside normal token generation. Rather than treating raw softmax probability as a proxy for truth, TCL is proposed to predict a structured trust vector encoding confidence, evidence-density proxy, contradiction-risk proxy, and source-diversity proxy. No implementation or empirical result is claimed in this version of the work; the contribution is the conceptual architecture, formal motivation, and proposed validation path.</w:t>
            </w:r>
          </w:p>
        </w:tc>
      </w:tr>
    </w:tbl>
    <w:p>
      <w:pPr>
        <w:spacing w:after="160" w:before="0"/>
      </w:pPr>
    </w:p>
    <w:p>
      <w:pPr>
        <w:spacing w:after="80" w:before="0"/>
      </w:pPr>
      <w:r>
        <w:rPr>
          <w:rFonts w:ascii="Arial" w:cs="Arial" w:eastAsia="Arial" w:hAnsi="Arial"/>
          <w:b/>
          <w:bCs/>
          <w:color w:val="2E5FAB"/>
          <w:sz w:val="20"/>
          <w:szCs w:val="20"/>
        </w:rPr>
        <w:t xml:space="preserve">Keywords: </w:t>
      </w:r>
      <w:r>
        <w:rPr>
          <w:rFonts w:ascii="Arial" w:cs="Arial" w:eastAsia="Arial" w:hAnsi="Arial"/>
          <w:i/>
          <w:iCs/>
          <w:color w:val="6B7280"/>
          <w:sz w:val="20"/>
          <w:szCs w:val="20"/>
        </w:rPr>
        <w:t xml:space="preserve">confidence calibration, large language models, architectural extension, trust scoring, hallucination mitigation, joint training objective, reliability estimation</w:t>
      </w:r>
    </w:p>
    <w:p>
      <w:r>
        <w:br w:type="page"/>
      </w:r>
    </w:p>
    <w:p>
      <w:pPr>
        <w:pStyle w:val="Heading1"/>
        <w:spacing w:after="160" w:before="360"/>
      </w:pPr>
      <w:r>
        <w:rPr>
          <w:rFonts w:ascii="Arial" w:cs="Arial" w:eastAsia="Arial" w:hAnsi="Arial"/>
          <w:b/>
          <w:bCs/>
          <w:caps/>
          <w:color w:val="1A2E5A"/>
          <w:sz w:val="32"/>
          <w:szCs w:val="32"/>
        </w:rPr>
        <w:t xml:space="preserve">1. Introduction</w:t>
      </w:r>
    </w:p>
    <w:p>
      <w:pPr>
        <w:spacing w:after="160" w:before="60"/>
        <w:jc w:val="both"/>
      </w:pPr>
      <w:r>
        <w:rPr>
          <w:rFonts w:ascii="Times New Roman" w:cs="Times New Roman" w:eastAsia="Times New Roman" w:hAnsi="Times New Roman"/>
          <w:color w:val="1F2937"/>
          <w:sz w:val="24"/>
          <w:szCs w:val="24"/>
        </w:rPr>
        <w:t xml:space="preserve">The deployment of large language models in real-world applications has exposed a fundamental tension between linguistic capability and epistemic reliability. Modern LLMs demonstrate remarkable ability to generate coherent, contextually appropriate text across a wide range of domains. However, this fluency masks a critical architectural limitation: these models are not trained to know what they do not know.</w:t>
      </w:r>
    </w:p>
    <w:p>
      <w:pPr>
        <w:spacing w:after="160" w:before="60"/>
        <w:jc w:val="both"/>
      </w:pPr>
      <w:r>
        <w:rPr>
          <w:rFonts w:ascii="Times New Roman" w:cs="Times New Roman" w:eastAsia="Times New Roman" w:hAnsi="Times New Roman"/>
          <w:color w:val="1F2937"/>
          <w:sz w:val="24"/>
          <w:szCs w:val="24"/>
        </w:rPr>
        <w:t xml:space="preserve">The standard training objective for autoregressive language models - next-token prediction - optimises for the conditional probability of each token given its preceding context. This objective is agnostic to the truthfulness of the generated sequence. A model trained exclusively under this objective will assign high probability to a well-formed but factually incorrect sentence if such patterns appear frequently in training data, and will express the same level of apparent confidence whether it is recalling a well-documented fact or confabulating an answer for which no training evidence exists.</w:t>
      </w:r>
    </w:p>
    <w:p>
      <w:pPr>
        <w:spacing w:after="160" w:before="60"/>
        <w:jc w:val="both"/>
      </w:pPr>
      <w:r>
        <w:rPr>
          <w:rFonts w:ascii="Times New Roman" w:cs="Times New Roman" w:eastAsia="Times New Roman" w:hAnsi="Times New Roman"/>
          <w:color w:val="1F2937"/>
          <w:sz w:val="24"/>
          <w:szCs w:val="24"/>
        </w:rPr>
        <w:t xml:space="preserve">This failure mode has been documented extensively in the literature under the term hallucination - the generation of plausible-sounding but factually incorrect or unverifiable content (Maynez et al., 2020; Zhao et al., 2021; Bang et al., 2023). A related but distinct problem is miscalibration: the mismatch between a model's expressed confidence and its actual accuracy.</w:t>
      </w:r>
    </w:p>
    <w:p>
      <w:pPr>
        <w:spacing w:after="160" w:before="60"/>
        <w:jc w:val="both"/>
      </w:pPr>
      <w:r>
        <w:t>This paper proposes the Truth Calibration Layer (TCL) as a theoretical architecture and research hypothesis: a lightweight calibration framework attached to frozen LLM hidden states for claim-level reliability estimation. The full TCL framework, including the proposed four-dimensional trust vector, is not claimed as implemented or validated in this version of the work. The purpose of the paper is to define the theoretical motivation, architecture, assumptions, and validation path while keeping empirical claims separate from the theory-stage proposal.</w:t>
      </w:r>
    </w:p>
    <w:p>
      <w:pPr>
        <w:spacing w:before="60" w:after="160"/>
        <w:jc w:val="both"/>
      </w:pPr>
      <w:r>
        <w:rPr/>
        <w:t>Current empirical status: a narrow preliminary companion diagnostic, TCL-v0, has been prepared separately to test whether frozen hidden states can predict answer correctness better than raw generation confidence. TCL-v0 should be read as an early confidence-only diagnostic, not as an implementation or validation of the full TCL framework.</w:t>
      </w:r>
    </w:p>
    <w:p>
      <w:pPr>
        <w:pStyle w:val="Heading2"/>
        <w:spacing w:after="120" w:before="280"/>
      </w:pPr>
      <w:r>
        <w:rPr>
          <w:rFonts w:ascii="Arial" w:cs="Arial" w:eastAsia="Arial" w:hAnsi="Arial"/>
          <w:b/>
          <w:bCs/>
          <w:color w:val="2E5FAB"/>
          <w:sz w:val="26"/>
          <w:szCs w:val="26"/>
        </w:rPr>
        <w:t xml:space="preserve">1.1 Research Contributions</w:t>
      </w:r>
    </w:p>
    <w:p>
      <w:pPr>
        <w:spacing w:after="160" w:before="60"/>
        <w:jc w:val="both"/>
      </w:pPr>
      <w:r>
        <w:rPr>
          <w:rFonts w:ascii="Times New Roman" w:cs="Times New Roman" w:eastAsia="Times New Roman" w:hAnsi="Times New Roman"/>
          <w:color w:val="1F2937"/>
          <w:sz w:val="24"/>
          <w:szCs w:val="24"/>
        </w:rPr>
        <w:t xml:space="preserve">This paper makes the following contributions:</w:t>
      </w:r>
    </w:p>
    <w:p>
      <w:pPr>
        <w:pStyle w:val="ListParagraph"/>
        <w:numPr>
          <w:ilvl w:val="0"/>
          <w:numId w:val="2"/>
        </w:numPr>
        <w:spacing w:after="60" w:before="60"/>
      </w:pPr>
      <w:r>
        <w:rPr>
          <w:rFonts w:ascii="Times New Roman" w:cs="Times New Roman" w:eastAsia="Times New Roman" w:hAnsi="Times New Roman"/>
          <w:color w:val="1F2937"/>
          <w:sz w:val="24"/>
          <w:szCs w:val="24"/>
        </w:rPr>
        <w:t xml:space="preserve">We formally define the confidence calibration problem as it applies to autoregressive LLMs and demonstrate why the standard training objective cannot solve it.</w:t>
      </w:r>
    </w:p>
    <w:p>
      <w:pPr>
        <w:pStyle w:val="ListParagraph"/>
        <w:numPr>
          <w:ilvl w:val="0"/>
          <w:numId w:val="2"/>
        </w:numPr>
        <w:spacing w:after="60" w:before="60"/>
      </w:pPr>
      <w:r>
        <w:rPr>
          <w:rFonts w:ascii="Times New Roman" w:cs="Times New Roman" w:eastAsia="Times New Roman" w:hAnsi="Times New Roman"/>
          <w:color w:val="1F2937"/>
          <w:sz w:val="24"/>
          <w:szCs w:val="24"/>
        </w:rPr>
        <w:t xml:space="preserve">We introduce the Truth Calibration Layer as a theoretical calibration-head framework with a defined structure, input-output specification, and future training objective.</w:t>
      </w:r>
    </w:p>
    <w:p>
      <w:pPr>
        <w:pStyle w:val="ListParagraph"/>
        <w:numPr>
          <w:ilvl w:val="0"/>
          <w:numId w:val="2"/>
        </w:numPr>
        <w:spacing w:after="60" w:before="60"/>
      </w:pPr>
      <w:r>
        <w:rPr>
          <w:rFonts w:ascii="Times New Roman" w:cs="Times New Roman" w:eastAsia="Times New Roman" w:hAnsi="Times New Roman"/>
          <w:color w:val="1F2937"/>
          <w:sz w:val="24"/>
          <w:szCs w:val="24"/>
        </w:rPr>
        <w:t xml:space="preserve">We formalise the proposed joint prediction objective P(token, trust_score | context) and derive the composite loss function that would be used during implementation.</w:t>
      </w:r>
    </w:p>
    <w:p>
      <w:pPr>
        <w:pStyle w:val="ListParagraph"/>
        <w:numPr>
          <w:ilvl w:val="0"/>
          <w:numId w:val="2"/>
        </w:numPr>
        <w:spacing w:after="60" w:before="60"/>
      </w:pPr>
      <w:r>
        <w:rPr>
          <w:rFonts w:ascii="Times New Roman" w:cs="Times New Roman" w:eastAsia="Times New Roman" w:hAnsi="Times New Roman"/>
          <w:color w:val="1F2937"/>
          <w:sz w:val="24"/>
          <w:szCs w:val="24"/>
        </w:rPr>
        <w:t xml:space="preserve">We define the four-dimensional trust vector and provide theoretical justification for each dimension.</w:t>
      </w:r>
    </w:p>
    <w:p>
      <w:pPr>
        <w:pStyle w:val="ListParagraph"/>
        <w:numPr>
          <w:ilvl w:val="0"/>
          <w:numId w:val="2"/>
        </w:numPr>
        <w:spacing w:after="60" w:before="60"/>
      </w:pPr>
      <w:r>
        <w:t>We propose a future validation protocol for full TCL and identify TCL-v0 as a narrow preliminary diagnostic for testing hidden-state correctness signals before broader implementation.</w:t>
      </w:r>
    </w:p>
    <w:p>
      <w:pPr>
        <w:pStyle w:val="Heading2"/>
        <w:spacing w:after="120" w:before="280"/>
      </w:pPr>
      <w:r>
        <w:rPr>
          <w:rFonts w:ascii="Arial" w:cs="Arial" w:eastAsia="Arial" w:hAnsi="Arial"/>
          <w:b/>
          <w:bCs/>
          <w:color w:val="2E5FAB"/>
          <w:sz w:val="26"/>
          <w:szCs w:val="26"/>
        </w:rPr>
        <w:t xml:space="preserve">1.2 Paper Organisation</w:t>
      </w:r>
    </w:p>
    <w:p>
      <w:pPr>
        <w:spacing w:after="160" w:before="60"/>
        <w:jc w:val="both"/>
      </w:pPr>
      <w:r>
        <w:rPr>
          <w:rFonts w:ascii="Times New Roman" w:cs="Times New Roman" w:eastAsia="Times New Roman" w:hAnsi="Times New Roman"/>
          <w:color w:val="1F2937"/>
          <w:sz w:val="24"/>
          <w:szCs w:val="24"/>
        </w:rPr>
        <w:t xml:space="preserve">Section 2 reviews related work across calibration, hallucination mitigation, and uncertainty quantification. Section 3 formally defines the problem. Section 4 introduces the proposed TCL architecture. Section 5 presents the theoretical analysis. Section 6 describes the future experimental validation plan. Section 7 discusses implications and limitations. Section 8 concludes.</w:t>
      </w:r>
    </w:p>
    <w:p>
      <w:r>
        <w:br w:type="page"/>
      </w:r>
    </w:p>
    <w:p>
      <w:pPr>
        <w:pStyle w:val="Heading1"/>
        <w:spacing w:after="160" w:before="360"/>
      </w:pPr>
      <w:r>
        <w:rPr>
          <w:rFonts w:ascii="Arial" w:cs="Arial" w:eastAsia="Arial" w:hAnsi="Arial"/>
          <w:b/>
          <w:bCs/>
          <w:caps/>
          <w:color w:val="1A2E5A"/>
          <w:sz w:val="32"/>
          <w:szCs w:val="32"/>
        </w:rPr>
        <w:t xml:space="preserve">2. Related Work</w:t>
      </w:r>
    </w:p>
    <w:p>
      <w:pPr>
        <w:spacing w:after="160" w:before="60"/>
        <w:jc w:val="both"/>
      </w:pPr>
      <w:r>
        <w:rPr>
          <w:rFonts w:ascii="Times New Roman" w:cs="Times New Roman" w:eastAsia="Times New Roman" w:hAnsi="Times New Roman"/>
          <w:color w:val="1F2937"/>
          <w:sz w:val="24"/>
          <w:szCs w:val="24"/>
        </w:rPr>
        <w:t xml:space="preserve">Calibration in classification models was studied systematically by Guo et al. (2017), who demonstrated that modern neural networks tend to be overconfident. Their proposed solution, temperature scaling, applies a single learned scalar to the logits before the softmax.</w:t>
      </w:r>
    </w:p>
    <w:p>
      <w:pPr>
        <w:spacing w:after="160" w:before="60"/>
        <w:jc w:val="both"/>
      </w:pPr>
      <w:r>
        <w:rPr>
          <w:rFonts w:ascii="Times New Roman" w:cs="Times New Roman" w:eastAsia="Times New Roman" w:hAnsi="Times New Roman"/>
          <w:color w:val="1F2937"/>
          <w:sz w:val="24"/>
          <w:szCs w:val="24"/>
        </w:rPr>
        <w:t xml:space="preserve">A parallel body of work addresses uncertainty quantification in deep learning. Bayesian neural networks model uncertainty by placing distributions over model weights, but are computationally prohibitive at the scale of modern LLMs.</w:t>
      </w:r>
    </w:p>
    <w:p>
      <w:pPr>
        <w:spacing w:after="160" w:before="60"/>
        <w:jc w:val="both"/>
      </w:pPr>
      <w:r>
        <w:rPr>
          <w:rFonts w:ascii="Times New Roman" w:cs="Times New Roman" w:eastAsia="Times New Roman" w:hAnsi="Times New Roman"/>
          <w:color w:val="1F2937"/>
          <w:sz w:val="24"/>
          <w:szCs w:val="24"/>
        </w:rPr>
        <w:t xml:space="preserve">Retrieval-augmented generation grounds model outputs in retrieved documents at inference time. RAG reduces hallucination rates by providing external evidence, but does not modify the model's internal confidence representation.</w:t>
      </w:r>
    </w:p>
    <w:p>
      <w:pPr>
        <w:spacing w:after="160" w:before="60"/>
        <w:jc w:val="both"/>
      </w:pPr>
      <w:r>
        <w:rPr>
          <w:rFonts w:ascii="Times New Roman" w:cs="Times New Roman" w:eastAsia="Times New Roman" w:hAnsi="Times New Roman"/>
          <w:color w:val="1F2937"/>
          <w:sz w:val="24"/>
          <w:szCs w:val="24"/>
        </w:rPr>
        <w:t xml:space="preserve">TCL is positioned as a practical middle ground between purely post-hoc calibration and full model retraining: it would be attached at the representation level, trained with an explicit reliability objective in a future implementation, and designed to produce a structured multi-dimensional trust vector without full base-model retraining.</w:t>
      </w:r>
    </w:p>
    <w:p>
      <w:r>
        <w:br w:type="page"/>
      </w:r>
    </w:p>
    <w:p>
      <w:pPr>
        <w:pStyle w:val="Heading1"/>
        <w:spacing w:after="160" w:before="360"/>
      </w:pPr>
      <w:r>
        <w:rPr>
          <w:rFonts w:ascii="Arial" w:cs="Arial" w:eastAsia="Arial" w:hAnsi="Arial"/>
          <w:b/>
          <w:bCs/>
          <w:caps/>
          <w:color w:val="1A2E5A"/>
          <w:sz w:val="32"/>
          <w:szCs w:val="32"/>
        </w:rPr>
        <w:t xml:space="preserve">3. Problem Formulation</w:t>
      </w:r>
    </w:p>
    <w:p>
      <w:pPr>
        <w:pStyle w:val="Heading2"/>
        <w:spacing w:after="120" w:before="280"/>
      </w:pPr>
      <w:r>
        <w:rPr>
          <w:rFonts w:ascii="Arial" w:cs="Arial" w:eastAsia="Arial" w:hAnsi="Arial"/>
          <w:b/>
          <w:bCs/>
          <w:color w:val="2E5FAB"/>
          <w:sz w:val="26"/>
          <w:szCs w:val="26"/>
        </w:rPr>
        <w:t xml:space="preserve">3.1 Standard Language Model Objective</w:t>
      </w:r>
    </w:p>
    <w:p>
      <w:pPr>
        <w:spacing w:after="160" w:before="60"/>
        <w:jc w:val="both"/>
      </w:pPr>
      <w:r>
        <w:rPr>
          <w:rFonts w:ascii="Times New Roman" w:cs="Times New Roman" w:eastAsia="Times New Roman" w:hAnsi="Times New Roman"/>
          <w:color w:val="1F2937"/>
          <w:sz w:val="24"/>
          <w:szCs w:val="24"/>
        </w:rPr>
        <w:t xml:space="preserve">An autoregressive language model parameterised by theta is trained to maximise the log-likelihood of a sequence of tokens by factoring the joint probability as a product of conditionals.</w:t>
      </w:r>
    </w:p>
    <w:p>
      <w:pPr>
        <w:spacing w:after="160" w:before="60"/>
        <w:jc w:val="both"/>
      </w:pPr>
      <w:r>
        <w:rPr>
          <w:rFonts w:ascii="Times New Roman" w:cs="Times New Roman" w:eastAsia="Times New Roman" w:hAnsi="Times New Roman"/>
          <w:color w:val="1F2937"/>
          <w:sz w:val="24"/>
          <w:szCs w:val="24"/>
        </w:rPr>
        <w:t xml:space="preserve">The fundamental reason the standard training objective cannot produce calibrated outputs is that calibration is a property of the relationship between the model's confidence and the external world, but the training objective is internal to the model's own probability distribution over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B" w:sz="2"/>
              <w:left w:val="single" w:color="2E5FAB" w:sz="12"/>
              <w:bottom w:val="single" w:color="2E5FAB" w:sz="2"/>
              <w:right w:val="none" w:color="FFFFFF" w:sz="0"/>
            </w:tcBorders>
            <w:shd w:fill="F8F9FB" w:val="clear"/>
            <w:tcMar>
              <w:top w:type="dxa" w:w="160"/>
              <w:left w:type="dxa" w:w="240"/>
              <w:bottom w:type="dxa" w:w="160"/>
              <w:right w:type="dxa" w:w="240"/>
            </w:tcMar>
          </w:tcPr>
          <w:p>
            <w:pPr>
              <w:spacing w:after="60" w:before="0"/>
            </w:pPr>
            <w:r>
              <w:rPr>
                <w:rFonts w:ascii="Courier New" w:cs="Courier New" w:eastAsia="Courier New" w:hAnsi="Courier New"/>
                <w:color w:val="374151"/>
                <w:sz w:val="20"/>
                <w:szCs w:val="20"/>
              </w:rPr>
              <w:t xml:space="preserve">L_LM(theta) = sum log P_theta(x_t | x_1, ..., x_{t-1})</w:t>
            </w:r>
          </w:p>
          <w:p>
            <w:pPr>
              <w:spacing w:after="60" w:before="0"/>
            </w:pPr>
            <w:r>
              <w:rPr>
                <w:rFonts w:ascii="Courier New" w:cs="Courier New" w:eastAsia="Courier New" w:hAnsi="Courier New"/>
                <w:color w:val="374151"/>
                <w:sz w:val="20"/>
                <w:szCs w:val="20"/>
              </w:rPr>
              <w:t xml:space="preserve"/>
            </w:r>
          </w:p>
          <w:p>
            <w:pPr>
              <w:spacing w:after="60" w:before="0"/>
            </w:pPr>
            <w:r>
              <w:rPr>
                <w:rFonts w:ascii="Courier New" w:cs="Courier New" w:eastAsia="Courier New" w:hAnsi="Courier New"/>
                <w:color w:val="374151"/>
                <w:sz w:val="20"/>
                <w:szCs w:val="20"/>
              </w:rPr>
              <w:t xml:space="preserve">ECE = sum_b (|B_b| / n) x |acc(B_b) - conf(B_b)|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B" w:sz="2"/>
              <w:left w:val="single" w:color="2E5FAB" w:sz="16"/>
              <w:bottom w:val="single" w:color="2E5FAB" w:sz="2"/>
              <w:right w:val="none" w:color="FFFFFF" w:sz="0"/>
            </w:tcBorders>
            <w:shd w:fill="EBF0FA" w:val="clear"/>
            <w:tcMar>
              <w:top w:type="dxa" w:w="140"/>
              <w:left w:type="dxa" w:w="200"/>
              <w:bottom w:type="dxa" w:w="140"/>
              <w:right w:type="dxa" w:w="200"/>
            </w:tcMar>
          </w:tcPr>
          <w:p>
            <w:pPr>
              <w:spacing w:after="80" w:before="0"/>
            </w:pPr>
            <w:r>
              <w:rPr>
                <w:rFonts w:ascii="Arial" w:cs="Arial" w:eastAsia="Arial" w:hAnsi="Arial"/>
                <w:b/>
                <w:bCs/>
                <w:caps/>
                <w:color w:val="2E5FAB"/>
                <w:sz w:val="19"/>
                <w:szCs w:val="19"/>
              </w:rPr>
              <w:t xml:space="preserve">Formal Problem Statement</w:t>
            </w:r>
          </w:p>
          <w:p>
            <w:pPr>
              <w:spacing w:after="60" w:before="0"/>
            </w:pPr>
            <w:r>
              <w:rPr>
                <w:rFonts w:ascii="Times New Roman" w:cs="Times New Roman" w:eastAsia="Times New Roman" w:hAnsi="Times New Roman"/>
                <w:color w:val="1F2937"/>
                <w:sz w:val="22"/>
                <w:szCs w:val="22"/>
              </w:rPr>
              <w:t xml:space="preserve">Given a pre-trained language model that produces P(token | context),</w:t>
            </w:r>
          </w:p>
          <w:p>
            <w:pPr>
              <w:spacing w:after="60" w:before="0"/>
            </w:pPr>
            <w:r>
              <w:rPr>
                <w:rFonts w:ascii="Times New Roman" w:cs="Times New Roman" w:eastAsia="Times New Roman" w:hAnsi="Times New Roman"/>
                <w:color w:val="1F2937"/>
                <w:sz w:val="22"/>
                <w:szCs w:val="22"/>
              </w:rPr>
              <w:t xml:space="preserve">design an architectural extension TCL that produces:</w:t>
            </w:r>
          </w:p>
          <w:p>
            <w:pPr>
              <w:spacing w:after="60" w:before="0"/>
            </w:pPr>
            <w:r>
              <w:rPr>
                <w:rFonts w:ascii="Times New Roman" w:cs="Times New Roman" w:eastAsia="Times New Roman" w:hAnsi="Times New Roman"/>
                <w:color w:val="1F2937"/>
                <w:sz w:val="22"/>
                <w:szCs w:val="22"/>
              </w:rPr>
              <w:t xml:space="preserve"/>
            </w:r>
          </w:p>
          <w:p>
            <w:pPr>
              <w:spacing w:after="60" w:before="0"/>
            </w:pPr>
            <w:r>
              <w:rPr>
                <w:rFonts w:ascii="Times New Roman" w:cs="Times New Roman" w:eastAsia="Times New Roman" w:hAnsi="Times New Roman"/>
                <w:color w:val="1F2937"/>
                <w:sz w:val="22"/>
                <w:szCs w:val="22"/>
              </w:rPr>
              <w:t xml:space="preserve">    P(token, trust_score | context)</w:t>
            </w:r>
          </w:p>
          <w:p>
            <w:pPr>
              <w:spacing w:after="60" w:before="0"/>
            </w:pPr>
            <w:r>
              <w:rPr>
                <w:rFonts w:ascii="Times New Roman" w:cs="Times New Roman" w:eastAsia="Times New Roman" w:hAnsi="Times New Roman"/>
                <w:color w:val="1F2937"/>
                <w:sz w:val="22"/>
                <w:szCs w:val="22"/>
              </w:rPr>
              <w:t xml:space="preserve"/>
            </w:r>
          </w:p>
          <w:p>
            <w:pPr>
              <w:spacing w:after="60" w:before="0"/>
            </w:pPr>
            <w:r>
              <w:rPr>
                <w:rFonts w:ascii="Times New Roman" w:cs="Times New Roman" w:eastAsia="Times New Roman" w:hAnsi="Times New Roman"/>
                <w:color w:val="1F2937"/>
                <w:sz w:val="22"/>
                <w:szCs w:val="22"/>
              </w:rPr>
              <w:t xml:space="preserve">where trust_score is a structured reliability vector and the augmented model exhibits lower ECE on held-out factual QA benchmarks.</w:t>
            </w:r>
          </w:p>
        </w:tc>
      </w:tr>
    </w:tbl>
    <w:p>
      <w:r>
        <w:br w:type="page"/>
      </w:r>
    </w:p>
    <w:p>
      <w:pPr>
        <w:pStyle w:val="Heading1"/>
        <w:spacing w:after="160" w:before="360"/>
      </w:pPr>
      <w:r>
        <w:rPr>
          <w:rFonts w:ascii="Arial" w:cs="Arial" w:eastAsia="Arial" w:hAnsi="Arial"/>
          <w:b/>
          <w:bCs/>
          <w:caps/>
          <w:color w:val="1A2E5A"/>
          <w:sz w:val="32"/>
          <w:szCs w:val="32"/>
        </w:rPr>
        <w:t xml:space="preserve">4. The Truth Calibration Layer (TCL)</w:t>
      </w:r>
    </w:p>
    <w:p>
      <w:pPr>
        <w:pStyle w:val="Heading2"/>
        <w:spacing w:after="120" w:before="280"/>
      </w:pPr>
      <w:r>
        <w:rPr>
          <w:rFonts w:ascii="Arial" w:cs="Arial" w:eastAsia="Arial" w:hAnsi="Arial"/>
          <w:b/>
          <w:bCs/>
          <w:color w:val="2E5FAB"/>
          <w:sz w:val="26"/>
          <w:szCs w:val="26"/>
        </w:rPr>
        <w:t xml:space="preserve">4.1 Architectural Overview</w:t>
      </w:r>
    </w:p>
    <w:p>
      <w:pPr>
        <w:spacing w:after="160" w:before="60"/>
        <w:jc w:val="both"/>
      </w:pPr>
      <w:r>
        <w:rPr>
          <w:rFonts w:ascii="Times New Roman" w:cs="Times New Roman" w:eastAsia="Times New Roman" w:hAnsi="Times New Roman"/>
          <w:color w:val="1F2937"/>
          <w:sz w:val="24"/>
          <w:szCs w:val="24"/>
        </w:rPr>
        <w:t xml:space="preserve">The TCL is a modular calibration head inserted conceptually between the final transformer layer and downstream output interpretation. It operates on the final hidden-state representation produced by the transformer stack, while leaving the base model's token generation pathway unchanged.</w:t>
      </w:r>
    </w:p>
    <w:p>
      <w:pPr>
        <w:spacing w:after="160" w:before="60"/>
        <w:jc w:val="both"/>
      </w:pPr>
      <w:r>
        <w:rPr>
          <w:rFonts w:ascii="Times New Roman" w:cs="Times New Roman" w:eastAsia="Times New Roman" w:hAnsi="Times New Roman"/>
          <w:color w:val="1F2937"/>
          <w:sz w:val="24"/>
          <w:szCs w:val="24"/>
        </w:rPr>
        <w:t xml:space="preserve">The TCL branch is a lightweight feedforward network that shares the transformer's hidden state as input but has its own learnable parameters. The base transformer is frozen during TCL training; only the TCL parameters are updated.</w:t>
      </w:r>
    </w:p>
    <w:p>
      <w:pPr>
        <w:spacing w:after="160" w:before="60"/>
        <w:jc w:val="both"/>
      </w:pPr>
      <w:r>
        <w:rPr>
          <w:rFonts w:ascii="Times New Roman" w:cs="Times New Roman" w:eastAsia="Times New Roman" w:hAnsi="Times New Roman"/>
          <w:color w:val="1F2937"/>
          <w:sz w:val="24"/>
          <w:szCs w:val="24"/>
        </w:rPr>
        <w:t xml:space="preserve">The trust vector is intended to be interpretable and actionable. A downstream application can use individual dimensions to make nuanced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B" w:sz="2"/>
              <w:left w:val="single" w:color="2E5FAB" w:sz="12"/>
              <w:bottom w:val="single" w:color="2E5FAB" w:sz="2"/>
              <w:right w:val="none" w:color="FFFFFF" w:sz="0"/>
            </w:tcBorders>
            <w:shd w:fill="F8F9FB" w:val="clear"/>
            <w:tcMar>
              <w:top w:type="dxa" w:w="160"/>
              <w:left w:type="dxa" w:w="240"/>
              <w:bottom w:type="dxa" w:w="160"/>
              <w:right w:type="dxa" w:w="240"/>
            </w:tcMar>
          </w:tcPr>
          <w:p>
            <w:pPr>
              <w:spacing w:after="60" w:before="0"/>
            </w:pPr>
            <w:r>
              <w:rPr>
                <w:rFonts w:ascii="Courier New" w:cs="Courier New" w:eastAsia="Courier New" w:hAnsi="Courier New"/>
                <w:color w:val="374151"/>
                <w:sz w:val="20"/>
                <w:szCs w:val="20"/>
              </w:rPr>
              <w:t xml:space="preserve">h = Transformer(input_tokens)      # base model hidden state</w:t>
            </w:r>
          </w:p>
          <w:p>
            <w:pPr>
              <w:spacing w:after="60" w:before="0"/>
            </w:pPr>
            <w:r>
              <w:rPr>
                <w:rFonts w:ascii="Courier New" w:cs="Courier New" w:eastAsia="Courier New" w:hAnsi="Courier New"/>
                <w:color w:val="374151"/>
                <w:sz w:val="20"/>
                <w:szCs w:val="20"/>
              </w:rPr>
              <w:t xml:space="preserve">logits = OutputHead(h)             # standard generation</w:t>
            </w:r>
          </w:p>
          <w:p>
            <w:pPr>
              <w:spacing w:after="60" w:before="0"/>
            </w:pPr>
            <w:r>
              <w:rPr>
                <w:rFonts w:ascii="Courier New" w:cs="Courier New" w:eastAsia="Courier New" w:hAnsi="Courier New"/>
                <w:color w:val="374151"/>
                <w:sz w:val="20"/>
                <w:szCs w:val="20"/>
              </w:rPr>
              <w:t xml:space="preserve">tau = TCL(h)                       # trust vector</w:t>
            </w:r>
          </w:p>
          <w:p>
            <w:pPr>
              <w:spacing w:after="60" w:before="0"/>
            </w:pPr>
            <w:r>
              <w:rPr>
                <w:rFonts w:ascii="Courier New" w:cs="Courier New" w:eastAsia="Courier New" w:hAnsi="Courier New"/>
                <w:color w:val="374151"/>
                <w:sz w:val="20"/>
                <w:szCs w:val="20"/>
              </w:rPr>
              <w:t xml:space="preserve">output = (probs, tau)              # tokens + trust metadata</w:t>
            </w:r>
          </w:p>
        </w:tc>
      </w:tr>
    </w:tbl>
    <w:p>
      <w:pPr>
        <w:pStyle w:val="Heading2"/>
        <w:spacing w:after="120" w:before="280"/>
      </w:pPr>
      <w:r>
        <w:rPr>
          <w:rFonts w:ascii="Arial" w:cs="Arial" w:eastAsia="Arial" w:hAnsi="Arial"/>
          <w:b/>
          <w:bCs/>
          <w:color w:val="2E5FAB"/>
          <w:sz w:val="26"/>
          <w:szCs w:val="26"/>
        </w:rPr>
        <w:t xml:space="preserve">4.3 The Trust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Range</w:t>
            </w:r>
          </w:p>
        </w:tc>
        <w:tc>
          <w:tcPr>
            <w:tcW w:type="dxa" w:w="55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Interpretation</w:t>
            </w:r>
          </w:p>
        </w:tc>
      </w:tr>
      <w:tr>
        <w:trPr>
          <w:tblHeader w:val="false"/>
        </w:trP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after="0" w:before="0"/>
              <w:jc w:val="left"/>
            </w:pPr>
            <w:r>
              <w:rPr>
                <w:rFonts w:ascii="Arial" w:cs="Arial" w:eastAsia="Arial" w:hAnsi="Arial"/>
                <w:b/>
                <w:bCs/>
                <w:color w:val="2E5FAB"/>
                <w:sz w:val="20"/>
                <w:szCs w:val="20"/>
              </w:rPr>
              <w:t xml:space="preserve">Confidence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[0,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The model's internal certainty about the claim.</w:t>
            </w:r>
          </w:p>
        </w:tc>
      </w:tr>
      <w:tr>
        <w:trPr>
          <w:tblHeader w:val="false"/>
        </w:trP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after="0" w:before="0"/>
              <w:jc w:val="left"/>
            </w:pPr>
            <w:r>
              <w:rPr>
                <w:rFonts w:ascii="Arial" w:cs="Arial" w:eastAsia="Arial" w:hAnsi="Arial"/>
                <w:b/>
                <w:bCs/>
                <w:color w:val="2E5FAB"/>
                <w:sz w:val="20"/>
                <w:szCs w:val="20"/>
              </w:rPr>
              <w:t xml:space="preserve">Evidence Density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[0,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Estimated strength of training-data support for the claim.</w:t>
            </w:r>
          </w:p>
        </w:tc>
      </w:tr>
      <w:tr>
        <w:trPr>
          <w:tblHeader w:val="false"/>
        </w:trP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after="0" w:before="0"/>
              <w:jc w:val="left"/>
            </w:pPr>
            <w:r>
              <w:rPr>
                <w:rFonts w:ascii="Arial" w:cs="Arial" w:eastAsia="Arial" w:hAnsi="Arial"/>
                <w:b/>
                <w:bCs/>
                <w:color w:val="2E5FAB"/>
                <w:sz w:val="20"/>
                <w:szCs w:val="20"/>
              </w:rPr>
              <w:t xml:space="preserve">Contradiction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[0,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Estimated probability that the claim conflicts with related information.</w:t>
            </w:r>
          </w:p>
        </w:tc>
      </w:tr>
      <w:tr>
        <w:trPr>
          <w:tblHeader w:val="false"/>
        </w:trP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after="0" w:before="0"/>
              <w:jc w:val="left"/>
            </w:pPr>
            <w:r>
              <w:rPr>
                <w:rFonts w:ascii="Arial" w:cs="Arial" w:eastAsia="Arial" w:hAnsi="Arial"/>
                <w:b/>
                <w:bCs/>
                <w:color w:val="2E5FAB"/>
                <w:sz w:val="20"/>
                <w:szCs w:val="20"/>
              </w:rPr>
              <w:t xml:space="preserve">Source Diversity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[0,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Estimated breadth of independent training sources supporting the claim.</w:t>
            </w:r>
          </w:p>
        </w:tc>
      </w:tr>
    </w:tbl>
    <w:p>
      <w:pPr>
        <w:pStyle w:val="Heading2"/>
        <w:spacing w:after="120" w:before="280"/>
      </w:pPr>
      <w:r>
        <w:rPr>
          <w:rFonts w:ascii="Arial" w:cs="Arial" w:eastAsia="Arial" w:hAnsi="Arial"/>
          <w:b/>
          <w:bCs/>
          <w:color w:val="2E5FAB"/>
          <w:sz w:val="26"/>
          <w:szCs w:val="26"/>
        </w:rPr>
        <w:t xml:space="preserve">4.4 Joint Training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B" w:sz="2"/>
              <w:left w:val="single" w:color="2E5FAB" w:sz="12"/>
              <w:bottom w:val="single" w:color="2E5FAB" w:sz="2"/>
              <w:right w:val="none" w:color="FFFFFF" w:sz="0"/>
            </w:tcBorders>
            <w:shd w:fill="F8F9FB" w:val="clear"/>
            <w:tcMar>
              <w:top w:type="dxa" w:w="160"/>
              <w:left w:type="dxa" w:w="240"/>
              <w:bottom w:type="dxa" w:w="160"/>
              <w:right w:type="dxa" w:w="240"/>
            </w:tcMar>
          </w:tcPr>
          <w:p>
            <w:pPr>
              <w:spacing w:after="60" w:before="0"/>
            </w:pPr>
            <w:r>
              <w:rPr>
                <w:rFonts w:ascii="Courier New" w:cs="Courier New" w:eastAsia="Courier New" w:hAnsi="Courier New"/>
                <w:color w:val="374151"/>
                <w:sz w:val="20"/>
                <w:szCs w:val="20"/>
              </w:rPr>
              <w:t xml:space="preserve">L_total = L_LM + lambda * L_TCL</w:t>
            </w:r>
          </w:p>
          <w:p>
            <w:pPr>
              <w:spacing w:after="60" w:before="0"/>
            </w:pPr>
            <w:r>
              <w:rPr>
                <w:rFonts w:ascii="Courier New" w:cs="Courier New" w:eastAsia="Courier New" w:hAnsi="Courier New"/>
                <w:color w:val="374151"/>
                <w:sz w:val="20"/>
                <w:szCs w:val="20"/>
              </w:rPr>
              <w:t xml:space="preserve"/>
            </w:r>
          </w:p>
          <w:p>
            <w:pPr>
              <w:spacing w:after="60" w:before="0"/>
            </w:pPr>
            <w:r>
              <w:rPr>
                <w:rFonts w:ascii="Courier New" w:cs="Courier New" w:eastAsia="Courier New" w:hAnsi="Courier New"/>
                <w:color w:val="374151"/>
                <w:sz w:val="20"/>
                <w:szCs w:val="20"/>
              </w:rPr>
              <w:t xml:space="preserve">L_TCL = BCE(tau_conf, y_correct)</w:t>
            </w:r>
          </w:p>
          <w:p>
            <w:pPr>
              <w:spacing w:after="60" w:before="0"/>
            </w:pPr>
            <w:r>
              <w:rPr>
                <w:rFonts w:ascii="Courier New" w:cs="Courier New" w:eastAsia="Courier New" w:hAnsi="Courier New"/>
                <w:color w:val="374151"/>
                <w:sz w:val="20"/>
                <w:szCs w:val="20"/>
              </w:rPr>
              <w:t xml:space="preserve">      + MSE(tau_evidence, e_label)</w:t>
            </w:r>
          </w:p>
          <w:p>
            <w:pPr>
              <w:spacing w:after="60" w:before="0"/>
            </w:pPr>
            <w:r>
              <w:rPr>
                <w:rFonts w:ascii="Courier New" w:cs="Courier New" w:eastAsia="Courier New" w:hAnsi="Courier New"/>
                <w:color w:val="374151"/>
                <w:sz w:val="20"/>
                <w:szCs w:val="20"/>
              </w:rPr>
              <w:t xml:space="preserve">      + BCE(tau_contradiction, c_label)</w:t>
            </w:r>
          </w:p>
          <w:p>
            <w:pPr>
              <w:spacing w:after="60" w:before="0"/>
            </w:pPr>
            <w:r>
              <w:rPr>
                <w:rFonts w:ascii="Courier New" w:cs="Courier New" w:eastAsia="Courier New" w:hAnsi="Courier New"/>
                <w:color w:val="374151"/>
                <w:sz w:val="20"/>
                <w:szCs w:val="20"/>
              </w:rPr>
              <w:t xml:space="preserve">      + MSE(tau_diversity, d_label)</w:t>
            </w:r>
          </w:p>
        </w:tc>
      </w:tr>
    </w:tbl>
    <w:p>
      <w:r>
        <w:br w:type="page"/>
      </w:r>
    </w:p>
    <w:p>
      <w:pPr>
        <w:pStyle w:val="Heading1"/>
        <w:spacing w:after="160" w:before="360"/>
      </w:pPr>
      <w:r>
        <w:rPr>
          <w:rFonts w:ascii="Arial" w:cs="Arial" w:eastAsia="Arial" w:hAnsi="Arial"/>
          <w:b/>
          <w:bCs/>
          <w:caps/>
          <w:color w:val="1A2E5A"/>
          <w:sz w:val="32"/>
          <w:szCs w:val="32"/>
        </w:rPr>
        <w:t xml:space="preserve">5. Theoretical Analysis</w:t>
      </w:r>
    </w:p>
    <w:p>
      <w:pPr>
        <w:spacing w:after="160" w:before="60"/>
        <w:jc w:val="both"/>
      </w:pPr>
      <w:r>
        <w:rPr>
          <w:rFonts w:ascii="Times New Roman" w:cs="Times New Roman" w:eastAsia="Times New Roman" w:hAnsi="Times New Roman"/>
          <w:color w:val="1F2937"/>
          <w:sz w:val="24"/>
          <w:szCs w:val="24"/>
        </w:rPr>
        <w:t xml:space="preserve">The joint objective P(token, trust_score | context) is strictly more expressive than the standard objective P(token | context). The standard objective induces a probability distribution over token sequences. The joint objective induces a joint distribution over token sequences and trust vectors.</w:t>
      </w:r>
    </w:p>
    <w:p>
      <w:pPr>
        <w:spacing w:after="160" w:before="60"/>
        <w:jc w:val="both"/>
      </w:pPr>
      <w:r>
        <w:rPr>
          <w:rFonts w:ascii="Times New Roman" w:cs="Times New Roman" w:eastAsia="Times New Roman" w:hAnsi="Times New Roman"/>
          <w:color w:val="1F2937"/>
          <w:sz w:val="24"/>
          <w:szCs w:val="24"/>
        </w:rPr>
        <w:t xml:space="preserve">In a future implementation, the TCL confidence dimension would be trained directly on the binary correctness signal. Under sufficient training data and model capacity, it should converge to an estimate of the probability that a claim is correct given its hidden-state representation.</w:t>
      </w:r>
    </w:p>
    <w:p>
      <w:pPr>
        <w:pStyle w:val="Heading2"/>
        <w:spacing w:after="120" w:before="280"/>
      </w:pPr>
      <w:r>
        <w:rPr>
          <w:rFonts w:ascii="Arial" w:cs="Arial" w:eastAsia="Arial" w:hAnsi="Arial"/>
          <w:b/>
          <w:bCs/>
          <w:color w:val="2E5FAB"/>
          <w:sz w:val="26"/>
          <w:szCs w:val="26"/>
        </w:rPr>
        <w:t xml:space="preserve">5.3 Limitations of the Theoretical Argument</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The hidden-state representation must carry sufficient information about claim reliability.</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The training labels must be accurate and diverse.</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The four trust-vector dimensions are correlated and may require structured modeling.</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The claim extraction layer is a critical bottleneck.</w:t>
      </w:r>
    </w:p>
    <w:p>
      <w:r>
        <w:br w:type="page"/>
      </w:r>
    </w:p>
    <w:p>
      <w:pPr>
        <w:pStyle w:val="Heading1"/>
        <w:spacing w:after="160" w:before="360"/>
      </w:pPr>
      <w:r>
        <w:rPr>
          <w:rFonts w:ascii="Arial" w:cs="Arial" w:eastAsia="Arial" w:hAnsi="Arial"/>
          <w:b/>
          <w:bCs/>
          <w:caps/>
          <w:color w:val="1A2E5A"/>
          <w:sz w:val="32"/>
          <w:szCs w:val="32"/>
        </w:rPr>
        <w:t xml:space="preserve">6. Proposed Experimental Design for Future Validation</w:t>
      </w:r>
    </w:p>
    <w:p>
      <w:pPr>
        <w:pStyle w:val="Heading2"/>
        <w:spacing w:after="120" w:before="280"/>
      </w:pPr>
      <w:r>
        <w:rPr>
          <w:rFonts w:ascii="Arial" w:cs="Arial" w:eastAsia="Arial" w:hAnsi="Arial"/>
          <w:b/>
          <w:bCs/>
          <w:color w:val="2E5FAB"/>
          <w:sz w:val="26"/>
          <w:szCs w:val="26"/>
        </w:rPr>
        <w:t xml:space="preserve">6.1 Models and Datasets</w:t>
      </w:r>
    </w:p>
    <w:p>
      <w:pPr>
        <w:spacing w:after="160" w:before="60"/>
        <w:jc w:val="both"/>
      </w:pPr>
      <w:r>
        <w:t>Because full TCL has not yet been implemented, this section defines a future experimental protocol rather than reporting completed full-system results. The separate TCL-v0 diagnostic begins with a narrower question: whether frozen hidden states can support a correctness-confidence score that improves on raw generation confidence. Future full-TCL validation would evaluate the proposed trust-vector architecture attached to larger instruction models such as Mistral-7B-Instruct-v0.3 and LLaMA-3.1-8B-Instruct, with frozen base weights where appropriate.</w:t>
      </w:r>
    </w:p>
    <w:p>
      <w:pPr>
        <w:spacing w:after="160" w:before="60"/>
        <w:jc w:val="both"/>
      </w:pPr>
      <w:r>
        <w:rPr>
          <w:rFonts w:ascii="Times New Roman" w:cs="Times New Roman" w:eastAsia="Times New Roman" w:hAnsi="Times New Roman"/>
          <w:color w:val="1F2937"/>
          <w:sz w:val="24"/>
          <w:szCs w:val="24"/>
        </w:rPr>
        <w:t xml:space="preserve">TriviaQA and Natural Questions are proposed as primary factual QA datasets for future validation. Expected Calibration Error would be the primary metric, supported by Maximum Calibration Error, reliability diagrams, AURC, and generation quality metrics.</w:t>
      </w:r>
    </w:p>
    <w:p>
      <w:pPr>
        <w:pStyle w:val="Heading2"/>
        <w:spacing w:after="120" w:before="280"/>
      </w:pPr>
      <w:r>
        <w:rPr>
          <w:rFonts w:ascii="Arial" w:cs="Arial" w:eastAsia="Arial" w:hAnsi="Arial"/>
          <w:b/>
          <w:bCs/>
          <w:color w:val="2E5FAB"/>
          <w:sz w:val="26"/>
          <w:szCs w:val="26"/>
        </w:rPr>
        <w:t xml:space="preserve">6.3 Baseline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Baseline</w:t>
            </w:r>
          </w:p>
        </w:tc>
        <w:tc>
          <w:tcPr>
            <w:tcW w:type="dxa" w:w="65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after="0" w:before="0"/>
              <w:jc w:val="left"/>
            </w:pPr>
            <w:r>
              <w:rPr>
                <w:rFonts w:ascii="Arial" w:cs="Arial" w:eastAsia="Arial" w:hAnsi="Arial"/>
                <w:b/>
                <w:bCs/>
                <w:color w:val="2E5FAB"/>
                <w:sz w:val="20"/>
                <w:szCs w:val="20"/>
              </w:rPr>
              <w:t xml:space="preserve">Raw Softmax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Base model confidence measured as max softmax probability.</w:t>
            </w:r>
          </w:p>
        </w:tc>
      </w:tr>
      <w:tr>
        <w:trPr>
          <w:tblHeader w:val="false"/>
        </w:trP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after="0" w:before="0"/>
              <w:jc w:val="left"/>
            </w:pPr>
            <w:r>
              <w:rPr>
                <w:rFonts w:ascii="Arial" w:cs="Arial" w:eastAsia="Arial" w:hAnsi="Arial"/>
                <w:b/>
                <w:bCs/>
                <w:color w:val="2E5FAB"/>
                <w:sz w:val="20"/>
                <w:szCs w:val="20"/>
              </w:rPr>
              <w:t xml:space="preserve">Temperature 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Post-hoc calibration by optimising a validation temperature scalar.</w:t>
            </w:r>
          </w:p>
        </w:tc>
      </w:tr>
      <w:tr>
        <w:trPr>
          <w:tblHeader w:val="false"/>
        </w:trP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after="0" w:before="0"/>
              <w:jc w:val="left"/>
            </w:pPr>
            <w:r>
              <w:rPr>
                <w:rFonts w:ascii="Arial" w:cs="Arial" w:eastAsia="Arial" w:hAnsi="Arial"/>
                <w:b/>
                <w:bCs/>
                <w:color w:val="2E5FAB"/>
                <w:sz w:val="20"/>
                <w:szCs w:val="20"/>
              </w:rPr>
              <w:t xml:space="preserve">TCL (confidence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Ablation with only the confidence dimension active.</w:t>
            </w:r>
          </w:p>
        </w:tc>
      </w:tr>
      <w:tr>
        <w:trPr>
          <w:tblHeader w:val="false"/>
        </w:trP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after="0" w:before="0"/>
              <w:jc w:val="left"/>
            </w:pPr>
            <w:r>
              <w:rPr>
                <w:rFonts w:ascii="Arial" w:cs="Arial" w:eastAsia="Arial" w:hAnsi="Arial"/>
                <w:b/>
                <w:bCs/>
                <w:color w:val="2E5FAB"/>
                <w:sz w:val="20"/>
                <w:szCs w:val="20"/>
              </w:rPr>
              <w:t xml:space="preserve">TCL (full)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F2937"/>
                <w:sz w:val="20"/>
                <w:szCs w:val="20"/>
              </w:rPr>
              <w:t xml:space="preserve">Full TCL with all four trust-vector dimensions.</w:t>
            </w:r>
          </w:p>
        </w:tc>
      </w:tr>
    </w:tbl>
    <w:p>
      <w:pPr>
        <w:pStyle w:val="Heading2"/>
        <w:spacing w:after="120" w:before="280"/>
      </w:pPr>
      <w:r>
        <w:rPr>
          <w:rFonts w:ascii="Arial" w:cs="Arial" w:eastAsia="Arial" w:hAnsi="Arial"/>
          <w:b/>
          <w:bCs/>
          <w:color w:val="2E5FAB"/>
          <w:sz w:val="26"/>
          <w:szCs w:val="26"/>
        </w:rPr>
        <w:t xml:space="preserve">6.4 Evaluation Metrics</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Expected Calibration Error (ECE): primary metric.</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Maximum Calibration Error (MCE): worst-case bin-level calibration error.</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Reliability Diagrams: confidence versus accuracy across bins.</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Area Under the Risk-Coverage Curve (AURC): selective prediction quality.</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Generation Quality: verification that TCL does not degrade answer quality.</w:t>
      </w:r>
    </w:p>
    <w:p>
      <w:pPr>
        <w:pStyle w:val="Heading2"/>
        <w:spacing w:after="120" w:before="280"/>
      </w:pPr>
      <w:r>
        <w:rPr>
          <w:rFonts w:ascii="Arial" w:cs="Arial" w:eastAsia="Arial" w:hAnsi="Arial"/>
          <w:b/>
          <w:bCs/>
          <w:color w:val="2E5FAB"/>
          <w:sz w:val="26"/>
          <w:szCs w:val="26"/>
        </w:rPr>
        <w:t xml:space="preserve">6.5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B" w:sz="2"/>
              <w:left w:val="single" w:color="2E5FAB" w:sz="12"/>
              <w:bottom w:val="single" w:color="2E5FAB" w:sz="2"/>
              <w:right w:val="none" w:color="FFFFFF" w:sz="0"/>
            </w:tcBorders>
            <w:shd w:fill="F8F9FB" w:val="clear"/>
            <w:tcMar>
              <w:top w:type="dxa" w:w="160"/>
              <w:left w:type="dxa" w:w="240"/>
              <w:bottom w:type="dxa" w:w="160"/>
              <w:right w:type="dxa" w:w="240"/>
            </w:tcMar>
          </w:tcPr>
          <w:p>
            <w:pPr>
              <w:spacing w:after="60" w:before="0"/>
            </w:pPr>
            <w:r>
              <w:rPr>
                <w:rFonts w:ascii="Courier New" w:cs="Courier New" w:eastAsia="Courier New" w:hAnsi="Courier New"/>
                <w:color w:val="374151"/>
                <w:sz w:val="20"/>
                <w:szCs w:val="20"/>
              </w:rPr>
              <w:t xml:space="preserve">class TrustCalibrationLayer(nn.Module):</w:t>
            </w:r>
          </w:p>
          <w:p>
            <w:pPr>
              <w:spacing w:after="60" w:before="0"/>
            </w:pPr>
            <w:r>
              <w:rPr>
                <w:rFonts w:ascii="Courier New" w:cs="Courier New" w:eastAsia="Courier New" w:hAnsi="Courier New"/>
                <w:color w:val="374151"/>
                <w:sz w:val="20"/>
                <w:szCs w:val="20"/>
              </w:rPr>
              <w:t xml:space="preserve">    def __init__(self, hidden_dim=4096):</w:t>
            </w:r>
          </w:p>
          <w:p>
            <w:pPr>
              <w:spacing w:after="60" w:before="0"/>
            </w:pPr>
            <w:r>
              <w:rPr>
                <w:rFonts w:ascii="Courier New" w:cs="Courier New" w:eastAsia="Courier New" w:hAnsi="Courier New"/>
                <w:color w:val="374151"/>
                <w:sz w:val="20"/>
                <w:szCs w:val="20"/>
              </w:rPr>
              <w:t xml:space="preserve">        self.claim_extractor = nn.Linear(hidden_dim, 1)</w:t>
            </w:r>
          </w:p>
          <w:p>
            <w:pPr>
              <w:spacing w:after="60" w:before="0"/>
            </w:pPr>
            <w:r>
              <w:rPr>
                <w:rFonts w:ascii="Courier New" w:cs="Courier New" w:eastAsia="Courier New" w:hAnsi="Courier New"/>
                <w:color w:val="374151"/>
                <w:sz w:val="20"/>
                <w:szCs w:val="20"/>
              </w:rPr>
              <w:t xml:space="preserve">        self.evidence_head = MLP(hidden_dim, 1)</w:t>
            </w:r>
          </w:p>
          <w:p>
            <w:pPr>
              <w:spacing w:after="60" w:before="0"/>
            </w:pPr>
            <w:r>
              <w:rPr>
                <w:rFonts w:ascii="Courier New" w:cs="Courier New" w:eastAsia="Courier New" w:hAnsi="Courier New"/>
                <w:color w:val="374151"/>
                <w:sz w:val="20"/>
                <w:szCs w:val="20"/>
              </w:rPr>
              <w:t xml:space="preserve">        self.confidence_head = nn.Linear(hidden_dim, 1)</w:t>
            </w:r>
          </w:p>
          <w:p>
            <w:pPr>
              <w:spacing w:after="60" w:before="0"/>
            </w:pPr>
            <w:r>
              <w:rPr>
                <w:rFonts w:ascii="Courier New" w:cs="Courier New" w:eastAsia="Courier New" w:hAnsi="Courier New"/>
                <w:color w:val="374151"/>
                <w:sz w:val="20"/>
                <w:szCs w:val="20"/>
              </w:rPr>
              <w:t xml:space="preserve">        self.diversity_head = nn.Linear(hidden_dim, 1)</w:t>
            </w:r>
          </w:p>
          <w:p>
            <w:pPr>
              <w:spacing w:after="60" w:before="0"/>
            </w:pPr>
            <w:r>
              <w:rPr>
                <w:rFonts w:ascii="Courier New" w:cs="Courier New" w:eastAsia="Courier New" w:hAnsi="Courier New"/>
                <w:color w:val="374151"/>
                <w:sz w:val="20"/>
                <w:szCs w:val="20"/>
              </w:rPr>
              <w:t xml:space="preserve">        self.contradiction_head = MLP(hidden_dim * 2, 1)</w:t>
            </w:r>
          </w:p>
          <w:p>
            <w:pPr>
              <w:spacing w:after="60" w:before="0"/>
            </w:pPr>
            <w:r>
              <w:rPr>
                <w:rFonts w:ascii="Courier New" w:cs="Courier New" w:eastAsia="Courier New" w:hAnsi="Courier New"/>
                <w:color w:val="374151"/>
                <w:sz w:val="20"/>
                <w:szCs w:val="20"/>
              </w:rPr>
              <w:t xml:space="preserve"/>
            </w:r>
          </w:p>
          <w:p>
            <w:pPr>
              <w:spacing w:after="60" w:before="0"/>
            </w:pPr>
            <w:r>
              <w:rPr>
                <w:rFonts w:ascii="Courier New" w:cs="Courier New" w:eastAsia="Courier New" w:hAnsi="Courier New"/>
                <w:color w:val="374151"/>
                <w:sz w:val="20"/>
                <w:szCs w:val="20"/>
              </w:rPr>
              <w:t xml:space="preserve">    def forward(self, hidden_states, context_hidden):</w:t>
            </w:r>
          </w:p>
          <w:p>
            <w:pPr>
              <w:spacing w:after="60" w:before="0"/>
            </w:pPr>
            <w:r>
              <w:rPr>
                <w:rFonts w:ascii="Courier New" w:cs="Courier New" w:eastAsia="Courier New" w:hAnsi="Courier New"/>
                <w:color w:val="374151"/>
                <w:sz w:val="20"/>
                <w:szCs w:val="20"/>
              </w:rPr>
              <w:t xml:space="preserve">        claim_mask = torch.sigmoid(self.claim_extractor(hidden_states))</w:t>
            </w:r>
          </w:p>
          <w:p>
            <w:pPr>
              <w:spacing w:after="60" w:before="0"/>
            </w:pPr>
            <w:r>
              <w:rPr>
                <w:rFonts w:ascii="Courier New" w:cs="Courier New" w:eastAsia="Courier New" w:hAnsi="Courier New"/>
                <w:color w:val="374151"/>
                <w:sz w:val="20"/>
                <w:szCs w:val="20"/>
              </w:rPr>
              <w:t xml:space="preserve">        h_claim = (hidden_states * claim_mask).mean(dim=1)</w:t>
            </w:r>
          </w:p>
          <w:p>
            <w:pPr>
              <w:spacing w:after="60" w:before="0"/>
            </w:pPr>
            <w:r>
              <w:rPr>
                <w:rFonts w:ascii="Courier New" w:cs="Courier New" w:eastAsia="Courier New" w:hAnsi="Courier New"/>
                <w:color w:val="374151"/>
                <w:sz w:val="20"/>
                <w:szCs w:val="20"/>
              </w:rPr>
              <w:t xml:space="preserve">        return trust_vector</w:t>
            </w:r>
          </w:p>
        </w:tc>
      </w:tr>
    </w:tbl>
    <w:p>
      <w:r>
        <w:br w:type="page"/>
      </w:r>
    </w:p>
    <w:p>
      <w:pPr>
        <w:pStyle w:val="Heading1"/>
        <w:spacing w:after="160" w:before="360"/>
      </w:pPr>
      <w:r>
        <w:rPr>
          <w:rFonts w:ascii="Arial" w:cs="Arial" w:eastAsia="Arial" w:hAnsi="Arial"/>
          <w:b/>
          <w:bCs/>
          <w:caps/>
          <w:color w:val="1A2E5A"/>
          <w:sz w:val="32"/>
          <w:szCs w:val="32"/>
        </w:rPr>
        <w:t xml:space="preserve">7. Discussion</w:t>
      </w:r>
    </w:p>
    <w:p>
      <w:pPr>
        <w:spacing w:after="160" w:before="60"/>
        <w:jc w:val="both"/>
      </w:pPr>
      <w:r>
        <w:t>At the current stage, full TCL should be understood as a theoretical framework rather than a working system. TCL-v0 is a separate early diagnostic that probes one narrow part of the hypothesis: whether hidden states contain useful signal for answer-correctness calibration. If the broader framework is later implemented and validated, it could represent a step toward AI systems that are not merely fluent but more transparent about uncertainty - systems that can expose reliability estimates alongside generated text. This framing is intentionally cautious: TCL does not make a model truthful by itself, and it should not be treated as a substitute for external verification in high-stakes domains.</w:t>
      </w:r>
    </w:p>
    <w:p>
      <w:pPr>
        <w:spacing w:after="160" w:before="60"/>
        <w:jc w:val="both"/>
      </w:pPr>
      <w:r>
        <w:rPr>
          <w:rFonts w:ascii="Times New Roman" w:cs="Times New Roman" w:eastAsia="Times New Roman" w:hAnsi="Times New Roman"/>
          <w:color w:val="1F2937"/>
          <w:sz w:val="24"/>
          <w:szCs w:val="24"/>
        </w:rPr>
        <w:t xml:space="preserve">Several limitations should be acknowledged: label availability, domain generalization, the frozen base model assumption, computational overhead, and the risk that the probe learns benchmark-specific answer patterns rather than general reliability.</w:t>
      </w:r>
    </w:p>
    <w:p>
      <w:pPr>
        <w:pStyle w:val="Heading2"/>
        <w:spacing w:after="120" w:before="280"/>
      </w:pPr>
      <w:r>
        <w:rPr>
          <w:rFonts w:ascii="Arial" w:cs="Arial" w:eastAsia="Arial" w:hAnsi="Arial"/>
          <w:b/>
          <w:bCs/>
          <w:color w:val="2E5FAB"/>
          <w:sz w:val="26"/>
          <w:szCs w:val="26"/>
        </w:rPr>
        <w:t xml:space="preserve">7.3 Threats to Validity</w:t>
      </w:r>
    </w:p>
    <w:p>
      <w:pPr>
        <w:spacing w:after="160" w:before="60"/>
        <w:jc w:val="both"/>
      </w:pPr>
      <w:r>
        <w:rPr>
          <w:rFonts w:ascii="Times New Roman" w:cs="Times New Roman" w:eastAsia="Times New Roman" w:hAnsi="Times New Roman"/>
          <w:color w:val="1F2937"/>
          <w:sz w:val="24"/>
          <w:szCs w:val="24"/>
        </w:rPr>
        <w:t xml:space="preserve">The main threat to validity is that TCL may learn correlations between benchmark prompts and correctness labels rather than a general notion of reliability. Strong evaluation therefore requires held-out datasets, domain transfer tests, and calibration metrics reported separately from raw accuracy.</w:t>
      </w:r>
    </w:p>
    <w:p>
      <w:pPr>
        <w:spacing w:after="160" w:before="60"/>
        <w:jc w:val="both"/>
      </w:pPr>
      <w:r>
        <w:rPr>
          <w:rFonts w:ascii="Times New Roman" w:cs="Times New Roman" w:eastAsia="Times New Roman" w:hAnsi="Times New Roman"/>
          <w:color w:val="1F2937"/>
          <w:sz w:val="24"/>
          <w:szCs w:val="24"/>
        </w:rPr>
        <w:t xml:space="preserve">A second threat is observability. Evidence density and source diversity cannot be directly measured from hidden states unless the base model exposes training-data provenance or the experiment adds a retrieval layer. In this paper, these dimensions should be interpreted as proxy estimates learned from available supervision, not as literal measurements of the model's training sources.</w:t>
      </w:r>
    </w:p>
    <w:p>
      <w:pPr>
        <w:spacing w:after="160" w:before="60"/>
        <w:jc w:val="both"/>
      </w:pPr>
      <w:r>
        <w:rPr>
          <w:rFonts w:ascii="Times New Roman" w:cs="Times New Roman" w:eastAsia="Times New Roman" w:hAnsi="Times New Roman"/>
          <w:color w:val="1F2937"/>
          <w:sz w:val="24"/>
          <w:szCs w:val="24"/>
        </w:rPr>
        <w:t xml:space="preserve">A third threat is overinterpretation. A lower ECE would indicate improved statistical calibration on the evaluated distribution, but it would not prove that the model has acquired truthfulness, factual grounding, or human-level uncertainty awareness. TCL should therefore be evaluated as a reliability-estimation mechanism, not as a complete hallucination solution.</w:t>
      </w:r>
    </w:p>
    <w:p>
      <w:pPr>
        <w:pStyle w:val="Heading2"/>
        <w:spacing w:after="120" w:before="280"/>
      </w:pPr>
      <w:r>
        <w:rPr>
          <w:rFonts w:ascii="Arial" w:cs="Arial" w:eastAsia="Arial" w:hAnsi="Arial"/>
          <w:b/>
          <w:bCs/>
          <w:color w:val="2E5FAB"/>
          <w:sz w:val="26"/>
          <w:szCs w:val="26"/>
        </w:rPr>
        <w:t xml:space="preserve">7.4 Safer Claim Boundaries</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The paper should claim that TCL may improve calibration, not that it guarantees truthful output.</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Evidence density and source diversity should be described as proxy dimensions unless retrieval metadata or provenance labels are available.</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The core empirical claim should be limited to measurable reductions in ECE, MCE, and risk-coverage error on specified benchmarks.</w:t>
      </w:r>
    </w:p>
    <w:p>
      <w:pPr>
        <w:pStyle w:val="ListParagraph"/>
        <w:numPr>
          <w:ilvl w:val="0"/>
          <w:numId w:val="3"/>
        </w:numPr>
        <w:spacing w:after="60" w:before="60"/>
      </w:pPr>
      <w:r>
        <w:rPr>
          <w:rFonts w:ascii="Times New Roman" w:cs="Times New Roman" w:eastAsia="Times New Roman" w:hAnsi="Times New Roman"/>
          <w:color w:val="1F2937"/>
          <w:sz w:val="24"/>
          <w:szCs w:val="24"/>
        </w:rPr>
        <w:t xml:space="preserve">For deployment, TCL should be presented as a companion signal for human review, abstention, or retrieval verification, not as an autonomous truth detector.</w:t>
      </w:r>
    </w:p>
    <w:p>
      <w:r>
        <w:br w:type="page"/>
      </w:r>
    </w:p>
    <w:p>
      <w:pPr>
        <w:pStyle w:val="Heading1"/>
        <w:spacing w:after="160" w:before="360"/>
      </w:pPr>
      <w:r>
        <w:rPr>
          <w:rFonts w:ascii="Arial" w:cs="Arial" w:eastAsia="Arial" w:hAnsi="Arial"/>
          <w:b/>
          <w:bCs/>
          <w:caps/>
          <w:color w:val="1A2E5A"/>
          <w:sz w:val="32"/>
          <w:szCs w:val="32"/>
        </w:rPr>
        <w:t xml:space="preserve">8. Conclusion</w:t>
      </w:r>
    </w:p>
    <w:p>
      <w:pPr>
        <w:spacing w:after="160" w:before="60"/>
        <w:jc w:val="both"/>
      </w:pPr>
      <w:r>
        <w:rPr>
          <w:rFonts w:ascii="Times New Roman" w:cs="Times New Roman" w:eastAsia="Times New Roman" w:hAnsi="Times New Roman"/>
          <w:color w:val="1F2937"/>
          <w:sz w:val="24"/>
          <w:szCs w:val="24"/>
        </w:rPr>
        <w:t xml:space="preserve">This paper has introduced the Truth Calibration Layer as a theoretical framework for extending the language-model generation interface from token prediction alone to token prediction accompanied by structured reliability estimates.</w:t>
      </w:r>
    </w:p>
    <w:p>
      <w:pPr>
        <w:spacing w:after="160" w:before="60"/>
        <w:jc w:val="both"/>
      </w:pPr>
      <w:r>
        <w:t>The current contribution remains primarily conceptual: it defines the motivation, architecture, trust-vector dimensions, training objective, and validation plan. The immediate practical bridge is TCL-v0, a limited confidence-only diagnostic using frozen hidden states and a lightweight probe. The next stage of the research is broader empirical testing to determine whether these preliminary hidden-state calibration signals remain useful across stronger models, datasets, and evaluation protocols before making any claims about full TCL.</w:t>
      </w:r>
    </w:p>
    <w:p>
      <w:r>
        <w:br w:type="page"/>
      </w:r>
    </w:p>
    <w:p>
      <w:pPr>
        <w:pStyle w:val="Heading1"/>
        <w:spacing w:after="160" w:before="360"/>
      </w:pPr>
      <w:r>
        <w:rPr>
          <w:rFonts w:ascii="Arial" w:cs="Arial" w:eastAsia="Arial" w:hAnsi="Arial"/>
          <w:b/>
          <w:bCs/>
          <w:caps/>
          <w:color w:val="1A2E5A"/>
          <w:sz w:val="32"/>
          <w:szCs w:val="32"/>
        </w:rPr>
        <w:t xml:space="preserve">References</w:t>
      </w:r>
    </w:p>
    <w:p>
      <w:pPr>
        <w:spacing w:after="80" w:before="60"/>
        <w:jc w:val="both"/>
      </w:pPr>
      <w:r>
        <w:rPr>
          <w:rFonts w:ascii="Times New Roman" w:cs="Times New Roman" w:eastAsia="Times New Roman" w:hAnsi="Times New Roman"/>
          <w:color w:val="1F2937"/>
          <w:sz w:val="24"/>
          <w:szCs w:val="24"/>
        </w:rPr>
        <w:t xml:space="preserve">[1] Bai, Y., et al. (2022). Training a helpful and harmless assistant with reinforcement learning from human feedback. arXiv preprint arXiv:2204.05862.</w:t>
      </w:r>
    </w:p>
    <w:p>
      <w:pPr>
        <w:spacing w:after="80" w:before="60"/>
        <w:jc w:val="both"/>
      </w:pPr>
      <w:r>
        <w:rPr>
          <w:rFonts w:ascii="Times New Roman" w:cs="Times New Roman" w:eastAsia="Times New Roman" w:hAnsi="Times New Roman"/>
          <w:color w:val="1F2937"/>
          <w:sz w:val="24"/>
          <w:szCs w:val="24"/>
        </w:rPr>
        <w:t xml:space="preserve">[2] Bang, Y., et al. (2023). A multitask, multilingual, multimodal evaluation of ChatGPT on reasoning, hallucination, and interactivity. arXiv preprint arXiv:2302.04023.</w:t>
      </w:r>
    </w:p>
    <w:p>
      <w:pPr>
        <w:spacing w:after="80" w:before="60"/>
        <w:jc w:val="both"/>
      </w:pPr>
      <w:r>
        <w:rPr>
          <w:rFonts w:ascii="Times New Roman" w:cs="Times New Roman" w:eastAsia="Times New Roman" w:hAnsi="Times New Roman"/>
          <w:color w:val="1F2937"/>
          <w:sz w:val="24"/>
          <w:szCs w:val="24"/>
        </w:rPr>
        <w:t xml:space="preserve">[3] El-Yaniv, R., &amp; Wiener, Y. (2010). On the foundations of noise-free selective classification. Journal of Machine Learning Research, 11, 1605-1641.</w:t>
      </w:r>
    </w:p>
    <w:p>
      <w:pPr>
        <w:spacing w:after="80" w:before="60"/>
        <w:jc w:val="both"/>
      </w:pPr>
      <w:r>
        <w:rPr>
          <w:rFonts w:ascii="Times New Roman" w:cs="Times New Roman" w:eastAsia="Times New Roman" w:hAnsi="Times New Roman"/>
          <w:color w:val="1F2937"/>
          <w:sz w:val="24"/>
          <w:szCs w:val="24"/>
        </w:rPr>
        <w:t xml:space="preserve">[4] Gal, Y., &amp; Ghahramani, Z. (2016). Dropout as a Bayesian approximation: Representing model uncertainty in deep learning. In Proceedings of ICML.</w:t>
      </w:r>
    </w:p>
    <w:p>
      <w:pPr>
        <w:spacing w:after="80" w:before="60"/>
        <w:jc w:val="both"/>
      </w:pPr>
      <w:r>
        <w:rPr>
          <w:rFonts w:ascii="Times New Roman" w:cs="Times New Roman" w:eastAsia="Times New Roman" w:hAnsi="Times New Roman"/>
          <w:color w:val="1F2937"/>
          <w:sz w:val="24"/>
          <w:szCs w:val="24"/>
        </w:rPr>
        <w:t xml:space="preserve">[5] Geifman, Y., &amp; El-Yaniv, R. (2017). Selective classification for deep neural networks. In NeurIPS.</w:t>
      </w:r>
    </w:p>
    <w:p>
      <w:pPr>
        <w:spacing w:after="80" w:before="60"/>
        <w:jc w:val="both"/>
      </w:pPr>
      <w:r>
        <w:rPr>
          <w:rFonts w:ascii="Times New Roman" w:cs="Times New Roman" w:eastAsia="Times New Roman" w:hAnsi="Times New Roman"/>
          <w:color w:val="1F2937"/>
          <w:sz w:val="24"/>
          <w:szCs w:val="24"/>
        </w:rPr>
        <w:t xml:space="preserve">[6] Guo, C., et al. (2017). On calibration of modern neural networks. In Proceedings of ICML.</w:t>
      </w:r>
    </w:p>
    <w:p>
      <w:pPr>
        <w:spacing w:after="80" w:before="60"/>
        <w:jc w:val="both"/>
      </w:pPr>
      <w:r>
        <w:rPr>
          <w:rFonts w:ascii="Times New Roman" w:cs="Times New Roman" w:eastAsia="Times New Roman" w:hAnsi="Times New Roman"/>
          <w:color w:val="1F2937"/>
          <w:sz w:val="24"/>
          <w:szCs w:val="24"/>
        </w:rPr>
        <w:t xml:space="preserve">[7] Joshi, M., et al. (2017). TriviaQA: A reading comprehension dataset containing 650k question-answer-evidence triples. In Proceedings of ACL.</w:t>
      </w:r>
    </w:p>
    <w:p>
      <w:pPr>
        <w:spacing w:after="80" w:before="60"/>
        <w:jc w:val="both"/>
      </w:pPr>
      <w:r>
        <w:rPr>
          <w:rFonts w:ascii="Times New Roman" w:cs="Times New Roman" w:eastAsia="Times New Roman" w:hAnsi="Times New Roman"/>
          <w:color w:val="1F2937"/>
          <w:sz w:val="24"/>
          <w:szCs w:val="24"/>
        </w:rPr>
        <w:t xml:space="preserve">[8] Kwiatkowski, T., et al. (2019). Natural Questions: A benchmark for question answering research. Transactions of the Association for Computational Linguistics.</w:t>
      </w:r>
    </w:p>
    <w:p>
      <w:pPr>
        <w:spacing w:after="80" w:before="60"/>
        <w:jc w:val="both"/>
      </w:pPr>
      <w:r>
        <w:rPr>
          <w:rFonts w:ascii="Times New Roman" w:cs="Times New Roman" w:eastAsia="Times New Roman" w:hAnsi="Times New Roman"/>
          <w:color w:val="1F2937"/>
          <w:sz w:val="24"/>
          <w:szCs w:val="24"/>
        </w:rPr>
        <w:t xml:space="preserve">[9] Lakshminarayanan, B., Pritzel, A., &amp; Blundell, C. (2017). Simple and scalable predictive uncertainty estimation using deep ensembles. In NeurIPS.</w:t>
      </w:r>
    </w:p>
    <w:p>
      <w:pPr>
        <w:spacing w:after="80" w:before="60"/>
        <w:jc w:val="both"/>
      </w:pPr>
      <w:r>
        <w:rPr>
          <w:rFonts w:ascii="Times New Roman" w:cs="Times New Roman" w:eastAsia="Times New Roman" w:hAnsi="Times New Roman"/>
          <w:color w:val="1F2937"/>
          <w:sz w:val="24"/>
          <w:szCs w:val="24"/>
        </w:rPr>
        <w:t xml:space="preserve">[10] Lewis, P., et al. (2020). Retrieval-augmented generation for knowledge-intensive NLP tasks. In NeurIPS.</w:t>
      </w:r>
    </w:p>
    <w:p>
      <w:pPr>
        <w:spacing w:after="80" w:before="60"/>
        <w:jc w:val="both"/>
      </w:pPr>
      <w:r>
        <w:rPr>
          <w:rFonts w:ascii="Times New Roman" w:cs="Times New Roman" w:eastAsia="Times New Roman" w:hAnsi="Times New Roman"/>
          <w:color w:val="1F2937"/>
          <w:sz w:val="24"/>
          <w:szCs w:val="24"/>
        </w:rPr>
        <w:t xml:space="preserve">[11] Maynez, J., et al. (2020). On faithfulness and factuality in abstractive summarization. In Proceedings of ACL.</w:t>
      </w:r>
    </w:p>
    <w:p>
      <w:pPr>
        <w:spacing w:after="80" w:before="60"/>
        <w:jc w:val="both"/>
      </w:pPr>
      <w:r>
        <w:rPr>
          <w:rFonts w:ascii="Times New Roman" w:cs="Times New Roman" w:eastAsia="Times New Roman" w:hAnsi="Times New Roman"/>
          <w:color w:val="1F2937"/>
          <w:sz w:val="24"/>
          <w:szCs w:val="24"/>
        </w:rPr>
        <w:t xml:space="preserve">[12] Ouyang, L., et al. (2022). Training language models to follow instructions with human feedback. In NeurIPS.</w:t>
      </w:r>
    </w:p>
    <w:p>
      <w:pPr>
        <w:spacing w:after="80" w:before="60"/>
        <w:jc w:val="both"/>
      </w:pPr>
      <w:r>
        <w:rPr>
          <w:rFonts w:ascii="Times New Roman" w:cs="Times New Roman" w:eastAsia="Times New Roman" w:hAnsi="Times New Roman"/>
          <w:color w:val="1F2937"/>
          <w:sz w:val="24"/>
          <w:szCs w:val="24"/>
        </w:rPr>
        <w:t xml:space="preserve">[13] Platt, J. (1999). Probabilistic outputs for support vector machines and comparisons to regularized likelihood methods. Advances in Large Margin Classifiers.</w:t>
      </w:r>
    </w:p>
    <w:p>
      <w:pPr>
        <w:spacing w:after="80" w:before="60"/>
        <w:jc w:val="both"/>
      </w:pPr>
      <w:r>
        <w:rPr>
          <w:rFonts w:ascii="Times New Roman" w:cs="Times New Roman" w:eastAsia="Times New Roman" w:hAnsi="Times New Roman"/>
          <w:color w:val="1F2937"/>
          <w:sz w:val="24"/>
          <w:szCs w:val="24"/>
        </w:rPr>
        <w:t xml:space="preserve">[14] Shafer, G., &amp; Vovk, V. (2008). A tutorial on conformal prediction. Journal of Machine Learning Research, 9, 371-421.</w:t>
      </w:r>
    </w:p>
    <w:p>
      <w:pPr>
        <w:spacing w:after="80" w:before="60"/>
        <w:jc w:val="both"/>
      </w:pPr>
      <w:r>
        <w:rPr>
          <w:rFonts w:ascii="Times New Roman" w:cs="Times New Roman" w:eastAsia="Times New Roman" w:hAnsi="Times New Roman"/>
          <w:color w:val="1F2937"/>
          <w:sz w:val="24"/>
          <w:szCs w:val="24"/>
        </w:rPr>
        <w:t xml:space="preserve">[15] Zadrozny, B., &amp; Elkan, C. (2002). Transforming classifier scores into accurate multiclass probability estimates. In Proceedings of KDD.</w:t>
      </w:r>
    </w:p>
    <w:p>
      <w:pPr>
        <w:spacing w:after="80" w:before="60"/>
        <w:jc w:val="both"/>
      </w:pPr>
      <w:r>
        <w:rPr>
          <w:rFonts w:ascii="Times New Roman" w:cs="Times New Roman" w:eastAsia="Times New Roman" w:hAnsi="Times New Roman"/>
          <w:color w:val="1F2937"/>
          <w:sz w:val="24"/>
          <w:szCs w:val="24"/>
        </w:rPr>
        <w:t xml:space="preserve">[16] Zhao, Z., et al. (2021). Calibrate before use: Improving few-shot performance of language models. In Proceedings of ICML.</w:t>
      </w:r>
    </w:p>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B" w:sz="4" w:space="1"/>
      </w:pBdr>
      <w:spacing w:after="0" w:before="80"/>
    </w:pPr>
    <w:r>
      <w:rPr>
        <w:rFonts w:ascii="Arial" w:cs="Arial" w:eastAsia="Arial" w:hAnsi="Arial"/>
        <w:color w:val="6B7280"/>
        <w:sz w:val="18"/>
        <w:szCs w:val="18"/>
      </w:rPr>
      <w:t xml:space="preserve">Independent Research Preprint  |  Draft for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1"/>
      </w:pBdr>
      <w:tabs>
        <w:tab w:val="right" w:pos="9026"/>
      </w:tabs>
      <w:spacing w:after="80" w:before="0"/>
    </w:pPr>
    <w:r>
      <w:rPr>
        <w:rFonts w:ascii="Arial" w:cs="Arial" w:eastAsia="Arial" w:hAnsi="Arial"/>
        <w:i/>
        <w:iCs/>
        <w:color w:val="6B7280"/>
        <w:sz w:val="18"/>
        <w:szCs w:val="18"/>
      </w:rPr>
      <w:t xml:space="preserve">Truth Calibration Layer: Toward Confidence-Aware Language Models</w:t>
    </w:r>
    <w:r>
      <w:rPr>
        <w:rFonts w:ascii="Arial" w:cs="Arial" w:eastAsia="Arial" w:hAnsi="Arial"/>
        <w:b/>
        <w:bCs/>
        <w:color w:val="2E5FAB"/>
        <w:sz w:val="18"/>
        <w:szCs w:val="18"/>
      </w:rPr>
      <w:t xml:space="preserve">	PREPRINT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5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2026-06-03T15:07:12.749Z</dcterms:created>
  <dcterms:modified xsi:type="dcterms:W3CDTF">2026-06-03T15:07:12.750Z</dcterms:modified>
</cp:coreProperties>
</file>

<file path=docProps/custom.xml><?xml version="1.0" encoding="utf-8"?>
<Properties xmlns="http://schemas.openxmlformats.org/officeDocument/2006/custom-properties" xmlns:vt="http://schemas.openxmlformats.org/officeDocument/2006/docPropsVTypes"/>
</file>