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cs="Calibri"/>
        </w:rPr>
        <w:t xml:space="preserve">AWA Office</w:t>
      </w:r>
    </w:p>
    <w:p>
      <w:pPr>
        <w:pStyle w:val="Subtitle"/>
      </w:pPr>
      <w:r>
        <w:rPr>
          <w:rFonts w:ascii="Calibri" w:hAnsi="Calibri" w:cs="Calibri"/>
        </w:rPr>
        <w:t xml:space="preserve">Your Word, Excel, PowerPoint and OpenDocument documents, generated and read by your code</w:t>
      </w:r>
    </w:p>
    <w:p>
      <w:pPr>
        <w:spacing w:after="200"/>
      </w:pPr>
      <w:r>
        <w:rPr>
          <w:rFonts w:ascii="Calibri" w:hAnsi="Calibri" w:cs="Calibri"/>
          <w:sz w:val="23"/>
        </w:rPr>
        <w:t xml:space="preserve">A JavaScript library that reads and writes the six office formats (DOCX, XLSX, PPTX, ODT, ODS, ODP), without Microsoft Office, without LibreOffice, without a conversion server and with no third-party dependency: in the browser, in a worker or on your server.</w:t>
      </w:r>
    </w:p>
    <w:p>
      <w:pPr>
        <w:pStyle w:val="Heading1"/>
      </w:pPr>
      <w:r>
        <w:rPr>
          <w:rFonts w:ascii="Calibri" w:hAnsi="Calibri" w:cs="Calibri"/>
        </w:rPr>
        <w:t xml:space="preserve">Use cases</w:t>
      </w:r>
    </w:p>
    <w:p>
      <w:pPr>
        <w:spacing w:after="80"/>
        <w:ind w:left="360" w:hanging="300"/>
      </w:pPr>
      <w:r>
        <w:rPr>
          <w:rFonts w:ascii="Calibri" w:hAnsi="Calibri" w:cs="Calibri"/>
          <w:color w:val="0078B3"/>
          <w:sz w:val="16"/>
        </w:rPr>
        <w:t xml:space="preserve">■  </w:t>
      </w:r>
      <w:r>
        <w:rPr>
          <w:rFonts w:ascii="Calibri" w:hAnsi="Calibri" w:cs="Calibri"/>
        </w:rPr>
        <w:t xml:space="preserve">ERP, vertical SaaS, HR and finance vendors: exports, mail merge, contracts, data import, archive processing.</w:t>
      </w:r>
    </w:p>
    <w:p>
      <w:pPr>
        <w:spacing w:after="80"/>
        <w:ind w:left="360" w:hanging="300"/>
      </w:pPr>
      <w:r>
        <w:rPr>
          <w:rFonts w:ascii="Calibri" w:hAnsi="Calibri" w:cs="Calibri"/>
          <w:color w:val="0078B3"/>
          <w:sz w:val="16"/>
        </w:rPr>
        <w:t xml:space="preserve">■  </w:t>
      </w:r>
      <w:r>
        <w:rPr>
          <w:rFonts w:ascii="Calibri" w:hAnsi="Calibri" w:cs="Calibri"/>
        </w:rPr>
        <w:t xml:space="preserve">Sovereign-cloud vendors who must produce native OpenDocument.</w:t>
      </w:r>
    </w:p>
    <w:p>
      <w:pPr>
        <w:pStyle w:val="Heading1"/>
      </w:pPr>
      <w:r>
        <w:rPr>
          <w:rFonts w:ascii="Calibri" w:hAnsi="Calibri" w:cs="Calibri"/>
        </w:rPr>
        <w:t xml:space="preserve">Features</w:t>
      </w:r>
    </w:p>
    <w:tbl>
      <w:tblPr>
        <w:tblW w:w="9638" w:type="dxa"/>
        <w:tblBorders>
          <w:top w:val="single" w:sz="6" w:space="0" w:color="B3DFEF"/>
          <w:left w:val="single" w:sz="6" w:space="0" w:color="B3DFEF"/>
          <w:bottom w:val="single" w:sz="6" w:space="0" w:color="B3DFEF"/>
          <w:right w:val="single" w:sz="6" w:space="0" w:color="B3DFEF"/>
          <w:insideH w:val="single" w:sz="6" w:space="0" w:color="B3DFEF"/>
          <w:insideV w:val="single" w:sz="6" w:space="0" w:color="B3DFEF"/>
        </w:tblBorders>
      </w:tblPr>
      <w:tblGrid>
        <w:gridCol w:w="3000"/>
        <w:gridCol w:w="6638"/>
      </w:tblGrid>
      <w:tr>
        <w:tc>
          <w:tcPr>
            <w:tcW w:w="3000" w:type="dxa"/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Word (DOCX)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Paragraphs, formatting, tables, lists, links, images, charts, shapes, bookmarks, fields, headers and footers, notes, comments, tracked changes.</w:t>
            </w:r>
          </w:p>
        </w:tc>
      </w:tr>
      <w:tr>
        <w:tc>
          <w:tcPr>
            <w:tcW w:w="3000" w:type="dxa"/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Mail merge and document assembly (Word)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You design the template in Word; your code fills in the content controls and repeats the repeatable sections from a list of records.</w:t>
            </w:r>
          </w:p>
        </w:tc>
      </w:tr>
      <w:tr>
        <w:tc>
          <w:tcPr>
            <w:tcW w:w="3000" w:type="dxa"/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Excel (XLSX)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Workbooks, sheets, cells and references, styles, tables, conditional formatting, comments, drawings.</w:t>
            </w:r>
          </w:p>
        </w:tc>
      </w:tr>
      <w:tr>
        <w:tc>
          <w:tcPr>
            <w:tcW w:w="3000" w:type="dxa"/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PowerPoint (PPTX)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Slides, images, charts, preset shapes, themes, animations, transitions.</w:t>
            </w:r>
          </w:p>
        </w:tc>
      </w:tr>
      <w:tr>
        <w:tc>
          <w:tcPr>
            <w:tcW w:w="3000" w:type="dxa"/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OpenDocument (ODT, ODS, ODP)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Text, spreadsheet and presentation in the native format, the one the public sector and sovereign cloud require.</w:t>
            </w:r>
          </w:p>
        </w:tc>
      </w:tr>
      <w:tr>
        <w:tc>
          <w:tcPr>
            <w:tcW w:w="3000" w:type="dxa"/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Text extraction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From Word and OpenDocument documents, for indexing, search or AI analysis; the typed content of every format is readable by your code.</w:t>
            </w:r>
          </w:p>
        </w:tc>
      </w:tr>
    </w:tbl>
    <w:p>
      <w:pPr>
        <w:pStyle w:val="Heading1"/>
      </w:pPr>
      <w:r>
        <w:rPr>
          <w:rFonts w:ascii="Calibri" w:hAnsi="Calibri" w:cs="Calibri"/>
        </w:rPr>
        <w:t xml:space="preserve">Strengths</w:t>
      </w:r>
    </w:p>
    <w:tbl>
      <w:tblPr>
        <w:tblW w:w="9638" w:type="dxa"/>
        <w:tblBorders>
          <w:top w:val="single" w:sz="6" w:space="0" w:color="B3DFEF"/>
          <w:left w:val="single" w:sz="6" w:space="0" w:color="B3DFEF"/>
          <w:bottom w:val="single" w:sz="6" w:space="0" w:color="B3DFEF"/>
          <w:right w:val="single" w:sz="6" w:space="0" w:color="B3DFEF"/>
          <w:insideH w:val="single" w:sz="6" w:space="0" w:color="B3DFEF"/>
          <w:insideV w:val="single" w:sz="6" w:space="0" w:color="B3DFEF"/>
        </w:tblBorders>
      </w:tblPr>
      <w:tblGrid>
        <w:gridCol w:w="3000"/>
        <w:gridCol w:w="6638"/>
      </w:tblGrid>
      <w:tr>
        <w:tc>
          <w:tcPr>
            <w:tcW w:w="3000" w:type="dxa"/>
            <w:shd w:val="clear" w:color="auto" w:fill="B3DFE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Edit without rewriting everything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You open a customer's file, change a cell and send it back: inside the parts the library reads, whatever it does not model is written back as is; the parts it does not read are reported when the file is read.</w:t>
            </w:r>
          </w:p>
        </w:tc>
      </w:tr>
      <w:tr>
        <w:tc>
          <w:tcPr>
            <w:tcW w:w="3000" w:type="dxa"/>
            <w:shd w:val="clear" w:color="auto" w:fill="B3DFE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No third-party dependency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No external package at runtime: XML, ZIP and compression are developed in-house. Nothing to audit outside the library.</w:t>
            </w:r>
          </w:p>
        </w:tc>
      </w:tr>
      <w:tr>
        <w:tc>
          <w:tcPr>
            <w:tcW w:w="3000" w:type="dxa"/>
            <w:shd w:val="clear" w:color="auto" w:fill="B3DFE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Defences against booby-trapped files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XML external entities are never resolved, whatever the format. For every format, the decompressed size (256 MiB by default), the number of entries and the compression ratio are capped; for Excel, also the number of sheets, rows and cells. Each refusal is explained by a precise error.</w:t>
            </w:r>
          </w:p>
        </w:tc>
      </w:tr>
      <w:tr>
        <w:tc>
          <w:tcPr>
            <w:tcW w:w="3000" w:type="dxa"/>
            <w:shd w:val="clear" w:color="auto" w:fill="B3DFE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Modular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The core is light; advanced features are optional modules. You only ship what you use.</w:t>
            </w:r>
          </w:p>
        </w:tc>
      </w:tr>
      <w:tr>
        <w:tc>
          <w:tcPr>
            <w:tcW w:w="3000" w:type="dxa"/>
            <w:shd w:val="clear" w:color="auto" w:fill="B3DFE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0263D"/>
              </w:rPr>
              <w:t xml:space="preserve">Confidential</w:t>
            </w:r>
          </w:p>
        </w:tc>
        <w:tc>
          <w:tcPr>
            <w:tcW w:w="66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</w:rPr>
              <w:t xml:space="preserve">Processing can run entirely in the user's browser: the document then stays on their machine. The library sends nothing to us.</w:t>
            </w:r>
          </w:p>
        </w:tc>
      </w:tr>
    </w:tbl>
    <w:p>
      <w:pPr>
        <w:pStyle w:val="Heading1"/>
      </w:pPr>
      <w:r>
        <w:rPr>
          <w:rFonts w:ascii="Calibri" w:hAnsi="Calibri" w:cs="Calibri"/>
        </w:rPr>
        <w:t xml:space="preserve">Licence and pricing</w:t>
      </w:r>
    </w:p>
    <w:tbl>
      <w:tblPr>
        <w:tblW w:w="9638" w:type="dxa"/>
        <w:tblBorders>
          <w:top w:val="single" w:sz="6" w:space="0" w:color="B3DFEF"/>
          <w:left w:val="single" w:sz="6" w:space="0" w:color="B3DFEF"/>
          <w:bottom w:val="single" w:sz="6" w:space="0" w:color="B3DFEF"/>
          <w:right w:val="single" w:sz="6" w:space="0" w:color="B3DFEF"/>
          <w:insideH w:val="single" w:sz="6" w:space="0" w:color="B3DFEF"/>
          <w:insideV w:val="single" w:sz="6" w:space="0" w:color="B3DFEF"/>
        </w:tblBorders>
      </w:tblPr>
      <w:tblGrid>
        <w:gridCol w:w="9638"/>
      </w:tblGrid>
      <w:tr>
        <w:tc>
          <w:tcPr>
            <w:tcW w:w="9638" w:type="dxa"/>
            <w:shd w:val="clear" w:color="auto" w:fill="00263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color w:val="FFFFFF"/>
                <w:sz w:val="44"/>
              </w:rPr>
              <w:t xml:space="preserve">€2,900 excl. VAT</w:t>
            </w:r>
          </w:p>
          <w:p>
            <w:pPr>
              <w:spacing w:after="120"/>
            </w:pPr>
            <w:r>
              <w:rPr>
                <w:rFonts w:ascii="Calibri" w:hAnsi="Calibri" w:cs="Calibri"/>
                <w:color w:val="B3DFEF"/>
                <w:sz w:val="22"/>
              </w:rPr>
              <w:t xml:space="preserve">per application per year, unlimited users and servers.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FFFFFF"/>
                <w:sz w:val="18"/>
              </w:rPr>
              <w:t xml:space="preserve">Unlimited developers, servers and users; the documents you produce are yours. Commercial licence or AGPL-3.0-only. Shipping AWA Office to your users' browsers or inside software you distribute? The AGPL then puts source-code obligations on you; the commercial licence exempts you from them.</w:t>
            </w:r>
          </w:p>
        </w:tc>
      </w:tr>
    </w:tbl>
    <w:p>
      <w:pPr>
        <w:pStyle w:val="Colophon"/>
        <w:spacing w:before="360"/>
      </w:pPr>
      <w:r>
        <w:rPr>
          <w:rFonts w:ascii="Calibri" w:hAnsi="Calibri" w:cs="Calibri"/>
        </w:rPr>
        <w:t xml:space="preserve">Made with AWA Office by AwaCloud. Opened here by AWA Viewer, on your device: nothing was uploaded. Offers and pricing: awacloud.com/offers</w:t>
      </w:r>
    </w:p>
    <w:sectPr>
      <w:headerReference w:type="default" r:id="rIdHdrMain"/>
      <w:footerReference w:type="default" r:id="rIdFtrMain"/>
      <w:pgSz w:w="11906" w:h="16838"/>
      <w:pgMar w:top="1418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  <w:jc w:val="center"/>
    </w:pPr>
    <w:r>
      <w:rPr>
        <w:rFonts w:ascii="Calibri" w:hAnsi="Calibri" w:cs="Calibri"/>
        <w:color w:val="5B7A8C"/>
        <w:sz w:val="16"/>
      </w:rPr>
      <w:t xml:space="preserve">AWA Office — awacloud.com/offers — </w:t>
    </w:r>
    <w:fldSimple w:instr="PAGE" w:dirty="1">
      <w:r>
        <w:rPr>
          <w:rFonts w:ascii="Calibri" w:hAnsi="Calibri" w:cs="Calibri"/>
          <w:color w:val="5B7A8C"/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bottom w:val="single" w:sz="6" w:space="6" w:color="B3DFEF"/>
      </w:pBdr>
      <w:spacing w:after="0"/>
    </w:pPr>
    <w:r>
      <w:drawing>
        <wp:inline distT="0" distB="0" distL="0" distR="0">
          <wp:extent cx="411480" cy="411480"/>
          <wp:effectExtent l="0" t="0" r="0" b="0"/>
          <wp:docPr id="1" name="AwaCloud" descr="AwaClou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waClou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Calibri"/>
        <w:b/>
        <w:color w:val="00263D"/>
        <w:sz w:val="20"/>
      </w:rPr>
      <w:t xml:space="preserve">   AWA Office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12529"/>
        <w:sz w:val="21"/>
      </w:rPr>
    </w:rPrDefault>
    <w:pPrDefault>
      <w:pPr>
        <w:spacing w:after="120" w:line="288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pBdr>
        <w:top w:val="single" w:sz="48" w:space="12" w:color="00263D"/>
        <w:left w:val="single" w:sz="48" w:space="12" w:color="00263D"/>
        <w:bottom w:val="single" w:sz="48" w:space="12" w:color="00263D"/>
        <w:right w:val="single" w:sz="48" w:space="12" w:color="00263D"/>
      </w:pBdr>
      <w:shd w:val="clear" w:color="auto" w:fill="00263D"/>
      <w:spacing w:before="0" w:after="0"/>
    </w:pPr>
    <w:rPr>
      <w:b/>
      <w:color w:val="FFFFFF"/>
      <w:sz w:val="56"/>
    </w:rPr>
  </w:style>
  <w:style w:type="paragraph" w:styleId="Subtitle">
    <w:name w:val="Subtitle"/>
    <w:basedOn w:val="Normal"/>
    <w:next w:val="Normal"/>
    <w:pPr>
      <w:pBdr>
        <w:top w:val="single" w:sz="48" w:space="12" w:color="00263D"/>
        <w:left w:val="single" w:sz="48" w:space="12" w:color="00263D"/>
        <w:bottom w:val="single" w:sz="48" w:space="12" w:color="00263D"/>
        <w:right w:val="single" w:sz="48" w:space="12" w:color="00263D"/>
      </w:pBdr>
      <w:shd w:val="clear" w:color="auto" w:fill="00263D"/>
      <w:spacing w:before="0" w:after="240"/>
    </w:pPr>
    <w:rPr>
      <w:b/>
      <w:color w:val="B3DFEF"/>
      <w:sz w:val="28"/>
    </w:rPr>
  </w:style>
  <w:style w:type="paragraph" w:styleId="Heading1">
    <w:name w:val="heading 1"/>
    <w:basedOn w:val="Normal"/>
    <w:next w:val="Normal"/>
    <w:pPr>
      <w:keepNext/>
      <w:pBdr>
        <w:bottom w:val="single" w:sz="12" w:space="4" w:color="B3DFEF"/>
      </w:pBdr>
      <w:spacing w:before="360" w:after="120"/>
      <w:outlineLvl w:val="0"/>
    </w:pPr>
    <w:rPr>
      <w:b/>
      <w:color w:val="0078B3"/>
      <w:sz w:val="30"/>
    </w:rPr>
  </w:style>
  <w:style w:type="paragraph" w:styleId="Colophon">
    <w:name w:val="Colophon"/>
    <w:basedOn w:val="Normal"/>
    <w:rPr>
      <w:i/>
      <w:color w:val="5B7A8C"/>
      <w:sz w:val="17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HdrMain" Type="http://schemas.openxmlformats.org/officeDocument/2006/relationships/header" Target="header1.xml"/><Relationship Id="rIdFtrMain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