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media/image1.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Calibri" w:hAnsi="Calibri" w:cs="Calibri"/>
        </w:rPr>
        <w:t xml:space="preserve">AWA Office</w:t>
      </w:r>
    </w:p>
    <w:p>
      <w:pPr>
        <w:pStyle w:val="Subtitle"/>
      </w:pPr>
      <w:r>
        <w:rPr>
          <w:rFonts w:ascii="Calibri" w:hAnsi="Calibri" w:cs="Calibri"/>
        </w:rPr>
        <w:t xml:space="preserve">Vos documents Word, Excel, PowerPoint et OpenDocument, générés et lus par votre code</w:t>
      </w:r>
    </w:p>
    <w:p>
      <w:pPr>
        <w:spacing w:after="200"/>
      </w:pPr>
      <w:r>
        <w:rPr>
          <w:rFonts w:ascii="Calibri" w:hAnsi="Calibri" w:cs="Calibri"/>
          <w:sz w:val="23"/>
        </w:rPr>
        <w:t xml:space="preserve">Une bibliothèque JavaScript qui lit et écrit les six formats bureautiques (DOCX, XLSX, PPTX, ODT, ODS, ODP), sans Microsoft Office, sans LibreOffice, sans serveur de conversion et sans dépendance tierce : dans le navigateur, dans un worker ou sur votre serveur.</w:t>
      </w:r>
    </w:p>
    <w:p>
      <w:pPr>
        <w:pStyle w:val="Heading1"/>
      </w:pPr>
      <w:r>
        <w:rPr>
          <w:rFonts w:ascii="Calibri" w:hAnsi="Calibri" w:cs="Calibri"/>
        </w:rPr>
        <w:t xml:space="preserve">Cas d'usage</w:t>
      </w:r>
    </w:p>
    <w:p>
      <w:pPr>
        <w:spacing w:after="80"/>
        <w:ind w:left="360" w:hanging="300"/>
      </w:pPr>
      <w:r>
        <w:rPr>
          <w:rFonts w:ascii="Calibri" w:hAnsi="Calibri" w:cs="Calibri"/>
          <w:color w:val="0078B3"/>
          <w:sz w:val="16"/>
        </w:rPr>
        <w:t xml:space="preserve">■  </w:t>
      </w:r>
      <w:r>
        <w:rPr>
          <w:rFonts w:ascii="Calibri" w:hAnsi="Calibri" w:cs="Calibri"/>
        </w:rPr>
        <w:t xml:space="preserve">Éditeurs d'ERP, SaaS métier, RH et finance : exports, publipostage, contrats, import de données, traitement d'archives.</w:t>
      </w:r>
    </w:p>
    <w:p>
      <w:pPr>
        <w:spacing w:after="80"/>
        <w:ind w:left="360" w:hanging="300"/>
      </w:pPr>
      <w:r>
        <w:rPr>
          <w:rFonts w:ascii="Calibri" w:hAnsi="Calibri" w:cs="Calibri"/>
          <w:color w:val="0078B3"/>
          <w:sz w:val="16"/>
        </w:rPr>
        <w:t xml:space="preserve">■  </w:t>
      </w:r>
      <w:r>
        <w:rPr>
          <w:rFonts w:ascii="Calibri" w:hAnsi="Calibri" w:cs="Calibri"/>
        </w:rPr>
        <w:t xml:space="preserve">Éditeurs de cloud souverain qui doivent produire de l'OpenDocument natif.</w:t>
      </w:r>
    </w:p>
    <w:p>
      <w:pPr>
        <w:pStyle w:val="Heading1"/>
      </w:pPr>
      <w:r>
        <w:rPr>
          <w:rFonts w:ascii="Calibri" w:hAnsi="Calibri" w:cs="Calibri"/>
        </w:rPr>
        <w:t xml:space="preserve">Fonctionnalités</w:t>
      </w:r>
    </w:p>
    <w:tbl>
      <w:tblPr>
        <w:tblW w:w="9638" w:type="dxa"/>
        <w:tblBorders>
          <w:top w:val="single" w:sz="6" w:space="0" w:color="B3DFEF"/>
          <w:left w:val="single" w:sz="6" w:space="0" w:color="B3DFEF"/>
          <w:bottom w:val="single" w:sz="6" w:space="0" w:color="B3DFEF"/>
          <w:right w:val="single" w:sz="6" w:space="0" w:color="B3DFEF"/>
          <w:insideH w:val="single" w:sz="6" w:space="0" w:color="B3DFEF"/>
          <w:insideV w:val="single" w:sz="6" w:space="0" w:color="B3DFEF"/>
        </w:tblBorders>
      </w:tblPr>
      <w:tblGrid>
        <w:gridCol w:w="3000"/>
        <w:gridCol w:w="6638"/>
      </w:tblGrid>
      <w:tr>
        <w:tc>
          <w:tcPr>
            <w:tcW w:w="3000" w:type="dxa"/>
            <w:shd w:val="clear" w:color="auto" w:fill="EEF6FA"/>
            <w:tcMar>
              <w:top w:w="120" w:type="dxa"/>
              <w:left w:w="120" w:type="dxa"/>
              <w:bottom w:w="120" w:type="dxa"/>
              <w:right w:w="120" w:type="dxa"/>
            </w:tcMar>
          </w:tcPr>
          <w:p>
            <w:pPr>
              <w:spacing w:after="0"/>
            </w:pPr>
            <w:r>
              <w:rPr>
                <w:rFonts w:ascii="Calibri" w:hAnsi="Calibri" w:cs="Calibri"/>
                <w:b/>
                <w:color w:val="00263D"/>
              </w:rPr>
              <w:t xml:space="preserve">Word (DOCX)</w:t>
            </w:r>
          </w:p>
        </w:tc>
        <w:tc>
          <w:tcPr>
            <w:tcW w:w="6638" w:type="dxa"/>
            <w:shd w:val="clear" w:color="auto" w:fill="FFFFFF"/>
            <w:tcMar>
              <w:top w:w="120" w:type="dxa"/>
              <w:left w:w="120" w:type="dxa"/>
              <w:bottom w:w="120" w:type="dxa"/>
              <w:right w:w="120" w:type="dxa"/>
            </w:tcMar>
          </w:tcPr>
          <w:p>
            <w:pPr>
              <w:spacing w:after="0"/>
            </w:pPr>
            <w:r>
              <w:rPr>
                <w:rFonts w:ascii="Calibri" w:hAnsi="Calibri" w:cs="Calibri"/>
              </w:rPr>
              <w:t xml:space="preserve">Paragraphes, mises en forme, tableaux, listes, liens, images, graphiques, formes, signets, champs, en-têtes et pieds de page, notes, commentaires, suivi des modifications.</w:t>
            </w:r>
          </w:p>
        </w:tc>
      </w:tr>
      <w:tr>
        <w:tc>
          <w:tcPr>
            <w:tcW w:w="3000" w:type="dxa"/>
            <w:shd w:val="clear" w:color="auto" w:fill="EEF6FA"/>
            <w:tcMar>
              <w:top w:w="120" w:type="dxa"/>
              <w:left w:w="120" w:type="dxa"/>
              <w:bottom w:w="120" w:type="dxa"/>
              <w:right w:w="120" w:type="dxa"/>
            </w:tcMar>
          </w:tcPr>
          <w:p>
            <w:pPr>
              <w:spacing w:after="0"/>
            </w:pPr>
            <w:r>
              <w:rPr>
                <w:rFonts w:ascii="Calibri" w:hAnsi="Calibri" w:cs="Calibri"/>
                <w:b/>
                <w:color w:val="00263D"/>
              </w:rPr>
              <w:t xml:space="preserve">Publipostage et assemblage de documents (Word)</w:t>
            </w:r>
          </w:p>
        </w:tc>
        <w:tc>
          <w:tcPr>
            <w:tcW w:w="6638" w:type="dxa"/>
            <w:shd w:val="clear" w:color="auto" w:fill="FFFFFF"/>
            <w:tcMar>
              <w:top w:w="120" w:type="dxa"/>
              <w:left w:w="120" w:type="dxa"/>
              <w:bottom w:w="120" w:type="dxa"/>
              <w:right w:w="120" w:type="dxa"/>
            </w:tcMar>
          </w:tcPr>
          <w:p>
            <w:pPr>
              <w:spacing w:after="0"/>
            </w:pPr>
            <w:r>
              <w:rPr>
                <w:rFonts w:ascii="Calibri" w:hAnsi="Calibri" w:cs="Calibri"/>
              </w:rPr>
              <w:t xml:space="preserve">Vous concevez le modèle dans Word ; votre code remplit les contrôles de contenu et duplique les sections répétables à partir d'une liste d'enregistrements.</w:t>
            </w:r>
          </w:p>
        </w:tc>
      </w:tr>
      <w:tr>
        <w:tc>
          <w:tcPr>
            <w:tcW w:w="3000" w:type="dxa"/>
            <w:shd w:val="clear" w:color="auto" w:fill="EEF6FA"/>
            <w:tcMar>
              <w:top w:w="120" w:type="dxa"/>
              <w:left w:w="120" w:type="dxa"/>
              <w:bottom w:w="120" w:type="dxa"/>
              <w:right w:w="120" w:type="dxa"/>
            </w:tcMar>
          </w:tcPr>
          <w:p>
            <w:pPr>
              <w:spacing w:after="0"/>
            </w:pPr>
            <w:r>
              <w:rPr>
                <w:rFonts w:ascii="Calibri" w:hAnsi="Calibri" w:cs="Calibri"/>
                <w:b/>
                <w:color w:val="00263D"/>
              </w:rPr>
              <w:t xml:space="preserve">Excel (XLSX)</w:t>
            </w:r>
          </w:p>
        </w:tc>
        <w:tc>
          <w:tcPr>
            <w:tcW w:w="6638" w:type="dxa"/>
            <w:shd w:val="clear" w:color="auto" w:fill="FFFFFF"/>
            <w:tcMar>
              <w:top w:w="120" w:type="dxa"/>
              <w:left w:w="120" w:type="dxa"/>
              <w:bottom w:w="120" w:type="dxa"/>
              <w:right w:w="120" w:type="dxa"/>
            </w:tcMar>
          </w:tcPr>
          <w:p>
            <w:pPr>
              <w:spacing w:after="0"/>
            </w:pPr>
            <w:r>
              <w:rPr>
                <w:rFonts w:ascii="Calibri" w:hAnsi="Calibri" w:cs="Calibri"/>
              </w:rPr>
              <w:t xml:space="preserve">Classeurs, feuilles, cellules et références, styles, tableaux, mise en forme conditionnelle, commentaires, dessins.</w:t>
            </w:r>
          </w:p>
        </w:tc>
      </w:tr>
      <w:tr>
        <w:tc>
          <w:tcPr>
            <w:tcW w:w="3000" w:type="dxa"/>
            <w:shd w:val="clear" w:color="auto" w:fill="EEF6FA"/>
            <w:tcMar>
              <w:top w:w="120" w:type="dxa"/>
              <w:left w:w="120" w:type="dxa"/>
              <w:bottom w:w="120" w:type="dxa"/>
              <w:right w:w="120" w:type="dxa"/>
            </w:tcMar>
          </w:tcPr>
          <w:p>
            <w:pPr>
              <w:spacing w:after="0"/>
            </w:pPr>
            <w:r>
              <w:rPr>
                <w:rFonts w:ascii="Calibri" w:hAnsi="Calibri" w:cs="Calibri"/>
                <w:b/>
                <w:color w:val="00263D"/>
              </w:rPr>
              <w:t xml:space="preserve">PowerPoint (PPTX)</w:t>
            </w:r>
          </w:p>
        </w:tc>
        <w:tc>
          <w:tcPr>
            <w:tcW w:w="6638" w:type="dxa"/>
            <w:shd w:val="clear" w:color="auto" w:fill="FFFFFF"/>
            <w:tcMar>
              <w:top w:w="120" w:type="dxa"/>
              <w:left w:w="120" w:type="dxa"/>
              <w:bottom w:w="120" w:type="dxa"/>
              <w:right w:w="120" w:type="dxa"/>
            </w:tcMar>
          </w:tcPr>
          <w:p>
            <w:pPr>
              <w:spacing w:after="0"/>
            </w:pPr>
            <w:r>
              <w:rPr>
                <w:rFonts w:ascii="Calibri" w:hAnsi="Calibri" w:cs="Calibri"/>
              </w:rPr>
              <w:t xml:space="preserve">Diapositives, images, graphiques, formes prédéfinies, thèmes, animations, transitions.</w:t>
            </w:r>
          </w:p>
        </w:tc>
      </w:tr>
      <w:tr>
        <w:tc>
          <w:tcPr>
            <w:tcW w:w="3000" w:type="dxa"/>
            <w:shd w:val="clear" w:color="auto" w:fill="EEF6FA"/>
            <w:tcMar>
              <w:top w:w="120" w:type="dxa"/>
              <w:left w:w="120" w:type="dxa"/>
              <w:bottom w:w="120" w:type="dxa"/>
              <w:right w:w="120" w:type="dxa"/>
            </w:tcMar>
          </w:tcPr>
          <w:p>
            <w:pPr>
              <w:spacing w:after="0"/>
            </w:pPr>
            <w:r>
              <w:rPr>
                <w:rFonts w:ascii="Calibri" w:hAnsi="Calibri" w:cs="Calibri"/>
                <w:b/>
                <w:color w:val="00263D"/>
              </w:rPr>
              <w:t xml:space="preserve">OpenDocument (ODT, ODS, ODP)</w:t>
            </w:r>
          </w:p>
        </w:tc>
        <w:tc>
          <w:tcPr>
            <w:tcW w:w="6638" w:type="dxa"/>
            <w:shd w:val="clear" w:color="auto" w:fill="FFFFFF"/>
            <w:tcMar>
              <w:top w:w="120" w:type="dxa"/>
              <w:left w:w="120" w:type="dxa"/>
              <w:bottom w:w="120" w:type="dxa"/>
              <w:right w:w="120" w:type="dxa"/>
            </w:tcMar>
          </w:tcPr>
          <w:p>
            <w:pPr>
              <w:spacing w:after="0"/>
            </w:pPr>
            <w:r>
              <w:rPr>
                <w:rFonts w:ascii="Calibri" w:hAnsi="Calibri" w:cs="Calibri"/>
              </w:rPr>
              <w:t xml:space="preserve">Texte, tableur et présentation au format natif, celui qu'exigent le secteur public et le cloud souverain.</w:t>
            </w:r>
          </w:p>
        </w:tc>
      </w:tr>
      <w:tr>
        <w:tc>
          <w:tcPr>
            <w:tcW w:w="3000" w:type="dxa"/>
            <w:shd w:val="clear" w:color="auto" w:fill="EEF6FA"/>
            <w:tcMar>
              <w:top w:w="120" w:type="dxa"/>
              <w:left w:w="120" w:type="dxa"/>
              <w:bottom w:w="120" w:type="dxa"/>
              <w:right w:w="120" w:type="dxa"/>
            </w:tcMar>
          </w:tcPr>
          <w:p>
            <w:pPr>
              <w:spacing w:after="0"/>
            </w:pPr>
            <w:r>
              <w:rPr>
                <w:rFonts w:ascii="Calibri" w:hAnsi="Calibri" w:cs="Calibri"/>
                <w:b/>
                <w:color w:val="00263D"/>
              </w:rPr>
              <w:t xml:space="preserve">Extraction de texte</w:t>
            </w:r>
          </w:p>
        </w:tc>
        <w:tc>
          <w:tcPr>
            <w:tcW w:w="6638" w:type="dxa"/>
            <w:shd w:val="clear" w:color="auto" w:fill="FFFFFF"/>
            <w:tcMar>
              <w:top w:w="120" w:type="dxa"/>
              <w:left w:w="120" w:type="dxa"/>
              <w:bottom w:w="120" w:type="dxa"/>
              <w:right w:w="120" w:type="dxa"/>
            </w:tcMar>
          </w:tcPr>
          <w:p>
            <w:pPr>
              <w:spacing w:after="0"/>
            </w:pPr>
            <w:r>
              <w:rPr>
                <w:rFonts w:ascii="Calibri" w:hAnsi="Calibri" w:cs="Calibri"/>
              </w:rPr>
              <w:t xml:space="preserve">Sur les documents Word et OpenDocument, pour l'indexation, la recherche ou l'analyse par IA ; le contenu typé de tous les formats est lisible par votre code.</w:t>
            </w:r>
          </w:p>
        </w:tc>
      </w:tr>
    </w:tbl>
    <w:p>
      <w:pPr>
        <w:pStyle w:val="Heading1"/>
      </w:pPr>
      <w:r>
        <w:rPr>
          <w:rFonts w:ascii="Calibri" w:hAnsi="Calibri" w:cs="Calibri"/>
        </w:rPr>
        <w:t xml:space="preserve">Points forts</w:t>
      </w:r>
    </w:p>
    <w:tbl>
      <w:tblPr>
        <w:tblW w:w="9638" w:type="dxa"/>
        <w:tblBorders>
          <w:top w:val="single" w:sz="6" w:space="0" w:color="B3DFEF"/>
          <w:left w:val="single" w:sz="6" w:space="0" w:color="B3DFEF"/>
          <w:bottom w:val="single" w:sz="6" w:space="0" w:color="B3DFEF"/>
          <w:right w:val="single" w:sz="6" w:space="0" w:color="B3DFEF"/>
          <w:insideH w:val="single" w:sz="6" w:space="0" w:color="B3DFEF"/>
          <w:insideV w:val="single" w:sz="6" w:space="0" w:color="B3DFEF"/>
        </w:tblBorders>
      </w:tblPr>
      <w:tblGrid>
        <w:gridCol w:w="3000"/>
        <w:gridCol w:w="6638"/>
      </w:tblGrid>
      <w:tr>
        <w:tc>
          <w:tcPr>
            <w:tcW w:w="3000" w:type="dxa"/>
            <w:shd w:val="clear" w:color="auto" w:fill="B3DFEF"/>
            <w:tcMar>
              <w:top w:w="120" w:type="dxa"/>
              <w:left w:w="120" w:type="dxa"/>
              <w:bottom w:w="120" w:type="dxa"/>
              <w:right w:w="120" w:type="dxa"/>
            </w:tcMar>
          </w:tcPr>
          <w:p>
            <w:pPr>
              <w:spacing w:after="0"/>
            </w:pPr>
            <w:r>
              <w:rPr>
                <w:rFonts w:ascii="Calibri" w:hAnsi="Calibri" w:cs="Calibri"/>
                <w:b/>
                <w:color w:val="00263D"/>
              </w:rPr>
              <w:t xml:space="preserve">Modifier sans tout réécrire</w:t>
            </w:r>
          </w:p>
        </w:tc>
        <w:tc>
          <w:tcPr>
            <w:tcW w:w="6638" w:type="dxa"/>
            <w:shd w:val="clear" w:color="auto" w:fill="FFFFFF"/>
            <w:tcMar>
              <w:top w:w="120" w:type="dxa"/>
              <w:left w:w="120" w:type="dxa"/>
              <w:bottom w:w="120" w:type="dxa"/>
              <w:right w:w="120" w:type="dxa"/>
            </w:tcMar>
          </w:tcPr>
          <w:p>
            <w:pPr>
              <w:spacing w:after="0"/>
            </w:pPr>
            <w:r>
              <w:rPr>
                <w:rFonts w:ascii="Calibri" w:hAnsi="Calibri" w:cs="Calibri"/>
              </w:rPr>
              <w:t xml:space="preserve">Vous ouvrez le fichier d'un client, modifiez une cellule et le renvoyez : à l'intérieur des parties que la bibliothèque lit, ce qu'elle ne type pas est réécrit tel quel ; les parties qu'elle ne lit pas sont signalées à la lecture.</w:t>
            </w:r>
          </w:p>
        </w:tc>
      </w:tr>
      <w:tr>
        <w:tc>
          <w:tcPr>
            <w:tcW w:w="3000" w:type="dxa"/>
            <w:shd w:val="clear" w:color="auto" w:fill="B3DFEF"/>
            <w:tcMar>
              <w:top w:w="120" w:type="dxa"/>
              <w:left w:w="120" w:type="dxa"/>
              <w:bottom w:w="120" w:type="dxa"/>
              <w:right w:w="120" w:type="dxa"/>
            </w:tcMar>
          </w:tcPr>
          <w:p>
            <w:pPr>
              <w:spacing w:after="0"/>
            </w:pPr>
            <w:r>
              <w:rPr>
                <w:rFonts w:ascii="Calibri" w:hAnsi="Calibri" w:cs="Calibri"/>
                <w:b/>
                <w:color w:val="00263D"/>
              </w:rPr>
              <w:t xml:space="preserve">Aucune dépendance tierce</w:t>
            </w:r>
          </w:p>
        </w:tc>
        <w:tc>
          <w:tcPr>
            <w:tcW w:w="6638" w:type="dxa"/>
            <w:shd w:val="clear" w:color="auto" w:fill="FFFFFF"/>
            <w:tcMar>
              <w:top w:w="120" w:type="dxa"/>
              <w:left w:w="120" w:type="dxa"/>
              <w:bottom w:w="120" w:type="dxa"/>
              <w:right w:w="120" w:type="dxa"/>
            </w:tcMar>
          </w:tcPr>
          <w:p>
            <w:pPr>
              <w:spacing w:after="0"/>
            </w:pPr>
            <w:r>
              <w:rPr>
                <w:rFonts w:ascii="Calibri" w:hAnsi="Calibri" w:cs="Calibri"/>
              </w:rPr>
              <w:t xml:space="preserve">Aucun paquet externe à l'exécution : XML, ZIP et compression sont développés en interne. Rien à auditer en dehors de la bibliothèque.</w:t>
            </w:r>
          </w:p>
        </w:tc>
      </w:tr>
      <w:tr>
        <w:tc>
          <w:tcPr>
            <w:tcW w:w="3000" w:type="dxa"/>
            <w:shd w:val="clear" w:color="auto" w:fill="B3DFEF"/>
            <w:tcMar>
              <w:top w:w="120" w:type="dxa"/>
              <w:left w:w="120" w:type="dxa"/>
              <w:bottom w:w="120" w:type="dxa"/>
              <w:right w:w="120" w:type="dxa"/>
            </w:tcMar>
          </w:tcPr>
          <w:p>
            <w:pPr>
              <w:spacing w:after="0"/>
            </w:pPr>
            <w:r>
              <w:rPr>
                <w:rFonts w:ascii="Calibri" w:hAnsi="Calibri" w:cs="Calibri"/>
                <w:b/>
                <w:color w:val="00263D"/>
              </w:rPr>
              <w:t xml:space="preserve">Défenses contre les fichiers piégés</w:t>
            </w:r>
          </w:p>
        </w:tc>
        <w:tc>
          <w:tcPr>
            <w:tcW w:w="6638" w:type="dxa"/>
            <w:shd w:val="clear" w:color="auto" w:fill="FFFFFF"/>
            <w:tcMar>
              <w:top w:w="120" w:type="dxa"/>
              <w:left w:w="120" w:type="dxa"/>
              <w:bottom w:w="120" w:type="dxa"/>
              <w:right w:w="120" w:type="dxa"/>
            </w:tcMar>
          </w:tcPr>
          <w:p>
            <w:pPr>
              <w:spacing w:after="0"/>
            </w:pPr>
            <w:r>
              <w:rPr>
                <w:rFonts w:ascii="Calibri" w:hAnsi="Calibri" w:cs="Calibri"/>
              </w:rPr>
              <w:t xml:space="preserve">Les entités externes XML ne sont jamais résolues, quel que soit le format. Pour tous les formats, la taille décompressée (256 Mio par défaut), le nombre d'entrées et le taux de compression sont plafonnés ; pour Excel, aussi le nombre de feuilles, de lignes et de cellules. Chaque refus est expliqué par une erreur précise.</w:t>
            </w:r>
          </w:p>
        </w:tc>
      </w:tr>
      <w:tr>
        <w:tc>
          <w:tcPr>
            <w:tcW w:w="3000" w:type="dxa"/>
            <w:shd w:val="clear" w:color="auto" w:fill="B3DFEF"/>
            <w:tcMar>
              <w:top w:w="120" w:type="dxa"/>
              <w:left w:w="120" w:type="dxa"/>
              <w:bottom w:w="120" w:type="dxa"/>
              <w:right w:w="120" w:type="dxa"/>
            </w:tcMar>
          </w:tcPr>
          <w:p>
            <w:pPr>
              <w:spacing w:after="0"/>
            </w:pPr>
            <w:r>
              <w:rPr>
                <w:rFonts w:ascii="Calibri" w:hAnsi="Calibri" w:cs="Calibri"/>
                <w:b/>
                <w:color w:val="00263D"/>
              </w:rPr>
              <w:t xml:space="preserve">Modulaire</w:t>
            </w:r>
          </w:p>
        </w:tc>
        <w:tc>
          <w:tcPr>
            <w:tcW w:w="6638" w:type="dxa"/>
            <w:shd w:val="clear" w:color="auto" w:fill="FFFFFF"/>
            <w:tcMar>
              <w:top w:w="120" w:type="dxa"/>
              <w:left w:w="120" w:type="dxa"/>
              <w:bottom w:w="120" w:type="dxa"/>
              <w:right w:w="120" w:type="dxa"/>
            </w:tcMar>
          </w:tcPr>
          <w:p>
            <w:pPr>
              <w:spacing w:after="0"/>
            </w:pPr>
            <w:r>
              <w:rPr>
                <w:rFonts w:ascii="Calibri" w:hAnsi="Calibri" w:cs="Calibri"/>
              </w:rPr>
              <w:t xml:space="preserve">Le cœur est léger ; les fonctions avancées sont des modules optionnels. Vous n'embarquez que ce que vous utilisez.</w:t>
            </w:r>
          </w:p>
        </w:tc>
      </w:tr>
      <w:tr>
        <w:tc>
          <w:tcPr>
            <w:tcW w:w="3000" w:type="dxa"/>
            <w:shd w:val="clear" w:color="auto" w:fill="B3DFEF"/>
            <w:tcMar>
              <w:top w:w="120" w:type="dxa"/>
              <w:left w:w="120" w:type="dxa"/>
              <w:bottom w:w="120" w:type="dxa"/>
              <w:right w:w="120" w:type="dxa"/>
            </w:tcMar>
          </w:tcPr>
          <w:p>
            <w:pPr>
              <w:spacing w:after="0"/>
            </w:pPr>
            <w:r>
              <w:rPr>
                <w:rFonts w:ascii="Calibri" w:hAnsi="Calibri" w:cs="Calibri"/>
                <w:b/>
                <w:color w:val="00263D"/>
              </w:rPr>
              <w:t xml:space="preserve">Confidentiel</w:t>
            </w:r>
          </w:p>
        </w:tc>
        <w:tc>
          <w:tcPr>
            <w:tcW w:w="6638" w:type="dxa"/>
            <w:shd w:val="clear" w:color="auto" w:fill="FFFFFF"/>
            <w:tcMar>
              <w:top w:w="120" w:type="dxa"/>
              <w:left w:w="120" w:type="dxa"/>
              <w:bottom w:w="120" w:type="dxa"/>
              <w:right w:w="120" w:type="dxa"/>
            </w:tcMar>
          </w:tcPr>
          <w:p>
            <w:pPr>
              <w:spacing w:after="0"/>
            </w:pPr>
            <w:r>
              <w:rPr>
                <w:rFonts w:ascii="Calibri" w:hAnsi="Calibri" w:cs="Calibri"/>
              </w:rPr>
              <w:t xml:space="preserve">Le traitement peut être réalisé entièrement dans le navigateur de l'utilisateur : le document reste alors sur son poste. La bibliothèque ne nous envoie rien.</w:t>
            </w:r>
          </w:p>
        </w:tc>
      </w:tr>
    </w:tbl>
    <w:p>
      <w:pPr>
        <w:pStyle w:val="Heading1"/>
      </w:pPr>
      <w:r>
        <w:rPr>
          <w:rFonts w:ascii="Calibri" w:hAnsi="Calibri" w:cs="Calibri"/>
        </w:rPr>
        <w:t xml:space="preserve">Licences et tarifs</w:t>
      </w:r>
    </w:p>
    <w:tbl>
      <w:tblPr>
        <w:tblW w:w="9638" w:type="dxa"/>
        <w:tblBorders>
          <w:top w:val="single" w:sz="6" w:space="0" w:color="B3DFEF"/>
          <w:left w:val="single" w:sz="6" w:space="0" w:color="B3DFEF"/>
          <w:bottom w:val="single" w:sz="6" w:space="0" w:color="B3DFEF"/>
          <w:right w:val="single" w:sz="6" w:space="0" w:color="B3DFEF"/>
          <w:insideH w:val="single" w:sz="6" w:space="0" w:color="B3DFEF"/>
          <w:insideV w:val="single" w:sz="6" w:space="0" w:color="B3DFEF"/>
        </w:tblBorders>
      </w:tblPr>
      <w:tblGrid>
        <w:gridCol w:w="9638"/>
      </w:tblGrid>
      <w:tr>
        <w:tc>
          <w:tcPr>
            <w:tcW w:w="9638" w:type="dxa"/>
            <w:shd w:val="clear" w:color="auto" w:fill="00263D"/>
            <w:tcMar>
              <w:top w:w="120" w:type="dxa"/>
              <w:left w:w="120" w:type="dxa"/>
              <w:bottom w:w="120" w:type="dxa"/>
              <w:right w:w="120" w:type="dxa"/>
            </w:tcMar>
          </w:tcPr>
          <w:p>
            <w:pPr>
              <w:spacing w:after="60"/>
            </w:pPr>
            <w:r>
              <w:rPr>
                <w:rFonts w:ascii="Calibri" w:hAnsi="Calibri" w:cs="Calibri"/>
                <w:b/>
                <w:color w:val="FFFFFF"/>
                <w:sz w:val="44"/>
              </w:rPr>
              <w:t xml:space="preserve">2 900 € HT</w:t>
            </w:r>
          </w:p>
          <w:p>
            <w:pPr>
              <w:spacing w:after="120"/>
            </w:pPr>
            <w:r>
              <w:rPr>
                <w:rFonts w:ascii="Calibri" w:hAnsi="Calibri" w:cs="Calibri"/>
                <w:color w:val="B3DFEF"/>
                <w:sz w:val="22"/>
              </w:rPr>
              <w:t xml:space="preserve">par application et par an, utilisateurs et serveurs illimités.</w:t>
            </w:r>
          </w:p>
          <w:p>
            <w:pPr>
              <w:spacing w:after="0"/>
            </w:pPr>
            <w:r>
              <w:rPr>
                <w:rFonts w:ascii="Calibri" w:hAnsi="Calibri" w:cs="Calibri"/>
                <w:color w:val="FFFFFF"/>
                <w:sz w:val="18"/>
              </w:rPr>
              <w:t xml:space="preserve">Développeurs, serveurs et utilisateurs illimités ; les documents produits vous appartiennent. Licence commerciale ou AGPL-3.0-only.</w:t>
            </w:r>
          </w:p>
        </w:tc>
      </w:tr>
    </w:tbl>
    <w:p>
      <w:pPr>
        <w:pStyle w:val="Colophon"/>
        <w:spacing w:before="360"/>
      </w:pPr>
      <w:r>
        <w:rPr>
          <w:rFonts w:ascii="Calibri" w:hAnsi="Calibri" w:cs="Calibri"/>
        </w:rPr>
        <w:t xml:space="preserve">Réalisé avec AWA Office par AwaCloud. Ouvert ici par AWA Viewer, sur votre appareil : rien n’a été envoyé. Offres et tarifs : awacloud.com/fr/offers</w:t>
      </w:r>
    </w:p>
    <w:sectPr>
      <w:headerReference w:type="default" r:id="rIdHdrMain"/>
      <w:footerReference w:type="default" r:id="rIdFtrMain"/>
      <w:pgSz w:w="11906" w:h="16838"/>
      <w:pgMar w:top="1418"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spacing w:after="0"/>
      <w:jc w:val="center"/>
    </w:pPr>
    <w:r>
      <w:rPr>
        <w:rFonts w:ascii="Calibri" w:hAnsi="Calibri" w:cs="Calibri"/>
        <w:color w:val="5B7A8C"/>
        <w:sz w:val="16"/>
      </w:rPr>
      <w:t xml:space="preserve">AWA Office — awacloud.com/fr/offers — </w:t>
    </w:r>
    <w:fldSimple w:instr="PAGE" w:dirty="1">
      <w:r>
        <w:rPr>
          <w:rFonts w:ascii="Calibri" w:hAnsi="Calibri" w:cs="Calibri"/>
          <w:color w:val="5B7A8C"/>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w:p>
    <w:pPr>
      <w:pBdr>
        <w:bottom w:val="single" w:sz="6" w:space="6" w:color="B3DFEF"/>
      </w:pBdr>
      <w:spacing w:after="0"/>
    </w:pPr>
    <w:r>
      <w:drawing>
        <wp:inline distT="0" distB="0" distL="0" distR="0">
          <wp:extent cx="411480" cy="411480"/>
          <wp:effectExtent l="0" t="0" r="0" b="0"/>
          <wp:docPr id="1" name="AwaCloud" descr="Awa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aCloud"/>
                  <pic:cNvPicPr/>
                </pic:nvPicPr>
                <pic:blipFill>
                  <a:blip r:embed="rId1"/>
                  <a:stretch>
                    <a:fillRect/>
                  </a:stretch>
                </pic:blipFill>
                <pic:spPr>
                  <a:xfrm>
                    <a:off x="0" y="0"/>
                    <a:ext cx="411480" cy="411480"/>
                  </a:xfrm>
                  <a:prstGeom prst="rect">
                    <a:avLst/>
                  </a:prstGeom>
                </pic:spPr>
              </pic:pic>
            </a:graphicData>
          </a:graphic>
        </wp:inline>
      </w:drawing>
    </w:r>
    <w:r>
      <w:rPr>
        <w:rFonts w:ascii="Calibri" w:hAnsi="Calibri" w:cs="Calibri"/>
        <w:b/>
        <w:color w:val="00263D"/>
        <w:sz w:val="20"/>
      </w:rPr>
      <w:t xml:space="preserve">   AWA Office</w:t>
    </w:r>
  </w:p>
</w:hdr>
</file>

<file path=word/styles.xml><?xml version="1.0" encoding="utf-8"?>
<w:styles xmlns:w="http://schemas.openxmlformats.org/wordprocessingml/2006/main">
  <w:docDefaults>
    <w:rPrDefault>
      <w:rPr>
        <w:rFonts w:ascii="Calibri" w:hAnsi="Calibri" w:cs="Calibri"/>
        <w:color w:val="212529"/>
        <w:sz w:val="21"/>
      </w:rPr>
    </w:rPrDefault>
    <w:pPrDefault>
      <w:pPr>
        <w:spacing w:after="120" w:line="288"/>
      </w:pPr>
    </w:pPrDefault>
  </w:docDefaults>
  <w:style w:type="paragraph" w:styleId="Normal" w:default="1">
    <w:name w:val="Normal"/>
  </w:style>
  <w:style w:type="paragraph" w:styleId="Title">
    <w:name w:val="Title"/>
    <w:basedOn w:val="Normal"/>
    <w:next w:val="Normal"/>
    <w:pPr>
      <w:pBdr>
        <w:top w:val="single" w:sz="48" w:space="12" w:color="00263D"/>
        <w:left w:val="single" w:sz="48" w:space="12" w:color="00263D"/>
        <w:bottom w:val="single" w:sz="48" w:space="12" w:color="00263D"/>
        <w:right w:val="single" w:sz="48" w:space="12" w:color="00263D"/>
      </w:pBdr>
      <w:shd w:val="clear" w:color="auto" w:fill="00263D"/>
      <w:spacing w:before="0" w:after="0"/>
    </w:pPr>
    <w:rPr>
      <w:b/>
      <w:color w:val="FFFFFF"/>
      <w:sz w:val="56"/>
    </w:rPr>
  </w:style>
  <w:style w:type="paragraph" w:styleId="Subtitle">
    <w:name w:val="Subtitle"/>
    <w:basedOn w:val="Normal"/>
    <w:next w:val="Normal"/>
    <w:pPr>
      <w:pBdr>
        <w:top w:val="single" w:sz="48" w:space="12" w:color="00263D"/>
        <w:left w:val="single" w:sz="48" w:space="12" w:color="00263D"/>
        <w:bottom w:val="single" w:sz="48" w:space="12" w:color="00263D"/>
        <w:right w:val="single" w:sz="48" w:space="12" w:color="00263D"/>
      </w:pBdr>
      <w:shd w:val="clear" w:color="auto" w:fill="00263D"/>
      <w:spacing w:before="0" w:after="240"/>
    </w:pPr>
    <w:rPr>
      <w:b/>
      <w:color w:val="B3DFEF"/>
      <w:sz w:val="28"/>
    </w:rPr>
  </w:style>
  <w:style w:type="paragraph" w:styleId="Heading1">
    <w:name w:val="heading 1"/>
    <w:basedOn w:val="Normal"/>
    <w:next w:val="Normal"/>
    <w:pPr>
      <w:keepNext/>
      <w:pBdr>
        <w:bottom w:val="single" w:sz="12" w:space="4" w:color="B3DFEF"/>
      </w:pBdr>
      <w:spacing w:before="360" w:after="120"/>
      <w:outlineLvl w:val="0"/>
    </w:pPr>
    <w:rPr>
      <w:b/>
      <w:color w:val="0078B3"/>
      <w:sz w:val="30"/>
    </w:rPr>
  </w:style>
  <w:style w:type="paragraph" w:styleId="Colophon">
    <w:name w:val="Colophon"/>
    <w:basedOn w:val="Normal"/>
    <w:rPr>
      <w:i/>
      <w:color w:val="5B7A8C"/>
      <w:sz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HdrMain" Type="http://schemas.openxmlformats.org/officeDocument/2006/relationships/header" Target="header1.xml"/><Relationship Id="rIdFtrMain"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