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Quarterly report</w:t>
      </w:r>
    </w:p>
    <w:p>
      <w:pPr>
        <w:pStyle w:val="Heading1"/>
      </w:pPr>
      <w:r>
        <w:t xml:space="preserve">Introduction</w:t>
      </w:r>
    </w:p>
    <w:p>
      <w:r>
        <w:t xml:space="preserve">This document carries the defaults Word writes today: Calibri 11 pt, 8 pt after each paragraph, 1.08 lines. </w:t>
      </w:r>
      <w:r>
        <w:rPr>
          <w:b/>
        </w:rPr>
        <w:t xml:space="preserve">Bold</w:t>
      </w:r>
      <w:r>
        <w:t xml:space="preserve"> and </w:t>
      </w:r>
      <w:r>
        <w:rPr>
          <w:i/>
        </w:rPr>
        <w:t xml:space="preserve">italic</w:t>
      </w:r>
      <w:r>
        <w:t xml:space="preserve"> text, then a second paragraph.</w:t>
      </w:r>
    </w:p>
    <w:p>
      <w:r>
        <w:t xml:space="preserve">A second paragraph, so the spacing between paragraphs shows: Word adds the space after one paragraph to the space before the next.</w:t>
      </w:r>
    </w:p>
    <w:p>
      <w:pPr>
        <w:pStyle w:val="Heading1"/>
      </w:pPr>
      <w:r>
        <w:t xml:space="preserve">Lists</w:t>
      </w:r>
    </w:p>
    <w:p>
      <w:pPr>
        <w:pStyle w:val="ListParagraph"/>
        <w:numPr>
          <w:ilvl w:val="0"/>
          <w:numId w:val="1"/>
        </w:numPr>
      </w:pPr>
      <w:r>
        <w:t xml:space="preserve">First point</w:t>
      </w:r>
    </w:p>
    <w:p>
      <w:pPr>
        <w:pStyle w:val="ListParagraph"/>
        <w:numPr>
          <w:ilvl w:val="1"/>
          <w:numId w:val="1"/>
        </w:numPr>
      </w:pPr>
      <w:r>
        <w:t xml:space="preserve">A sub-point</w:t>
      </w:r>
    </w:p>
    <w:p>
      <w:pPr>
        <w:pStyle w:val="ListParagraph"/>
        <w:numPr>
          <w:ilvl w:val="1"/>
          <w:numId w:val="1"/>
        </w:numPr>
      </w:pPr>
      <w:r>
        <w:t xml:space="preserve">Another sub-point</w:t>
      </w:r>
    </w:p>
    <w:p>
      <w:pPr>
        <w:pStyle w:val="ListParagraph"/>
        <w:numPr>
          <w:ilvl w:val="0"/>
          <w:numId w:val="1"/>
        </w:numPr>
      </w:pPr>
      <w:r>
        <w:t xml:space="preserve">Second point</w:t>
      </w:r>
    </w:p>
    <w:p>
      <w:pPr>
        <w:pStyle w:val="Heading1"/>
      </w:pPr>
      <w:r>
        <w:t xml:space="preserve">Tables</w:t>
      </w:r>
    </w:p>
    <w:p>
      <w:r>
        <w:t xml:space="preserve">Table Grid: single borders, no spacing after the cell paragraphs.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>
        <w:tc>
          <w:tcPr>
            <w:tcW w:w="3005" w:type="dxa"/>
          </w:tcPr>
          <w:p>
            <w:r>
              <w:t xml:space="preserve">Region</w:t>
            </w:r>
          </w:p>
        </w:tc>
        <w:tc>
          <w:tcPr>
            <w:tcW w:w="3005" w:type="dxa"/>
          </w:tcPr>
          <w:p>
            <w:r>
              <w:t xml:space="preserve">Q1</w:t>
            </w:r>
          </w:p>
        </w:tc>
        <w:tc>
          <w:tcPr>
            <w:tcW w:w="3006" w:type="dxa"/>
          </w:tcPr>
          <w:p>
            <w:r>
              <w:t xml:space="preserve">Q2</w:t>
            </w:r>
          </w:p>
        </w:tc>
      </w:tr>
      <w:tr>
        <w:tc>
          <w:tcPr>
            <w:tcW w:w="3005" w:type="dxa"/>
          </w:tcPr>
          <w:p>
            <w:r>
              <w:t xml:space="preserve">North</w:t>
            </w:r>
          </w:p>
        </w:tc>
        <w:tc>
          <w:tcPr>
            <w:tcW w:w="3005" w:type="dxa"/>
          </w:tcPr>
          <w:p>
            <w:r>
              <w:t xml:space="preserve">12</w:t>
            </w:r>
          </w:p>
        </w:tc>
        <w:tc>
          <w:tcPr>
            <w:tcW w:w="3006" w:type="dxa"/>
          </w:tcPr>
          <w:p>
            <w:r>
              <w:t xml:space="preserve">15</w:t>
            </w:r>
          </w:p>
        </w:tc>
      </w:tr>
      <w:tr>
        <w:tc>
          <w:tcPr>
            <w:tcW w:w="3005" w:type="dxa"/>
          </w:tcPr>
          <w:p>
            <w:r>
              <w:t xml:space="preserve">South</w:t>
            </w:r>
          </w:p>
        </w:tc>
        <w:tc>
          <w:tcPr>
            <w:tcW w:w="3005" w:type="dxa"/>
          </w:tcPr>
          <w:p>
            <w:r>
              <w:t xml:space="preserve">9</w:t>
            </w:r>
          </w:p>
        </w:tc>
        <w:tc>
          <w:tcPr>
            <w:tcW w:w="3006" w:type="dxa"/>
          </w:tcPr>
          <w:p>
            <w:r>
              <w:t xml:space="preserve">11</w:t>
            </w:r>
          </w:p>
        </w:tc>
      </w:tr>
      <w:tr>
        <w:tc>
          <w:tcPr>
            <w:tcW w:w="3005" w:type="dxa"/>
          </w:tcPr>
          <w:p>
            <w:r>
              <w:t xml:space="preserve">East</w:t>
            </w:r>
          </w:p>
        </w:tc>
        <w:tc>
          <w:tcPr>
            <w:tcW w:w="3005" w:type="dxa"/>
          </w:tcPr>
          <w:p>
            <w:r>
              <w:t xml:space="preserve">14</w:t>
            </w:r>
          </w:p>
        </w:tc>
        <w:tc>
          <w:tcPr>
            <w:tcW w:w="3006" w:type="dxa"/>
          </w:tcPr>
          <w:p>
            <w:r>
              <w:t xml:space="preserve">13</w:t>
            </w:r>
          </w:p>
        </w:tc>
      </w:tr>
      <w:tr>
        <w:tc>
          <w:tcPr>
            <w:tcW w:w="3005" w:type="dxa"/>
          </w:tcPr>
          <w:p>
            <w:r>
              <w:t xml:space="preserve">Total</w:t>
            </w:r>
          </w:p>
        </w:tc>
        <w:tc>
          <w:tcPr>
            <w:tcW w:w="3005" w:type="dxa"/>
          </w:tcPr>
          <w:p>
            <w:r>
              <w:t xml:space="preserve">35</w:t>
            </w:r>
          </w:p>
        </w:tc>
        <w:tc>
          <w:tcPr>
            <w:tcW w:w="3006" w:type="dxa"/>
          </w:tcPr>
          <w:p>
            <w:r>
              <w:t xml:space="preserve">39</w:t>
            </w:r>
          </w:p>
        </w:tc>
      </w:tr>
    </w:tbl>
    <w:p>
      <w:r>
        <w:t xml:space="preserve"/>
      </w:r>
    </w:p>
    <w:p>
      <w:r>
        <w:t xml:space="preserve">Grid Table 4 Accent 1: header row, banded rows, total row.</w:t>
      </w:r>
    </w:p>
    <w:tbl>
      <w:tblPr>
        <w:tblStyle w:val="GridTable4-Accent1"/>
        <w:tblW w:w="0" w:type="auto"/>
        <w:tblLook w:val="04E0" w:firstRow="1" w:lastRow="1" w:firstColumn="1" w:lastColumn="0" w:noHBand="0" w:noVBand="1"/>
      </w:tblPr>
      <w:tblGrid>
        <w:gridCol w:w="3005"/>
        <w:gridCol w:w="3005"/>
        <w:gridCol w:w="3006"/>
      </w:tblGrid>
      <w:tr>
        <w:tc>
          <w:tcPr>
            <w:tcW w:w="3005" w:type="dxa"/>
          </w:tcPr>
          <w:p>
            <w:r>
              <w:t xml:space="preserve">Region</w:t>
            </w:r>
          </w:p>
        </w:tc>
        <w:tc>
          <w:tcPr>
            <w:tcW w:w="3005" w:type="dxa"/>
          </w:tcPr>
          <w:p>
            <w:r>
              <w:t xml:space="preserve">Q1</w:t>
            </w:r>
          </w:p>
        </w:tc>
        <w:tc>
          <w:tcPr>
            <w:tcW w:w="3006" w:type="dxa"/>
          </w:tcPr>
          <w:p>
            <w:r>
              <w:t xml:space="preserve">Q2</w:t>
            </w:r>
          </w:p>
        </w:tc>
      </w:tr>
      <w:tr>
        <w:tc>
          <w:tcPr>
            <w:tcW w:w="3005" w:type="dxa"/>
          </w:tcPr>
          <w:p>
            <w:r>
              <w:t xml:space="preserve">North</w:t>
            </w:r>
          </w:p>
        </w:tc>
        <w:tc>
          <w:tcPr>
            <w:tcW w:w="3005" w:type="dxa"/>
          </w:tcPr>
          <w:p>
            <w:r>
              <w:t xml:space="preserve">12</w:t>
            </w:r>
          </w:p>
        </w:tc>
        <w:tc>
          <w:tcPr>
            <w:tcW w:w="3006" w:type="dxa"/>
          </w:tcPr>
          <w:p>
            <w:r>
              <w:t xml:space="preserve">15</w:t>
            </w:r>
          </w:p>
        </w:tc>
      </w:tr>
      <w:tr>
        <w:tc>
          <w:tcPr>
            <w:tcW w:w="3005" w:type="dxa"/>
          </w:tcPr>
          <w:p>
            <w:r>
              <w:t xml:space="preserve">South</w:t>
            </w:r>
          </w:p>
        </w:tc>
        <w:tc>
          <w:tcPr>
            <w:tcW w:w="3005" w:type="dxa"/>
          </w:tcPr>
          <w:p>
            <w:r>
              <w:t xml:space="preserve">9</w:t>
            </w:r>
          </w:p>
        </w:tc>
        <w:tc>
          <w:tcPr>
            <w:tcW w:w="3006" w:type="dxa"/>
          </w:tcPr>
          <w:p>
            <w:r>
              <w:t xml:space="preserve">11</w:t>
            </w:r>
          </w:p>
        </w:tc>
      </w:tr>
      <w:tr>
        <w:tc>
          <w:tcPr>
            <w:tcW w:w="3005" w:type="dxa"/>
          </w:tcPr>
          <w:p>
            <w:r>
              <w:t xml:space="preserve">East</w:t>
            </w:r>
          </w:p>
        </w:tc>
        <w:tc>
          <w:tcPr>
            <w:tcW w:w="3005" w:type="dxa"/>
          </w:tcPr>
          <w:p>
            <w:r>
              <w:t xml:space="preserve">14</w:t>
            </w:r>
          </w:p>
        </w:tc>
        <w:tc>
          <w:tcPr>
            <w:tcW w:w="3006" w:type="dxa"/>
          </w:tcPr>
          <w:p>
            <w:r>
              <w:t xml:space="preserve">13</w:t>
            </w:r>
          </w:p>
        </w:tc>
      </w:tr>
      <w:tr>
        <w:tc>
          <w:tcPr>
            <w:tcW w:w="3005" w:type="dxa"/>
          </w:tcPr>
          <w:p>
            <w:r>
              <w:t xml:space="preserve">Total</w:t>
            </w:r>
          </w:p>
        </w:tc>
        <w:tc>
          <w:tcPr>
            <w:tcW w:w="3005" w:type="dxa"/>
          </w:tcPr>
          <w:p>
            <w:r>
              <w:t xml:space="preserve">35</w:t>
            </w:r>
          </w:p>
        </w:tc>
        <w:tc>
          <w:tcPr>
            <w:tcW w:w="3006" w:type="dxa"/>
          </w:tcPr>
          <w:p>
            <w:r>
              <w:t xml:space="preserve">39</w:t>
            </w:r>
          </w:p>
        </w:tc>
      </w:tr>
    </w:tbl>
    <w:p>
      <w:r>
        <w:t xml:space="preserve">The end.</w:t>
      </w:r>
    </w:p>
    <w:sectPr>
      <w:headerReference w:type="default" r:id="rIdH"/>
      <w:footerReference w:type="default" r:id="rIdF"/>
      <w:pgSz w:w="11906" w:h="16838"/>
      <w:pgMar w:top="1417" w:right="1417" w:bottom="1417" w:left="1417" w:header="567" w:footer="85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t xml:space="preserve">Footer text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t xml:space="preserve">awa viewer fixture — header</w:t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/>
        <w:sz w:val="22"/>
        <w:lang w:val="en-GB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0" w:line="240" w:lineRule="auto"/>
      <w:contextualSpacing/>
    </w:pPr>
    <w:rPr>
      <w:rFonts w:ascii="Calibri Light" w:hAnsi="Calibri Light"/>
      <w:spacing w:val="-10"/>
      <w:kern w:val="28"/>
      <w:sz w:val="56"/>
    </w:rPr>
  </w:style>
  <w:style w:type="paragraph" w:styleId="Heading1">
    <w:name w:val="heading 1"/>
    <w:basedOn w:val="Normal"/>
    <w:next w:val="Normal"/>
    <w:pPr>
      <w:keepNext/>
      <w:spacing w:before="240" w:after="0"/>
      <w:outlineLvl w:val="0"/>
    </w:pPr>
    <w:rPr>
      <w:rFonts w:ascii="Calibri Light" w:hAnsi="Calibri Light"/>
      <w:color w:val="2F5496"/>
      <w:sz w:val="32"/>
    </w:rPr>
  </w:style>
  <w:style w:type="paragraph" w:styleId="ListParagraph">
    <w:name w:val="List Paragraph"/>
    <w:basedOn w:val="Normal"/>
    <w:pPr>
      <w:ind w:left="720"/>
      <w:contextualSpacing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</w:styles>
</file>

<file path=word/_rels/document.xml.rels><?xml version="1.0" encoding="UTF-8" standalone="yes"?><Relationships xmlns="http://schemas.openxmlformats.org/package/2006/relationships">
<Relationship Id="rIdS" Type="http://schemas.openxmlformats.org/officeDocument/2006/relationships/styles" Target="styles.xml"/><Relationship Id="rIdN" Type="http://schemas.openxmlformats.org/officeDocument/2006/relationships/numbering" Target="numbering.xml"/>
<Relationship Id="rIdH" Type="http://schemas.openxmlformats.org/officeDocument/2006/relationships/header" Target="header1.xml"/><Relationship Id="rIdF" Type="http://schemas.openxmlformats.org/officeDocument/2006/relationships/footer" Target="footer1.xml"/></Relationships>
</file>