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Sovereign RAG ingestion</w:t>
      </w:r>
    </w:p>
    <w:p>
      <w:r>
        <w:t xml:space="preserve">A short introduction paragraph in plain prose.</w:t>
      </w:r>
    </w:p>
    <w:p>
      <w:pPr>
        <w:pStyle w:val="Heading2"/>
      </w:pPr>
      <w:r>
        <w:t xml:space="preserve">Why air-gap matters</w:t>
      </w:r>
    </w:p>
    <w:p>
      <w:r>
        <w:rPr>
          <w:b/>
        </w:rPr>
        <w:t xml:space="preserve">Zero network</w:t>
      </w:r>
      <w:r>
        <w:t xml:space="preserve"> and </w:t>
      </w:r>
      <w:r>
        <w:rPr>
          <w:i/>
        </w:rPr>
        <w:t xml:space="preserve">auditable output</w:t>
      </w:r>
      <w:r>
        <w:t xml:space="preserve">. See </w:t>
      </w:r>
      <w:hyperlink r:id="rId101">
        <w:r>
          <w:rPr>
            <w:color w:val="0563C1"/>
            <w:u w:val="single"/>
          </w:rPr>
          <w:t xml:space="preserve">the profile</w:t>
        </w:r>
      </w:hyperlink>
    </w:p>
    <w:p>
      <w:pPr>
        <w:pStyle w:val="Heading3"/>
      </w:pPr>
      <w:r>
        <w:t xml:space="preserve">Chunking</w:t>
      </w:r>
    </w:p>
    <w:p>
      <w:r>
        <w:t xml:space="preserve">Sections are stable anchors for the retriever.</w:t>
      </w:r>
    </w:p>
  </w:body>
</w:document>
</file>

<file path=word/_rels/document.xml.rels><?xml version="1.0" encoding="UTF-8" standalone="yes"?>
<Relationships xmlns="http://schemas.openxmlformats.org/package/2006/relationships"><Relationship Id="rId101" Type="http://schemas.openxmlformats.org/officeDocument/2006/relationships/hyperlink" Target="https://example.invalid/profile-v1" TargetMode="External"/></Relationships>
</file>