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E6B3A"/>
          <w:sz w:val="56"/>
          <w:szCs w:val="56"/>
        </w:rPr>
        <w:t xml:space="preserve">Marketing Campaign Performance Analysis</w:t>
      </w:r>
    </w:p>
    <w:p>
      <w:pPr>
        <w:pBdr>
          <w:bottom w:val="single" w:color="1E6B3A" w:sz="12" w:space="8"/>
        </w:pBdr>
        <w:spacing w:after="240"/>
      </w:pPr>
      <w:r>
        <w:rPr>
          <w:rFonts w:ascii="Calibri" w:cs="Calibri" w:eastAsia="Calibri" w:hAnsi="Calibri"/>
          <w:color w:val="555555"/>
          <w:sz w:val="32"/>
          <w:szCs w:val="32"/>
        </w:rPr>
        <w:t xml:space="preserve">Business Intelligence &amp; Data Analytics Report</w:t>
      </w:r>
    </w:p>
    <w:p>
      <w:pPr>
        <w:spacing w:after="120" w:line="276"/>
      </w:pPr>
      <w:r>
        <w:rPr>
          <w:rFonts w:ascii="Calibri" w:cs="Calibri" w:eastAsia="Calibri" w:hAnsi="Calibri"/>
          <w:color w:val="555555"/>
        </w:rPr>
        <w:t xml:space="preserve">Source: Power BI dashboard "Marketing Campaign Performance Dashboard" (Overview, Company Performance, Customer Insights).</w:t>
      </w:r>
    </w:p>
    <w:p>
      <w:pPr>
        <w:spacing w:after="120" w:line="276"/>
      </w:pPr>
      <w:r>
        <w:rPr>
          <w:rFonts w:ascii="Calibri" w:cs="Calibri" w:eastAsia="Calibri" w:hAnsi="Calibri"/>
          <w:color w:val="555555"/>
        </w:rPr>
        <w:t xml:space="preserve">Scope note: this analysis uses only what is visible on the three dashboard pages and cross-checks the numbers against each other. Items that are not shown on any visual are marked "cannot be determined".</w:t>
      </w:r>
    </w:p>
    <w:p>
      <w:pPr>
        <w:spacing w:after="120" w:line="276"/>
      </w:pPr>
      <w:r>
        <w:rPr>
          <w:rFonts w:ascii="Calibri" w:cs="Calibri" w:eastAsia="Calibri" w:hAnsi="Calibri"/>
          <w:color w:val="555555"/>
        </w:rPr>
        <w:t xml:space="preserve">Updated: October 4, 2026. Reflects dashboard revisions to ROI formatting, currency labels, the engagement-by-language donut and the visible data model.</w:t>
      </w:r>
    </w:p>
    <w:p>
      <w:r>
        <w:br w:type="page"/>
      </w:r>
    </w:p>
    <w:p>
      <w:pPr>
        <w:pStyle w:val="Heading1"/>
      </w:pPr>
      <w:r>
        <w:rPr>
          <w:rFonts w:ascii="Calibri" w:cs="Calibri" w:eastAsia="Calibri" w:hAnsi="Calibri"/>
        </w:rPr>
        <w:t xml:space="preserve">What Changed in This Update</w:t>
      </w:r>
    </w:p>
    <w:p>
      <w:pPr>
        <w:spacing w:after="120" w:line="276"/>
      </w:pPr>
      <w:r>
        <w:rPr>
          <w:rFonts w:ascii="Calibri" w:cs="Calibri" w:eastAsia="Calibri" w:hAnsi="Calibri"/>
        </w:rPr>
        <w:t xml:space="preserve">The dashboard was revised and re-screenshotted on October 4, 2026. This table lists the visible changes and what they mean for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3860"/>
      </w:tblGrid>
      <w:tr>
        <w:trPr>
          <w:tblHeader/>
        </w:trPr>
        <w:tc>
          <w:tcPr>
            <w:tcW w:type="dxa" w:w="38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Change</w:t>
            </w:r>
          </w:p>
        </w:tc>
        <w:tc>
          <w:tcPr>
            <w:tcW w:type="dxa" w:w="17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Where</w:t>
            </w:r>
          </w:p>
        </w:tc>
        <w:tc>
          <w:tcPr>
            <w:tcW w:type="dxa" w:w="386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Effect on the analysis</w:t>
            </w:r>
          </w:p>
        </w:tc>
      </w:tr>
      <w:tr>
        <w:tc>
          <w:tcPr>
            <w:tcW w:type="dxa" w:w="3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Channel ROI now shown as a percentage (Email 499.6%, Facebook 501.9%, Google Ads 500.3%, Instagram 498.9%, Website 501.4%, YouTube 499.4%; total 500.2%)</w:t>
            </w:r>
          </w:p>
        </w:tc>
        <w:tc>
          <w:tcPr>
            <w:tcW w:type="dxa" w:w="17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Overview table</w:t>
            </w:r>
          </w:p>
        </w:tc>
        <w:tc>
          <w:tcPr>
            <w:tcW w:type="dxa" w:w="38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ROI scale inconsistency (5.00 vs 500.2%) resolved on Overview. Channel ROI is now readable at one decimal, showing a 3.0-point spread.</w:t>
            </w:r>
          </w:p>
        </w:tc>
      </w:tr>
      <w:tr>
        <w:tc>
          <w:tcPr>
            <w:tcW w:type="dxa" w:w="3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Revenue card now reads 15.02bn (no $ sign)</w:t>
            </w:r>
          </w:p>
        </w:tc>
        <w:tc>
          <w:tcPr>
            <w:tcW w:type="dxa" w:w="17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Company Performance</w:t>
            </w:r>
          </w:p>
        </w:tc>
        <w:tc>
          <w:tcPr>
            <w:tcW w:type="dxa" w:w="38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Cards are now consistent with Total Acquisition Cost (2.50bn). The channel table still uses $.</w:t>
            </w:r>
          </w:p>
        </w:tc>
      </w:tr>
      <w:tr>
        <w:tc>
          <w:tcPr>
            <w:tcW w:type="dxa" w:w="3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Engagement donut now shows Total Engagement by Language (217K–222K)</w:t>
            </w:r>
          </w:p>
        </w:tc>
        <w:tc>
          <w:tcPr>
            <w:tcW w:type="dxa" w:w="17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Customer Insights</w:t>
            </w:r>
          </w:p>
        </w:tc>
        <w:tc>
          <w:tcPr>
            <w:tcW w:type="dxa" w:w="38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Language engagement is now visible. The segment-level engagement donut is no longer shown.</w:t>
            </w:r>
          </w:p>
        </w:tc>
      </w:tr>
      <w:tr>
        <w:tc>
          <w:tcPr>
            <w:tcW w:type="dxa" w:w="3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Data model visible in the Data pane: dimension tables for Channel, CompaignType, Company, CustomerSegment, Language, Location, TargetAudience, plus DateTable, Comparison Metric and a fact table</w:t>
            </w:r>
          </w:p>
        </w:tc>
        <w:tc>
          <w:tcPr>
            <w:tcW w:type="dxa" w:w="17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All pages</w:t>
            </w:r>
          </w:p>
        </w:tc>
        <w:tc>
          <w:tcPr>
            <w:tcW w:type="dxa" w:w="38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Campaign type and location data exist in the model but still have no visuals, so those analyses remain open.</w:t>
            </w:r>
          </w:p>
        </w:tc>
      </w:tr>
      <w:tr>
        <w:tc>
          <w:tcPr>
            <w:tcW w:type="dxa" w:w="3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Unchanged: KPI totals, truncated campaigns axis, pie of cost per click, area chart, decimal conversions, "Select a month" cards</w:t>
            </w:r>
          </w:p>
        </w:tc>
        <w:tc>
          <w:tcPr>
            <w:tcW w:type="dxa" w:w="17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All pages</w:t>
            </w:r>
          </w:p>
        </w:tc>
        <w:tc>
          <w:tcPr>
            <w:tcW w:type="dxa" w:w="38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These items remain open in Section A.</w:t>
            </w:r>
          </w:p>
        </w:tc>
      </w:tr>
    </w:tbl>
    <w:p>
      <w:pPr>
        <w:spacing w:after="120"/>
      </w:pPr>
    </w:p>
    <w:p>
      <w:r>
        <w:br w:type="page"/>
      </w:r>
    </w:p>
    <w:p>
      <w:pPr>
        <w:pStyle w:val="Heading1"/>
      </w:pPr>
      <w:r>
        <w:rPr>
          <w:rFonts w:ascii="Calibri" w:cs="Calibri" w:eastAsia="Calibri" w:hAnsi="Calibri"/>
        </w:rPr>
        <w:t xml:space="preserve">Derived Metrics Used in This Report</w:t>
      </w:r>
    </w:p>
    <w:p>
      <w:pPr>
        <w:spacing w:after="120" w:line="276"/>
      </w:pPr>
      <w:r>
        <w:rPr>
          <w:rFonts w:ascii="Calibri" w:cs="Calibri" w:eastAsia="Calibri" w:hAnsi="Calibri"/>
        </w:rPr>
        <w:t xml:space="preserve">The values below are calculated from the dashboard totals; they are not read directly off 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Metric</w:t>
            </w:r>
          </w:p>
        </w:tc>
        <w:tc>
          <w:tcPr>
            <w:tcW w:type="dxa" w:w="27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Calculation</w:t>
            </w:r>
          </w:p>
        </w:tc>
        <w:tc>
          <w:tcPr>
            <w:tcW w:type="dxa" w:w="376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Value</w:t>
            </w:r>
          </w:p>
        </w:tc>
      </w:tr>
      <w:tr>
        <w:tc>
          <w:tcPr>
            <w:tcW w:type="dxa" w:w="2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Revenue per $1 spent</w:t>
            </w:r>
          </w:p>
        </w:tc>
        <w:tc>
          <w:tcPr>
            <w:tcW w:type="dxa" w:w="27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15.02bn ÷ 2.50bn</w:t>
            </w:r>
          </w:p>
        </w:tc>
        <w:tc>
          <w:tcPr>
            <w:tcW w:type="dxa" w:w="37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6.01</w:t>
            </w:r>
          </w:p>
        </w:tc>
      </w:tr>
      <w:tr>
        <w:tc>
          <w:tcPr>
            <w:tcW w:type="dxa" w:w="2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Aggregate ROI</w:t>
            </w:r>
          </w:p>
        </w:tc>
        <w:tc>
          <w:tcPr>
            <w:tcW w:type="dxa" w:w="27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(15.02 − 2.50) ÷ 2.50</w:t>
            </w:r>
          </w:p>
        </w:tc>
        <w:tc>
          <w:tcPr>
            <w:tcW w:type="dxa" w:w="37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≈500.6%</w:t>
            </w:r>
          </w:p>
        </w:tc>
      </w:tr>
      <w:tr>
        <w:tc>
          <w:tcPr>
            <w:tcW w:type="dxa" w:w="2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Cost per click</w:t>
            </w:r>
          </w:p>
        </w:tc>
        <w:tc>
          <w:tcPr>
            <w:tcW w:type="dxa" w:w="27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2.5009bn ÷ 109.95M</w:t>
            </w:r>
          </w:p>
        </w:tc>
        <w:tc>
          <w:tcPr>
            <w:tcW w:type="dxa" w:w="37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≈$22.74</w:t>
            </w:r>
          </w:p>
        </w:tc>
      </w:tr>
      <w:tr>
        <w:tc>
          <w:tcPr>
            <w:tcW w:type="dxa" w:w="2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Conversion rate</w:t>
            </w:r>
          </w:p>
        </w:tc>
        <w:tc>
          <w:tcPr>
            <w:tcW w:type="dxa" w:w="27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8.80M ÷ 109.95M</w:t>
            </w:r>
          </w:p>
        </w:tc>
        <w:tc>
          <w:tcPr>
            <w:tcW w:type="dxa" w:w="37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≈8.00%</w:t>
            </w:r>
          </w:p>
        </w:tc>
      </w:tr>
      <w:tr>
        <w:tc>
          <w:tcPr>
            <w:tcW w:type="dxa" w:w="2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Cost per conversion</w:t>
            </w:r>
          </w:p>
        </w:tc>
        <w:tc>
          <w:tcPr>
            <w:tcW w:type="dxa" w:w="27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2.5009bn ÷ 8.80M</w:t>
            </w:r>
          </w:p>
        </w:tc>
        <w:tc>
          <w:tcPr>
            <w:tcW w:type="dxa" w:w="37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≈$284</w:t>
            </w:r>
          </w:p>
        </w:tc>
      </w:tr>
      <w:tr>
        <w:tc>
          <w:tcPr>
            <w:tcW w:type="dxa" w:w="2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Revenue per conversion</w:t>
            </w:r>
          </w:p>
        </w:tc>
        <w:tc>
          <w:tcPr>
            <w:tcW w:type="dxa" w:w="27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15.02bn ÷ 8.80M</w:t>
            </w:r>
          </w:p>
        </w:tc>
        <w:tc>
          <w:tcPr>
            <w:tcW w:type="dxa" w:w="37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≈$1,706</w:t>
            </w:r>
          </w:p>
        </w:tc>
      </w:tr>
      <w:tr>
        <w:tc>
          <w:tcPr>
            <w:tcW w:type="dxa" w:w="2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Per campaign (200K campaigns)</w:t>
            </w:r>
          </w:p>
        </w:tc>
        <w:tc>
          <w:tcPr>
            <w:tcW w:type="dxa" w:w="27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Totals ÷ 200K</w:t>
            </w:r>
          </w:p>
        </w:tc>
        <w:tc>
          <w:tcPr>
            <w:tcW w:type="dxa" w:w="37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≈$12.5K spend, ≈$75.1K revenue, ≈550 clicks, ≈44 conversions</w:t>
            </w:r>
          </w:p>
        </w:tc>
      </w:tr>
    </w:tbl>
    <w:p>
      <w:pPr>
        <w:spacing w:after="120"/>
      </w:pPr>
    </w:p>
    <w:p>
      <w:pPr>
        <w:pStyle w:val="Heading1"/>
      </w:pPr>
      <w:r>
        <w:rPr>
          <w:rFonts w:ascii="Calibri" w:cs="Calibri" w:eastAsia="Calibri" w:hAnsi="Calibri"/>
        </w:rPr>
        <w:t xml:space="preserve">A. Data Validation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5160"/>
        <w:gridCol w:w="1800"/>
      </w:tblGrid>
      <w:tr>
        <w:trPr>
          <w:tblHeader/>
        </w:trPr>
        <w:tc>
          <w:tcPr>
            <w:tcW w:type="dxa" w:w="5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19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Check</w:t>
            </w:r>
          </w:p>
        </w:tc>
        <w:tc>
          <w:tcPr>
            <w:tcW w:type="dxa" w:w="516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Finding</w:t>
            </w:r>
          </w:p>
        </w:tc>
        <w:tc>
          <w:tcPr>
            <w:tcW w:type="dxa" w:w="18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Status</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ROI scale (5.00 vs 500.2%)</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Same metric, different formatting. Previously the Overview table showed ROI as a ratio (5.00 = 500%) while the card showed a percentage (500.2%); the table now shows percentages (total 500.2%), so the two match. Company ROIs of 499.1–500.7% average to ≈500.2%, and (Revenue − Cost) ÷ Cost from the totals gives ≈500.6%.</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Resolved on Overview (now shown as %)</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1b</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Average vs aggregate ROI</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500.2% is the average of row-level ROI; 500.6% is the ratio of totals. A small gap is normal, but the two should be labeled differently.</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Clarify</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CTR</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109.95M ÷ 1,101.46M = 9.98%, matching the card.</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OK</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3</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Conversion rate</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8.80M ÷ 109.95M = 8.00% vs 8.01% shown (average of rows vs ratio of totals).</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OK</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Cost per conversion</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≈$284, consistent with company values of 283–286.</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OK</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Channel table totals</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Spend and impressions sum correctly. Clicks sum to 109,954,206 vs 109,954,406 shown (200-click gap); may be a misread at screenshot resolution.</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Verify</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6</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Decimal conversions</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The customer table shows conversions such as 345,015.91 and a total of 8,804,579.69. Conversions are counts and should be whole numbers, so the field may be calculated (e.g., clicks × rate).</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Investigate (still present)</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7</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Engagement scale</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Total Engagement is 1.10M against 110M clicks. In every table row, conversions ≈ 8.0 × engagement (7.93–8.13), so the two move in lockstep and may not be independent signals.</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Confirm the definition</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8</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Currency</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Improved: the Revenue card now reads 15.02bn, matching Total Acquisition Cost (2.50bn). The channel table still uses "$", and Cost per Conversion (284) has no symbol. Confirm the currency and label it once.</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Partly resolved</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9</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Truncated axis</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The "Total Campaigns by Company" y-axis runs 39,600–40,400, making a ~1.3% difference look large.</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Misleading visual (still present)</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10</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Pie of a ratio</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"Cost per Click by Company" is a pie of an average; shares of a ratio are not meaningful (22.7–22.8 each shows ≈20%).</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Replace with bar (still present)</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11</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Area chart for categories</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Companies are categorical; an area chart implies continuity that does not exist.</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Use bars (still present)</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12</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Month sorting</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All month axes run Jan to Dec correctly.</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OK</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13</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Missing values, duplicates, data types, outliers</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Cannot be verified from visuals. The separate dimension tables help, but duplicates and nulls still need a check.</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Check in Power Query</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14</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Distribution realism</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Almost every dimension varies by only 1–3%. CPC of ~$22.7, ROI of ~500% and CTR of ~10% are also very high for real marketing data. The dataset appears synthetic or evenly generated, which limits how much differentiation any analysis can find.</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State openly</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15</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"Most Efficient Company: TechCorp"</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The criterion is not visible. TechCorp has the highest ROI (500.7%) and the lowest cost per conversion (tied at 283), but only by hairline margins.</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Define the logic</w:t>
            </w:r>
          </w:p>
        </w:tc>
      </w:tr>
      <w:tr>
        <w:tc>
          <w:tcPr>
            <w:tcW w:type="dxa" w:w="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16</w:t>
            </w:r>
          </w:p>
        </w:tc>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Month-comparison cards</w:t>
            </w:r>
          </w:p>
        </w:tc>
        <w:tc>
          <w:tcPr>
            <w:tcW w:type="dxa" w:w="51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"Campaigns/ROI/Cost/CTR vs PM" show "Select a month" and are empty until a month is chosen.</w:t>
            </w:r>
          </w:p>
        </w:tc>
        <w:tc>
          <w:tcPr>
            <w:tcW w:type="dxa" w:w="18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Add a default (still present)</w:t>
            </w:r>
          </w:p>
        </w:tc>
      </w:tr>
      <w:tr>
        <w:tc>
          <w:tcPr>
            <w:tcW w:type="dxa" w:w="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17</w:t>
            </w:r>
          </w:p>
        </w:tc>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Data model</w:t>
            </w:r>
          </w:p>
        </w:tc>
        <w:tc>
          <w:tcPr>
            <w:tcW w:type="dxa" w:w="51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The Data pane shows dimension tables for Channel, CompaignType, Company, CustomerSegment, Language, Location and TargetAudience, plus DateTable, Comparison Metric and a marketing fact table. "CompaignType" is misspelled. Dim_CompaignType and Dim_Location are not used in any visual.</w:t>
            </w:r>
          </w:p>
        </w:tc>
        <w:tc>
          <w:tcPr>
            <w:tcW w:type="dxa" w:w="18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Fix spelling; build visuals</w:t>
            </w:r>
          </w:p>
        </w:tc>
      </w:tr>
    </w:tbl>
    <w:p>
      <w:pPr>
        <w:spacing w:after="120"/>
      </w:pPr>
    </w:p>
    <w:p>
      <w:pPr>
        <w:spacing w:after="120" w:line="276"/>
      </w:pPr>
      <w:r>
        <w:rPr>
          <w:rFonts w:ascii="Calibri" w:cs="Calibri" w:eastAsia="Calibri" w:hAnsi="Calibri"/>
        </w:rPr>
        <w:t xml:space="preserve"/>
      </w:r>
      <w:r>
        <w:rPr>
          <w:rFonts w:ascii="Calibri" w:cs="Calibri" w:eastAsia="Calibri" w:hAnsi="Calibri"/>
          <w:b/>
          <w:bCs/>
        </w:rPr>
        <w:t xml:space="preserve">Takeaway:</w:t>
      </w:r>
      <w:r>
        <w:rPr>
          <w:rFonts w:ascii="Calibri" w:cs="Calibri" w:eastAsia="Calibri" w:hAnsi="Calibri"/>
        </w:rPr>
        <w:t xml:space="preserve"> the core KPIs reconcile with each other (CTR, conversion rate, cost per conversion and ROI all tie out). The ROI scale issue (item 1) is now resolved; the remaining issues are in presentation and definitions (items 6–11, 14, 16).</w:t>
      </w:r>
    </w:p>
    <w:p>
      <w:pPr>
        <w:pStyle w:val="Heading1"/>
      </w:pPr>
      <w:r>
        <w:rPr>
          <w:rFonts w:ascii="Calibri" w:cs="Calibri" w:eastAsia="Calibri" w:hAnsi="Calibri"/>
        </w:rPr>
        <w:t xml:space="preserve">B. Trend &amp; Pattern Analysis</w:t>
      </w:r>
    </w:p>
    <w:p>
      <w:pPr>
        <w:pBdr>
          <w:left w:val="single" w:color="1E6B3A" w:sz="18" w:space="6"/>
        </w:pBdr>
        <w:shd w:fill="E8F1FA" w:val="clear"/>
        <w:spacing w:after="160" w:before="60"/>
        <w:ind w:left="120"/>
      </w:pPr>
      <w:r>
        <w:rPr>
          <w:rFonts w:ascii="Calibri" w:cs="Calibri" w:eastAsia="Calibri" w:hAnsi="Calibri"/>
          <w:i/>
          <w:iCs/>
        </w:rPr>
        <w:t xml:space="preserve">Limitation: the monthly charts have no data labels, so shape can be described but exact monthly values cannot be read.</w:t>
      </w:r>
    </w:p>
    <w:p>
      <w:pPr>
        <w:pStyle w:val="Heading3"/>
      </w:pPr>
      <w:r>
        <w:rPr>
          <w:rFonts w:ascii="Calibri" w:cs="Calibri" w:eastAsia="Calibri" w:hAnsi="Calibri"/>
        </w:rPr>
        <w:t xml:space="preserve">Revenue (Company Performance, "Total Revenue by Month and Company")</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What it shows:</w:t>
      </w:r>
      <w:r>
        <w:rPr>
          <w:rFonts w:ascii="Calibri" w:cs="Calibri" w:eastAsia="Calibri" w:hAnsi="Calibri"/>
        </w:rPr>
        <w:t xml:space="preserve"> five near-overlapping lines for Jan–Dec at roughly 0.2–0.25bn per company per month, consistent with 15.02bn ÷ 12 ÷ 5 ≈ 0.25bn.</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Pattern:</w:t>
      </w:r>
      <w:r>
        <w:rPr>
          <w:rFonts w:ascii="Calibri" w:cs="Calibri" w:eastAsia="Calibri" w:hAnsi="Calibri"/>
        </w:rPr>
        <w:t xml:space="preserve"> revenue looks essentially flat with minor fluctuation, and all five companies follow the same shape. Peak and trough months cannot be identified from the screenshot.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Why it matters:</w:t>
      </w:r>
      <w:r>
        <w:rPr>
          <w:rFonts w:ascii="Calibri" w:cs="Calibri" w:eastAsia="Calibri" w:hAnsi="Calibri"/>
        </w:rPr>
        <w:t xml:space="preserve"> no seasonality or growth story is visible, so the dashboard cannot yet explain when revenue is made.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Investigate next:</w:t>
      </w:r>
      <w:r>
        <w:rPr>
          <w:rFonts w:ascii="Calibri" w:cs="Calibri" w:eastAsia="Calibri" w:hAnsi="Calibri"/>
        </w:rPr>
        <w:t xml:space="preserve"> add a labeled month table or a month-over-month % change measure.</w:t>
      </w:r>
    </w:p>
    <w:p>
      <w:pPr>
        <w:pStyle w:val="Heading3"/>
      </w:pPr>
      <w:r>
        <w:rPr>
          <w:rFonts w:ascii="Calibri" w:cs="Calibri" w:eastAsia="Calibri" w:hAnsi="Calibri"/>
        </w:rPr>
        <w:t xml:space="preserve">Acquisition cost and impressions (Overview combo chart)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What it shows:</w:t>
      </w:r>
      <w:r>
        <w:rPr>
          <w:rFonts w:ascii="Calibri" w:cs="Calibri" w:eastAsia="Calibri" w:hAnsi="Calibri"/>
        </w:rPr>
        <w:t xml:space="preserve"> monthly spend bars and an impressions line.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Pattern:</w:t>
      </w:r>
      <w:r>
        <w:rPr>
          <w:rFonts w:ascii="Calibri" w:cs="Calibri" w:eastAsia="Calibri" w:hAnsi="Calibri"/>
        </w:rPr>
        <w:t xml:space="preserve"> spend bars are nearly equal in height (average ≈208M a month) while the impressions line moves visibly (roughly 80–90M+ on its axis). Impressions per dollar therefore varies month to month even though spend does not.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Why it matters:</w:t>
      </w:r>
      <w:r>
        <w:rPr>
          <w:rFonts w:ascii="Calibri" w:cs="Calibri" w:eastAsia="Calibri" w:hAnsi="Calibri"/>
        </w:rPr>
        <w:t xml:space="preserve"> spend is not the driver of monthly reach variation. This is a correlation observation, not proof of what does drive it.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Investigate next:</w:t>
      </w:r>
      <w:r>
        <w:rPr>
          <w:rFonts w:ascii="Calibri" w:cs="Calibri" w:eastAsia="Calibri" w:hAnsi="Calibri"/>
        </w:rPr>
        <w:t xml:space="preserve"> compare impressions per $ with CTR by month.</w:t>
      </w:r>
    </w:p>
    <w:p>
      <w:pPr>
        <w:pStyle w:val="Heading3"/>
      </w:pPr>
      <w:r>
        <w:rPr>
          <w:rFonts w:ascii="Calibri" w:cs="Calibri" w:eastAsia="Calibri" w:hAnsi="Calibri"/>
        </w:rPr>
        <w:t xml:space="preserve">ROI</w:t>
      </w:r>
    </w:p>
    <w:p>
      <w:pPr>
        <w:pStyle w:val="ListParagraph"/>
        <w:numPr>
          <w:ilvl w:val="0"/>
          <w:numId w:val="2"/>
        </w:numPr>
        <w:spacing w:after="60" w:line="264"/>
      </w:pPr>
      <w:r>
        <w:rPr>
          <w:rFonts w:ascii="Calibri" w:cs="Calibri" w:eastAsia="Calibri" w:hAnsi="Calibri"/>
        </w:rPr>
        <w:t xml:space="preserve">Month-level ROI is not displayed, so monthly movement cannot be determined.</w:t>
      </w:r>
    </w:p>
    <w:p>
      <w:pPr>
        <w:pStyle w:val="ListParagraph"/>
        <w:numPr>
          <w:ilvl w:val="0"/>
          <w:numId w:val="2"/>
        </w:numPr>
        <w:spacing w:after="60" w:line="264"/>
      </w:pPr>
      <w:r>
        <w:rPr>
          <w:rFonts w:ascii="Calibri" w:cs="Calibri" w:eastAsia="Calibri" w:hAnsi="Calibri"/>
        </w:rPr>
        <w:t xml:space="preserve">Company ROI ranges 499.1–500.7%, a 1.6-point spread. Channel ROI (now shown as %) ranges 498.9–501.9%, a 3.0-point spread.</w:t>
      </w:r>
    </w:p>
    <w:p>
      <w:pPr>
        <w:pStyle w:val="ListParagraph"/>
        <w:numPr>
          <w:ilvl w:val="0"/>
          <w:numId w:val="2"/>
        </w:numPr>
        <w:spacing w:after="60" w:line="264"/>
      </w:pPr>
      <w:r>
        <w:rPr>
          <w:rFonts w:ascii="Calibri" w:cs="Calibri" w:eastAsia="Calibri" w:hAnsi="Calibri"/>
        </w:rPr>
        <w:t xml:space="preserve">Whether spend and ROI move together across months cannot be tested with the current visuals.</w:t>
      </w:r>
    </w:p>
    <w:p>
      <w:pPr>
        <w:pStyle w:val="Heading3"/>
      </w:pPr>
      <w:r>
        <w:rPr>
          <w:rFonts w:ascii="Calibri" w:cs="Calibri" w:eastAsia="Calibri" w:hAnsi="Calibri"/>
        </w:rPr>
        <w:t xml:space="preserve">Conversions</w:t>
      </w:r>
    </w:p>
    <w:p>
      <w:pPr>
        <w:pStyle w:val="ListParagraph"/>
        <w:numPr>
          <w:ilvl w:val="0"/>
          <w:numId w:val="2"/>
        </w:numPr>
        <w:spacing w:after="60" w:line="264"/>
      </w:pPr>
      <w:r>
        <w:rPr>
          <w:rFonts w:ascii="Calibri" w:cs="Calibri" w:eastAsia="Calibri" w:hAnsi="Calibri"/>
        </w:rPr>
        <w:t xml:space="preserve">The monthly conversion trend is not displayed (the customer page shows monthly engagement, which is flat).</w:t>
      </w:r>
    </w:p>
    <w:p>
      <w:pPr>
        <w:pStyle w:val="ListParagraph"/>
        <w:numPr>
          <w:ilvl w:val="0"/>
          <w:numId w:val="2"/>
        </w:numPr>
        <w:spacing w:after="60" w:line="264"/>
      </w:pPr>
      <w:r>
        <w:rPr>
          <w:rFonts w:ascii="Calibri" w:cs="Calibri" w:eastAsia="Calibri" w:hAnsi="Calibri"/>
        </w:rPr>
        <w:t xml:space="preserve">Overall, 8.0% of clicks convert, and CTR of ~10% is stable across channels (9.91–10.02%).</w:t>
      </w:r>
    </w:p>
    <w:p>
      <w:pPr>
        <w:pStyle w:val="ListParagraph"/>
        <w:numPr>
          <w:ilvl w:val="0"/>
          <w:numId w:val="2"/>
        </w:numPr>
        <w:spacing w:after="60" w:line="264"/>
      </w:pPr>
      <w:r>
        <w:rPr>
          <w:rFonts w:ascii="Calibri" w:cs="Calibri" w:eastAsia="Calibri" w:hAnsi="Calibri"/>
        </w:rPr>
        <w:t xml:space="preserve">The channel-level clicks-to-conversions relationship cannot be determined, because conversions by channel are not shown.</w:t>
      </w:r>
    </w:p>
    <w:p>
      <w:pPr>
        <w:pStyle w:val="Heading3"/>
      </w:pPr>
      <w:r>
        <w:rPr>
          <w:rFonts w:ascii="Calibri" w:cs="Calibri" w:eastAsia="Calibri" w:hAnsi="Calibri"/>
        </w:rPr>
        <w:t xml:space="preserve">Spend vs revenue</w:t>
      </w:r>
    </w:p>
    <w:p>
      <w:pPr>
        <w:pStyle w:val="ListParagraph"/>
        <w:numPr>
          <w:ilvl w:val="0"/>
          <w:numId w:val="2"/>
        </w:numPr>
        <w:spacing w:after="60" w:line="264"/>
      </w:pPr>
      <w:r>
        <w:rPr>
          <w:rFonts w:ascii="Calibri" w:cs="Calibri" w:eastAsia="Calibri" w:hAnsi="Calibri"/>
        </w:rPr>
        <w:t xml:space="preserve">Aggregate: every $1 of spend corresponds to ≈$6.01 of revenue.</w:t>
      </w:r>
    </w:p>
    <w:p>
      <w:pPr>
        <w:pStyle w:val="ListParagraph"/>
        <w:numPr>
          <w:ilvl w:val="0"/>
          <w:numId w:val="2"/>
        </w:numPr>
        <w:spacing w:after="60" w:line="264"/>
      </w:pPr>
      <w:r>
        <w:rPr>
          <w:rFonts w:ascii="Calibri" w:cs="Calibri" w:eastAsia="Calibri" w:hAnsi="Calibri"/>
        </w:rPr>
        <w:t xml:space="preserve">Companies: revenue is ≈3.0bn each, and campaign counts are within ≈1.3% of each other.</w:t>
      </w:r>
    </w:p>
    <w:p>
      <w:pPr>
        <w:pStyle w:val="ListParagraph"/>
        <w:numPr>
          <w:ilvl w:val="0"/>
          <w:numId w:val="2"/>
        </w:numPr>
        <w:spacing w:after="60" w:line="264"/>
      </w:pPr>
      <w:r>
        <w:rPr>
          <w:rFonts w:ascii="Calibri" w:cs="Calibri" w:eastAsia="Calibri" w:hAnsi="Calibri"/>
        </w:rPr>
        <w:t xml:space="preserve">Monthly: spend and revenue both look flat, so no periods of spend rising without revenue are visible. A definitive answer needs monthly values.</w:t>
      </w:r>
    </w:p>
    <w:p>
      <w:pPr>
        <w:pStyle w:val="ListParagraph"/>
        <w:numPr>
          <w:ilvl w:val="0"/>
          <w:numId w:val="2"/>
        </w:numPr>
        <w:spacing w:after="60" w:line="264"/>
      </w:pPr>
      <w:r>
        <w:rPr>
          <w:rFonts w:ascii="Calibri" w:cs="Calibri" w:eastAsia="Calibri" w:hAnsi="Calibri"/>
        </w:rPr>
        <w:t xml:space="preserve">A true correlation test needs monthly points (n=12). Five companies or six channels are too few for a reliable statistic, and none of these differences are large enough to matter.</w:t>
      </w:r>
    </w:p>
    <w:p>
      <w:pPr>
        <w:pStyle w:val="Heading1"/>
      </w:pPr>
      <w:r>
        <w:rPr>
          <w:rFonts w:ascii="Calibri" w:cs="Calibri" w:eastAsia="Calibri" w:hAnsi="Calibri"/>
        </w:rPr>
        <w:t xml:space="preserve">C. Company Analysis (metric by metric, no overall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60"/>
        <w:gridCol w:w="1500"/>
        <w:gridCol w:w="1400"/>
      </w:tblGrid>
      <w:tr>
        <w:trPr>
          <w:tblHeader/>
        </w:trPr>
        <w:tc>
          <w:tcPr>
            <w:tcW w:type="dxa" w:w="19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Metric</w:t>
            </w:r>
          </w:p>
        </w:tc>
        <w:tc>
          <w:tcPr>
            <w:tcW w:type="dxa" w:w="15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Alpha Innovations</w:t>
            </w:r>
          </w:p>
        </w:tc>
        <w:tc>
          <w:tcPr>
            <w:tcW w:type="dxa" w:w="15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DataTech Solutions</w:t>
            </w:r>
          </w:p>
        </w:tc>
        <w:tc>
          <w:tcPr>
            <w:tcW w:type="dxa" w:w="156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Innovate Industries</w:t>
            </w:r>
          </w:p>
        </w:tc>
        <w:tc>
          <w:tcPr>
            <w:tcW w:type="dxa" w:w="15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NexGen Systems</w:t>
            </w:r>
          </w:p>
        </w:tc>
        <w:tc>
          <w:tcPr>
            <w:tcW w:type="dxa" w:w="14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TechCorp</w:t>
            </w:r>
          </w:p>
        </w:tc>
      </w:tr>
      <w:tr>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Revenue</w:t>
            </w:r>
          </w:p>
        </w:tc>
        <w:tc>
          <w:tcPr>
            <w:tcW w:type="dxa" w:w="1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≈3.0bn</w:t>
            </w:r>
          </w:p>
        </w:tc>
        <w:tc>
          <w:tcPr>
            <w:tcW w:type="dxa" w:w="1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≈3.0bn</w:t>
            </w:r>
          </w:p>
        </w:tc>
        <w:tc>
          <w:tcPr>
            <w:tcW w:type="dxa" w:w="15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≈3.0bn</w:t>
            </w:r>
          </w:p>
        </w:tc>
        <w:tc>
          <w:tcPr>
            <w:tcW w:type="dxa" w:w="1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≈3.0bn</w:t>
            </w:r>
          </w:p>
        </w:tc>
        <w:tc>
          <w:tcPr>
            <w:tcW w:type="dxa" w:w="14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≈3.0bn</w:t>
            </w:r>
          </w:p>
        </w:tc>
      </w:tr>
      <w:tr>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Avg ROI</w:t>
            </w:r>
          </w:p>
        </w:tc>
        <w:tc>
          <w:tcPr>
            <w:tcW w:type="dxa" w:w="1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500.6%</w:t>
            </w:r>
          </w:p>
        </w:tc>
        <w:tc>
          <w:tcPr>
            <w:tcW w:type="dxa" w:w="1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500.6%</w:t>
            </w:r>
          </w:p>
        </w:tc>
        <w:tc>
          <w:tcPr>
            <w:tcW w:type="dxa" w:w="15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500.2%</w:t>
            </w:r>
          </w:p>
        </w:tc>
        <w:tc>
          <w:tcPr>
            <w:tcW w:type="dxa" w:w="1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499.1%</w:t>
            </w:r>
          </w:p>
        </w:tc>
        <w:tc>
          <w:tcPr>
            <w:tcW w:type="dxa" w:w="14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500.7%</w:t>
            </w:r>
          </w:p>
        </w:tc>
      </w:tr>
      <w:tr>
        <w:tc>
          <w:tcPr>
            <w:tcW w:type="dxa" w:w="19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Cost per conversion</w:t>
            </w:r>
          </w:p>
        </w:tc>
        <w:tc>
          <w:tcPr>
            <w:tcW w:type="dxa" w:w="1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$284</w:t>
            </w:r>
          </w:p>
        </w:tc>
        <w:tc>
          <w:tcPr>
            <w:tcW w:type="dxa" w:w="1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$284</w:t>
            </w:r>
          </w:p>
        </w:tc>
        <w:tc>
          <w:tcPr>
            <w:tcW w:type="dxa" w:w="15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$283</w:t>
            </w:r>
          </w:p>
        </w:tc>
        <w:tc>
          <w:tcPr>
            <w:tcW w:type="dxa" w:w="15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$286</w:t>
            </w:r>
          </w:p>
        </w:tc>
        <w:tc>
          <w:tcPr>
            <w:tcW w:type="dxa" w:w="14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$283</w:t>
            </w:r>
          </w:p>
        </w:tc>
      </w:tr>
      <w:tr>
        <w:tc>
          <w:tcPr>
            <w:tcW w:type="dxa" w:w="19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Campaigns</w:t>
            </w:r>
          </w:p>
        </w:tc>
        <w:tc>
          <w:tcPr>
            <w:tcW w:type="dxa" w:w="1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40,051</w:t>
            </w:r>
          </w:p>
        </w:tc>
        <w:tc>
          <w:tcPr>
            <w:tcW w:type="dxa" w:w="1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40,012</w:t>
            </w:r>
          </w:p>
        </w:tc>
        <w:tc>
          <w:tcPr>
            <w:tcW w:type="dxa" w:w="15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≈39.7–40.0K*</w:t>
            </w:r>
          </w:p>
        </w:tc>
        <w:tc>
          <w:tcPr>
            <w:tcW w:type="dxa" w:w="15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≈39.7–40.0K*</w:t>
            </w:r>
          </w:p>
        </w:tc>
        <w:tc>
          <w:tcPr>
            <w:tcW w:type="dxa" w:w="14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40,237</w:t>
            </w:r>
          </w:p>
        </w:tc>
      </w:tr>
    </w:tbl>
    <w:p>
      <w:pPr>
        <w:spacing w:after="120"/>
      </w:pPr>
    </w:p>
    <w:p>
      <w:pPr>
        <w:spacing w:after="120" w:line="276"/>
      </w:pPr>
      <w:r>
        <w:rPr>
          <w:rFonts w:ascii="Calibri" w:cs="Calibri" w:eastAsia="Calibri" w:hAnsi="Calibri"/>
          <w:i/>
          <w:iCs/>
          <w:sz w:val="18"/>
          <w:szCs w:val="18"/>
        </w:rPr>
        <w:t xml:space="preserve">*Only four of five campaign labels are visible, and the last two cannot be reliably mapped to companies.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Revenue contribution:</w:t>
      </w:r>
      <w:r>
        <w:rPr>
          <w:rFonts w:ascii="Calibri" w:cs="Calibri" w:eastAsia="Calibri" w:hAnsi="Calibri"/>
        </w:rPr>
        <w:t xml:space="preserve"> about 20% each. The chart rounds to 3.0bn, so finer differences are not visible.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Spend contribution:</w:t>
      </w:r>
      <w:r>
        <w:rPr>
          <w:rFonts w:ascii="Calibri" w:cs="Calibri" w:eastAsia="Calibri" w:hAnsi="Calibri"/>
        </w:rPr>
        <w:t xml:space="preserve"> per-company spend is not displayed, so it cannot be determined directly. If ROI = (Revenue − Cost) ÷ Cost holds, spend would be ≈0.5bn each. This is an estimate under an assumption, not a dashboard fact.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Efficiency:</w:t>
      </w:r>
      <w:r>
        <w:rPr>
          <w:rFonts w:ascii="Calibri" w:cs="Calibri" w:eastAsia="Calibri" w:hAnsi="Calibri"/>
        </w:rPr>
        <w:t xml:space="preserve"> cost per conversion spans $283–$286 (about 1.1%).</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ROI:</w:t>
      </w:r>
      <w:r>
        <w:rPr>
          <w:rFonts w:ascii="Calibri" w:cs="Calibri" w:eastAsia="Calibri" w:hAnsi="Calibri"/>
        </w:rPr>
        <w:t xml:space="preserve"> NexGen Systems sits lowest at 499.1% and also has the highest cost per conversion ($286). The two coincide, but the differences are small and it is a single case, so it should not be read as a finding about NexGen's marketing quality.</w:t>
      </w:r>
    </w:p>
    <w:p>
      <w:pPr>
        <w:pStyle w:val="Heading3"/>
      </w:pPr>
      <w:r>
        <w:rPr>
          <w:rFonts w:ascii="Calibri" w:cs="Calibri" w:eastAsia="Calibri" w:hAnsi="Calibri"/>
        </w:rPr>
        <w:t xml:space="preserve">Chart notes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Comparison Value (Revenue):</w:t>
      </w:r>
      <w:r>
        <w:rPr>
          <w:rFonts w:ascii="Calibri" w:cs="Calibri" w:eastAsia="Calibri" w:hAnsi="Calibri"/>
        </w:rPr>
        <w:t xml:space="preserve"> all five bars ≈3.0bn; revenue is evenly distributed and no single company dominates the total. Next: add share-of-spend beside share-of-revenue.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Total Campaigns:</w:t>
      </w:r>
      <w:r>
        <w:rPr>
          <w:rFonts w:ascii="Calibri" w:cs="Calibri" w:eastAsia="Calibri" w:hAnsi="Calibri"/>
        </w:rPr>
        <w:t xml:space="preserve"> the truncated axis suggests a gap that is really ~1.3%. Next: fix the axis and test whether revenue per campaign (≈$75K) differs by company.</w:t>
      </w:r>
    </w:p>
    <w:p>
      <w:pPr>
        <w:pStyle w:val="Heading1"/>
      </w:pPr>
      <w:r>
        <w:rPr>
          <w:rFonts w:ascii="Calibri" w:cs="Calibri" w:eastAsia="Calibri" w:hAnsi="Calibri"/>
        </w:rPr>
        <w:t xml:space="preserve">D. Channel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200"/>
        <w:gridCol w:w="1400"/>
        <w:gridCol w:w="1300"/>
        <w:gridCol w:w="1300"/>
        <w:gridCol w:w="1300"/>
      </w:tblGrid>
      <w:tr>
        <w:trPr>
          <w:tblHeader/>
        </w:trPr>
        <w:tc>
          <w:tcPr>
            <w:tcW w:type="dxa" w:w="156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Channel</w:t>
            </w:r>
          </w:p>
        </w:tc>
        <w:tc>
          <w:tcPr>
            <w:tcW w:type="dxa" w:w="13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Spend</w:t>
            </w:r>
          </w:p>
        </w:tc>
        <w:tc>
          <w:tcPr>
            <w:tcW w:type="dxa" w:w="12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Clicks</w:t>
            </w:r>
          </w:p>
        </w:tc>
        <w:tc>
          <w:tcPr>
            <w:tcW w:type="dxa" w:w="14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Impressions</w:t>
            </w:r>
          </w:p>
        </w:tc>
        <w:tc>
          <w:tcPr>
            <w:tcW w:type="dxa" w:w="13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CTR*</w:t>
            </w:r>
          </w:p>
        </w:tc>
        <w:tc>
          <w:tcPr>
            <w:tcW w:type="dxa" w:w="13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CPC*</w:t>
            </w:r>
          </w:p>
        </w:tc>
        <w:tc>
          <w:tcPr>
            <w:tcW w:type="dxa" w:w="13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Avg ROI</w:t>
            </w:r>
          </w:p>
        </w:tc>
      </w:tr>
      <w:tr>
        <w:tc>
          <w:tcPr>
            <w:tcW w:type="dxa" w:w="15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Email</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$420.9M</w:t>
            </w:r>
          </w:p>
        </w:tc>
        <w:tc>
          <w:tcPr>
            <w:tcW w:type="dxa" w:w="12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18.49M</w:t>
            </w:r>
          </w:p>
        </w:tc>
        <w:tc>
          <w:tcPr>
            <w:tcW w:type="dxa" w:w="14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184.8M</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10.01%</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$22.76</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499.6%</w:t>
            </w:r>
          </w:p>
        </w:tc>
      </w:tr>
      <w:tr>
        <w:tc>
          <w:tcPr>
            <w:tcW w:type="dxa" w:w="15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Facebook</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$410.6M</w:t>
            </w:r>
          </w:p>
        </w:tc>
        <w:tc>
          <w:tcPr>
            <w:tcW w:type="dxa" w:w="12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18.04M</w:t>
            </w:r>
          </w:p>
        </w:tc>
        <w:tc>
          <w:tcPr>
            <w:tcW w:type="dxa" w:w="14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180.7M</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9.98%</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$22.76</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501.9%</w:t>
            </w:r>
          </w:p>
        </w:tc>
      </w:tr>
      <w:tr>
        <w:tc>
          <w:tcPr>
            <w:tcW w:type="dxa" w:w="15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Google Ads</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$418.9M</w:t>
            </w:r>
          </w:p>
        </w:tc>
        <w:tc>
          <w:tcPr>
            <w:tcW w:type="dxa" w:w="12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18.34M</w:t>
            </w:r>
          </w:p>
        </w:tc>
        <w:tc>
          <w:tcPr>
            <w:tcW w:type="dxa" w:w="14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185.0M</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9.91%</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$22.84</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500.3%</w:t>
            </w:r>
          </w:p>
        </w:tc>
      </w:tr>
      <w:tr>
        <w:tc>
          <w:tcPr>
            <w:tcW w:type="dxa" w:w="15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Instagram</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$417.1M</w:t>
            </w:r>
          </w:p>
        </w:tc>
        <w:tc>
          <w:tcPr>
            <w:tcW w:type="dxa" w:w="12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18.32M</w:t>
            </w:r>
          </w:p>
        </w:tc>
        <w:tc>
          <w:tcPr>
            <w:tcW w:type="dxa" w:w="14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183.7M</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9.97%</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$22.77</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498.9%</w:t>
            </w:r>
          </w:p>
        </w:tc>
      </w:tr>
      <w:tr>
        <w:tc>
          <w:tcPr>
            <w:tcW w:type="dxa" w:w="15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Website</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$416.6M</w:t>
            </w:r>
          </w:p>
        </w:tc>
        <w:tc>
          <w:tcPr>
            <w:tcW w:type="dxa" w:w="12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18.41M</w:t>
            </w:r>
          </w:p>
        </w:tc>
        <w:tc>
          <w:tcPr>
            <w:tcW w:type="dxa" w:w="14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183.8M</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10.02%</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$22.62</w:t>
            </w:r>
          </w:p>
        </w:tc>
        <w:tc>
          <w:tcPr>
            <w:tcW w:type="dxa" w:w="13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501.4%</w:t>
            </w:r>
          </w:p>
        </w:tc>
      </w:tr>
      <w:tr>
        <w:tc>
          <w:tcPr>
            <w:tcW w:type="dxa" w:w="15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YouTube</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$416.8M</w:t>
            </w:r>
          </w:p>
        </w:tc>
        <w:tc>
          <w:tcPr>
            <w:tcW w:type="dxa" w:w="12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18.35M</w:t>
            </w:r>
          </w:p>
        </w:tc>
        <w:tc>
          <w:tcPr>
            <w:tcW w:type="dxa" w:w="14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183.4M</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10.00%</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$22.71</w:t>
            </w:r>
          </w:p>
        </w:tc>
        <w:tc>
          <w:tcPr>
            <w:tcW w:type="dxa" w:w="13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499.4%</w:t>
            </w:r>
          </w:p>
        </w:tc>
      </w:tr>
    </w:tbl>
    <w:p>
      <w:pPr>
        <w:spacing w:after="120"/>
      </w:pPr>
    </w:p>
    <w:p>
      <w:pPr>
        <w:spacing w:after="120" w:line="276"/>
      </w:pPr>
      <w:r>
        <w:rPr>
          <w:rFonts w:ascii="Calibri" w:cs="Calibri" w:eastAsia="Calibri" w:hAnsi="Calibri"/>
          <w:i/>
          <w:iCs/>
          <w:sz w:val="18"/>
          <w:szCs w:val="18"/>
        </w:rPr>
        <w:t xml:space="preserve">*CTR and CPC derived from the Overview channel table. ROI as shown (total 500.2%).</w:t>
      </w:r>
    </w:p>
    <w:p>
      <w:pPr>
        <w:pStyle w:val="Heading3"/>
      </w:pPr>
      <w:r>
        <w:rPr>
          <w:rFonts w:ascii="Calibri" w:cs="Calibri" w:eastAsia="Calibri" w:hAnsi="Calibri"/>
        </w:rPr>
        <w:t xml:space="preserve">Patterns</w:t>
      </w:r>
    </w:p>
    <w:p>
      <w:pPr>
        <w:pStyle w:val="ListParagraph"/>
        <w:numPr>
          <w:ilvl w:val="0"/>
          <w:numId w:val="3"/>
        </w:numPr>
        <w:spacing w:after="60" w:line="264"/>
      </w:pPr>
      <w:r>
        <w:rPr>
          <w:rFonts w:ascii="Calibri" w:cs="Calibri" w:eastAsia="Calibri" w:hAnsi="Calibri"/>
        </w:rPr>
        <w:t xml:space="preserve"/>
      </w:r>
      <w:r>
        <w:rPr>
          <w:rFonts w:ascii="Calibri" w:cs="Calibri" w:eastAsia="Calibri" w:hAnsi="Calibri"/>
          <w:b/>
          <w:bCs/>
        </w:rPr>
        <w:t xml:space="preserve">Spend and clicks scale together.</w:t>
      </w:r>
      <w:r>
        <w:rPr>
          <w:rFonts w:ascii="Calibri" w:cs="Calibri" w:eastAsia="Calibri" w:hAnsi="Calibri"/>
        </w:rPr>
        <w:t xml:space="preserve"> Cost per click is almost constant (22.62–22.84), so channels with more spend deliver proportionally more clicks. Facebook has the lowest spend (410.6M) and the fewest clicks (18.04M).</w:t>
      </w:r>
    </w:p>
    <w:p>
      <w:pPr>
        <w:pStyle w:val="ListParagraph"/>
        <w:numPr>
          <w:ilvl w:val="0"/>
          <w:numId w:val="3"/>
        </w:numPr>
        <w:spacing w:after="60" w:line="264"/>
      </w:pPr>
      <w:r>
        <w:rPr>
          <w:rFonts w:ascii="Calibri" w:cs="Calibri" w:eastAsia="Calibri" w:hAnsi="Calibri"/>
        </w:rPr>
        <w:t xml:space="preserve"/>
      </w:r>
      <w:r>
        <w:rPr>
          <w:rFonts w:ascii="Calibri" w:cs="Calibri" w:eastAsia="Calibri" w:hAnsi="Calibri"/>
          <w:b/>
          <w:bCs/>
        </w:rPr>
        <w:t xml:space="preserve">Engagement is nearly uniform.</w:t>
      </w:r>
      <w:r>
        <w:rPr>
          <w:rFonts w:ascii="Calibri" w:cs="Calibri" w:eastAsia="Calibri" w:hAnsi="Calibri"/>
        </w:rPr>
        <w:t xml:space="preserve"> Click volumes differ by about 2.5% from lowest to highest, and CTR runs 9.91–10.02%. Google Ads has the lowest CTR (9.91%); Website and Email have the highest (about 10.0%). The gaps are tiny.</w:t>
      </w:r>
    </w:p>
    <w:p>
      <w:pPr>
        <w:pStyle w:val="ListParagraph"/>
        <w:numPr>
          <w:ilvl w:val="0"/>
          <w:numId w:val="3"/>
        </w:numPr>
        <w:spacing w:after="60" w:line="264"/>
      </w:pPr>
      <w:r>
        <w:rPr>
          <w:rFonts w:ascii="Calibri" w:cs="Calibri" w:eastAsia="Calibri" w:hAnsi="Calibri"/>
        </w:rPr>
        <w:t xml:space="preserve"/>
      </w:r>
      <w:r>
        <w:rPr>
          <w:rFonts w:ascii="Calibri" w:cs="Calibri" w:eastAsia="Calibri" w:hAnsi="Calibri"/>
          <w:b/>
          <w:bCs/>
        </w:rPr>
        <w:t xml:space="preserve">ROI differs modestly</w:t>
      </w:r>
      <w:r>
        <w:rPr>
          <w:rFonts w:ascii="Calibri" w:cs="Calibri" w:eastAsia="Calibri" w:hAnsi="Calibri"/>
        </w:rPr>
        <w:t xml:space="preserve"> (498.9–501.9%, a 3.0-point or ~0.6% spread). Facebook shows the highest ROI (501.9%) at the lowest spend, and Website the next highest (501.4%) at the second-lowest spend. Across the six channels, higher spend is loosely associated with lower ROI (rank correlation about −0.54). With only six points this is not statistically meaningful and does not show that spending more lowers ROI.</w:t>
      </w:r>
    </w:p>
    <w:p>
      <w:pPr>
        <w:pStyle w:val="ListParagraph"/>
        <w:numPr>
          <w:ilvl w:val="0"/>
          <w:numId w:val="3"/>
        </w:numPr>
        <w:spacing w:after="60" w:line="264"/>
      </w:pPr>
      <w:r>
        <w:rPr>
          <w:rFonts w:ascii="Calibri" w:cs="Calibri" w:eastAsia="Calibri" w:hAnsi="Calibri"/>
        </w:rPr>
        <w:t xml:space="preserve"/>
      </w:r>
      <w:r>
        <w:rPr>
          <w:rFonts w:ascii="Calibri" w:cs="Calibri" w:eastAsia="Calibri" w:hAnsi="Calibri"/>
          <w:b/>
          <w:bCs/>
        </w:rPr>
        <w:t xml:space="preserve">Not determinable:</w:t>
      </w:r>
      <w:r>
        <w:rPr>
          <w:rFonts w:ascii="Calibri" w:cs="Calibri" w:eastAsia="Calibri" w:hAnsi="Calibri"/>
        </w:rPr>
        <w:t xml:space="preserve"> conversions, conversion rate, cost per conversion and revenue by channel are not shown, so the question "many clicks but weak conversions?" cannot be answered from the dashboard.</w:t>
      </w:r>
    </w:p>
    <w:p>
      <w:pPr>
        <w:spacing w:after="120" w:line="276"/>
      </w:pPr>
      <w:r>
        <w:rPr>
          <w:rFonts w:ascii="Calibri" w:cs="Calibri" w:eastAsia="Calibri" w:hAnsi="Calibri"/>
        </w:rPr>
        <w:t xml:space="preserve">This is a flat channel profile: no channel stands out as high-click/low-efficiency or the reverse in the visible metrics.</w:t>
      </w:r>
    </w:p>
    <w:p>
      <w:pPr>
        <w:pStyle w:val="Heading3"/>
      </w:pPr>
      <w:r>
        <w:rPr>
          <w:rFonts w:ascii="Calibri" w:cs="Calibri" w:eastAsia="Calibri" w:hAnsi="Calibri"/>
        </w:rPr>
        <w:t xml:space="preserve">Chart notes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Total Clicks by Channel:</w:t>
      </w:r>
      <w:r>
        <w:rPr>
          <w:rFonts w:ascii="Calibri" w:cs="Calibri" w:eastAsia="Calibri" w:hAnsi="Calibri"/>
        </w:rPr>
        <w:t xml:space="preserve"> all bars 18.0–18.5M; clicks are evenly distributed and the visual offers little decision value as is. Next: add conversion rate and cost per conversion by channel.</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Impressions by Language:</w:t>
      </w:r>
      <w:r>
        <w:rPr>
          <w:rFonts w:ascii="Calibri" w:cs="Calibri" w:eastAsia="Calibri" w:hAnsi="Calibri"/>
        </w:rPr>
        <w:t xml:space="preserve"> five slices of 19.8–20.2% (218.4M–222.3M) across Mandarin, German, Spanish, English and French; allocation looks balanced by design. Next: check whether conversions differ by language, since reach is flat.</w:t>
      </w:r>
    </w:p>
    <w:p>
      <w:pPr>
        <w:pStyle w:val="Heading1"/>
      </w:pPr>
      <w:r>
        <w:rPr>
          <w:rFonts w:ascii="Calibri" w:cs="Calibri" w:eastAsia="Calibri" w:hAnsi="Calibri"/>
        </w:rPr>
        <w:t xml:space="preserve">E. Campaign Type Analysis</w:t>
      </w:r>
    </w:p>
    <w:p>
      <w:pPr>
        <w:spacing w:after="120" w:line="276"/>
      </w:pPr>
      <w:r>
        <w:rPr>
          <w:rFonts w:ascii="Calibri" w:cs="Calibri" w:eastAsia="Calibri" w:hAnsi="Calibri"/>
        </w:rPr>
        <w:t xml:space="preserve"/>
      </w:r>
      <w:r>
        <w:rPr>
          <w:rFonts w:ascii="Calibri" w:cs="Calibri" w:eastAsia="Calibri" w:hAnsi="Calibri"/>
          <w:b/>
          <w:bCs/>
        </w:rPr>
        <w:t xml:space="preserve">Cannot be determined from the dashboard.</w:t>
      </w:r>
      <w:r>
        <w:rPr>
          <w:rFonts w:ascii="Calibri" w:cs="Calibri" w:eastAsia="Calibri" w:hAnsi="Calibri"/>
        </w:rPr>
        <w:t xml:space="preserve"> Campaign_Type appears only as a slicer on the Company Performance page, and no visual shows Display, Email, Influencer, Search or Social Media results. These types are not described here without data.</w:t>
      </w:r>
    </w:p>
    <w:p>
      <w:pPr>
        <w:spacing w:after="120" w:line="276"/>
      </w:pPr>
      <w:r>
        <w:rPr>
          <w:rFonts w:ascii="Calibri" w:cs="Calibri" w:eastAsia="Calibri" w:hAnsi="Calibri"/>
        </w:rPr>
        <w:t xml:space="preserve"/>
      </w:r>
      <w:r>
        <w:rPr>
          <w:rFonts w:ascii="Calibri" w:cs="Calibri" w:eastAsia="Calibri" w:hAnsi="Calibri"/>
          <w:b/>
          <w:bCs/>
        </w:rPr>
        <w:t xml:space="preserve">Update:</w:t>
      </w:r>
      <w:r>
        <w:rPr>
          <w:rFonts w:ascii="Calibri" w:cs="Calibri" w:eastAsia="Calibri" w:hAnsi="Calibri"/>
        </w:rPr>
        <w:t xml:space="preserve"> the data model now visibly includes a Dim_CompaignType table, so the data exists. It is simply not shown in any visual yet.</w:t>
      </w:r>
    </w:p>
    <w:p>
      <w:pPr>
        <w:spacing w:after="120" w:line="276"/>
      </w:pPr>
      <w:r>
        <w:rPr>
          <w:rFonts w:ascii="Calibri" w:cs="Calibri" w:eastAsia="Calibri" w:hAnsi="Calibri"/>
        </w:rPr>
        <w:t xml:space="preserve">Recommended structure once data is available, per type: Observed pattern, Supporting metrics, Business implication. Metrics: spend, revenue, ROI, CTR, conversion rate, cost per conversion.</w:t>
      </w:r>
    </w:p>
    <w:p>
      <w:pPr>
        <w:pStyle w:val="Heading1"/>
      </w:pPr>
      <w:r>
        <w:rPr>
          <w:rFonts w:ascii="Calibri" w:cs="Calibri" w:eastAsia="Calibri" w:hAnsi="Calibri"/>
        </w:rPr>
        <w:t xml:space="preserve">F. 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Segment</w:t>
            </w:r>
          </w:p>
        </w:tc>
        <w:tc>
          <w:tcPr>
            <w:tcW w:type="dxa" w:w="436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Total conversions</w:t>
            </w:r>
          </w:p>
        </w:tc>
      </w:tr>
      <w:tr>
        <w:tc>
          <w:tcPr>
            <w:tcW w:type="dxa" w:w="50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Foodies</w:t>
            </w:r>
          </w:p>
        </w:tc>
        <w:tc>
          <w:tcPr>
            <w:tcW w:type="dxa" w:w="43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1.77M</w:t>
            </w:r>
          </w:p>
        </w:tc>
      </w:tr>
      <w:tr>
        <w:tc>
          <w:tcPr>
            <w:tcW w:type="dxa" w:w="50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Outdoor Adventurers</w:t>
            </w:r>
          </w:p>
        </w:tc>
        <w:tc>
          <w:tcPr>
            <w:tcW w:type="dxa" w:w="43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1.77M</w:t>
            </w:r>
          </w:p>
        </w:tc>
      </w:tr>
      <w:tr>
        <w:tc>
          <w:tcPr>
            <w:tcW w:type="dxa" w:w="50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Tech Enthusiasts</w:t>
            </w:r>
          </w:p>
        </w:tc>
        <w:tc>
          <w:tcPr>
            <w:tcW w:type="dxa" w:w="43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1.76M</w:t>
            </w:r>
          </w:p>
        </w:tc>
      </w:tr>
      <w:tr>
        <w:tc>
          <w:tcPr>
            <w:tcW w:type="dxa" w:w="500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Health &amp; Wellness</w:t>
            </w:r>
          </w:p>
        </w:tc>
        <w:tc>
          <w:tcPr>
            <w:tcW w:type="dxa" w:w="436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1.75M</w:t>
            </w:r>
          </w:p>
        </w:tc>
      </w:tr>
      <w:tr>
        <w:tc>
          <w:tcPr>
            <w:tcW w:type="dxa" w:w="500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Fashionistas</w:t>
            </w:r>
          </w:p>
        </w:tc>
        <w:tc>
          <w:tcPr>
            <w:tcW w:type="dxa" w:w="436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1.74M</w:t>
            </w:r>
          </w:p>
        </w:tc>
      </w:tr>
    </w:tbl>
    <w:p>
      <w:pPr>
        <w:spacing w:after="120"/>
      </w:pP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Conversions:</w:t>
      </w:r>
      <w:r>
        <w:rPr>
          <w:rFonts w:ascii="Calibri" w:cs="Calibri" w:eastAsia="Calibri" w:hAnsi="Calibri"/>
        </w:rPr>
        <w:t xml:space="preserve"> the range is 1.74M–1.77M, a 1.7% spread.</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Engagement by language (updated donut):</w:t>
      </w:r>
      <w:r>
        <w:rPr>
          <w:rFonts w:ascii="Calibri" w:cs="Calibri" w:eastAsia="Calibri" w:hAnsi="Calibri"/>
        </w:rPr>
        <w:t xml:space="preserve"> 217K–222K per language (19.79–20.17% of 1.10M), a 2.3% spread. The slice-to-language mapping is not reliably readable at screenshot resolution. The previous segment-level engagement donut was replaced, so segment engagement is no longer charted.</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Row-level view:</w:t>
      </w:r>
      <w:r>
        <w:rPr>
          <w:rFonts w:ascii="Calibri" w:cs="Calibri" w:eastAsia="Calibri" w:hAnsi="Calibri"/>
        </w:rPr>
        <w:t xml:space="preserve"> comparing the "All Ages" row, Foodies shows 44,386 engagement vs 43,246 for Fashionistas (+2.6%), and 356,906 conversions vs 345,016 (+3.4%). Only part of the 25-row table is visible, so this cannot be generalized.</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Target audience clicks:</w:t>
      </w:r>
      <w:r>
        <w:rPr>
          <w:rFonts w:ascii="Calibri" w:cs="Calibri" w:eastAsia="Calibri" w:hAnsi="Calibri"/>
        </w:rPr>
        <w:t xml:space="preserve"> Men 18–24 and Women 25–34 each have 22.1M, Men 25–34 and All Ages have 22.0M, and Women 35–44 has 21.8M (about a 1.4% gap).</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Location:</w:t>
      </w:r>
      <w:r>
        <w:rPr>
          <w:rFonts w:ascii="Calibri" w:cs="Calibri" w:eastAsia="Calibri" w:hAnsi="Calibri"/>
        </w:rPr>
        <w:t xml:space="preserve"> not displayed, so it cannot be determined.</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Revenue by segment or audience:</w:t>
      </w:r>
      <w:r>
        <w:rPr>
          <w:rFonts w:ascii="Calibri" w:cs="Calibri" w:eastAsia="Calibri" w:hAnsi="Calibri"/>
        </w:rPr>
        <w:t xml:space="preserve"> not displayed, so it cannot be determined.</w:t>
      </w:r>
    </w:p>
    <w:p>
      <w:pPr>
        <w:spacing w:after="120" w:line="276"/>
      </w:pPr>
      <w:r>
        <w:rPr>
          <w:rFonts w:ascii="Calibri" w:cs="Calibri" w:eastAsia="Calibri" w:hAnsi="Calibri"/>
        </w:rPr>
        <w:t xml:space="preserve"/>
      </w:r>
      <w:r>
        <w:rPr>
          <w:rFonts w:ascii="Calibri" w:cs="Calibri" w:eastAsia="Calibri" w:hAnsi="Calibri"/>
          <w:b/>
          <w:bCs/>
        </w:rPr>
        <w:t xml:space="preserve">Interpretation:</w:t>
      </w:r>
      <w:r>
        <w:rPr>
          <w:rFonts w:ascii="Calibri" w:cs="Calibri" w:eastAsia="Calibri" w:hAnsi="Calibri"/>
        </w:rPr>
        <w:t xml:space="preserve"> the data suggests segments and audiences respond very similarly. Given the engagement-to-conversion lockstep (A7), segment "engagement" should not be treated as independent evidence of preference.</w:t>
      </w:r>
    </w:p>
    <w:p>
      <w:pPr>
        <w:pStyle w:val="Heading3"/>
      </w:pPr>
      <w:r>
        <w:rPr>
          <w:rFonts w:ascii="Calibri" w:cs="Calibri" w:eastAsia="Calibri" w:hAnsi="Calibri"/>
        </w:rPr>
        <w:t xml:space="preserve">Chart notes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Total Conversions by Segment:</w:t>
      </w:r>
      <w:r>
        <w:rPr>
          <w:rFonts w:ascii="Calibri" w:cs="Calibri" w:eastAsia="Calibri" w:hAnsi="Calibri"/>
        </w:rPr>
        <w:t xml:space="preserve"> almost identical bars; response is even, so there is little basis for re-prioritizing segments yet. Next: add conversion rate and revenue per segment.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Total Clicks by Target Audience:</w:t>
      </w:r>
      <w:r>
        <w:rPr>
          <w:rFonts w:ascii="Calibri" w:cs="Calibri" w:eastAsia="Calibri" w:hAnsi="Calibri"/>
        </w:rPr>
        <w:t xml:space="preserve"> a 1.4% spread; reach is balanced. Next: check whether Women 35–44's slightly lower clicks persist across months.</w:t>
      </w:r>
    </w:p>
    <w:p>
      <w:pPr>
        <w:pStyle w:val="Heading1"/>
      </w:pPr>
      <w:r>
        <w:rPr>
          <w:rFonts w:ascii="Calibri" w:cs="Calibri" w:eastAsia="Calibri" w:hAnsi="Calibri"/>
        </w:rPr>
        <w:t xml:space="preserve">G. Key Business Insights</w:t>
      </w:r>
    </w:p>
    <w:p>
      <w:pPr>
        <w:pStyle w:val="Heading3"/>
      </w:pPr>
      <w:r>
        <w:rPr>
          <w:rFonts w:ascii="Calibri" w:cs="Calibri" w:eastAsia="Calibri" w:hAnsi="Calibri"/>
        </w:rPr>
        <w:t xml:space="preserve">1. Performance is highly uniform across most dimensions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Channels, companies, segments, audiences and languages usually differ by less than 3%.</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CTR 9.91–10.02%, ROI 499.1–500.7%, cost per conversion $283–$286, segment conversions 1.74–1.77M.</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Differences may fall within normal variation; ranking on them risks over-reading noise.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Test for statistical significance before shifting budget, and check whether the data is synthetic.</w:t>
      </w:r>
    </w:p>
    <w:p>
      <w:pPr>
        <w:pStyle w:val="Heading3"/>
      </w:pPr>
      <w:r>
        <w:rPr>
          <w:rFonts w:ascii="Calibri" w:cs="Calibri" w:eastAsia="Calibri" w:hAnsi="Calibri"/>
        </w:rPr>
        <w:t xml:space="preserve">2. Spend and revenue are consistent at the aggregate level</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About $6.01 of revenue per $1 spent; revenue per conversion (≈$1,706) is ≈6× cost per conversion (≈$284).</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Totals on the Overview and Company Performance pages.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The unit economics hang together. This is a pattern, not proof that spend caused revenue.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Break the ratio down by month and campaign type.</w:t>
      </w:r>
    </w:p>
    <w:p>
      <w:pPr>
        <w:pStyle w:val="Heading3"/>
      </w:pPr>
      <w:r>
        <w:rPr>
          <w:rFonts w:ascii="Calibri" w:cs="Calibri" w:eastAsia="Calibri" w:hAnsi="Calibri"/>
        </w:rPr>
        <w:t xml:space="preserve">3. Channel clicks scale with spend</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Cost per click is almost constant (22.62–22.84).</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Overview channel table.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Within this period, more spend bought proportionally more clicks, with no visible diminishing returns across channels.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Test at campaign level whether higher-spend campaigns show diminishing returns.</w:t>
      </w:r>
    </w:p>
    <w:p>
      <w:pPr>
        <w:pStyle w:val="Heading3"/>
      </w:pPr>
      <w:r>
        <w:rPr>
          <w:rFonts w:ascii="Calibri" w:cs="Calibri" w:eastAsia="Calibri" w:hAnsi="Calibri"/>
        </w:rPr>
        <w:t xml:space="preserve">4. Monthly spend is flat but impressions fluctuate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Spend bars are nearly equal while the impressions line moves.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Overview combo chart.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Reach per dollar varies by month, and spend does not explain it.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Compare monthly CPM, CTR and campaign mix.</w:t>
      </w:r>
    </w:p>
    <w:p>
      <w:pPr>
        <w:pStyle w:val="Heading3"/>
      </w:pPr>
      <w:r>
        <w:rPr>
          <w:rFonts w:ascii="Calibri" w:cs="Calibri" w:eastAsia="Calibri" w:hAnsi="Calibri"/>
        </w:rPr>
        <w:t xml:space="preserve">5. Company revenue is balanced</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Each company contributes ≈3.0bn (~20%), with campaign counts within ~1.3%.</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Comparison Value and Total Campaigns charts.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Revenue per campaign looks similar across companies (~$75K).</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Compare revenue per campaign and spend share precisely.</w:t>
      </w:r>
    </w:p>
    <w:p>
      <w:pPr>
        <w:pStyle w:val="Heading3"/>
      </w:pPr>
      <w:r>
        <w:rPr>
          <w:rFonts w:ascii="Calibri" w:cs="Calibri" w:eastAsia="Calibri" w:hAnsi="Calibri"/>
        </w:rPr>
        <w:t xml:space="preserve">6. NexGen Systems has slightly lower ROI and slightly higher cost per conversion</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ROI 499.1% (lowest) and $286 per conversion (highest).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Avg ROI and Cost per Conversion charts.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The two coincide, but the gaps are about 0.3% and 1%, which is small.</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Check campaign-level data before drawing any conclusion.</w:t>
      </w:r>
    </w:p>
    <w:p>
      <w:pPr>
        <w:pStyle w:val="Heading3"/>
      </w:pPr>
      <w:r>
        <w:rPr>
          <w:rFonts w:ascii="Calibri" w:cs="Calibri" w:eastAsia="Calibri" w:hAnsi="Calibri"/>
        </w:rPr>
        <w:t xml:space="preserve">7. Facebook has the lowest spend and clicks, and the highest ROI</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410.6M spend, 18.04M clicks and ROI 501.9%.</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Overview channel table.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The ROI edge over the other channels is 0.5–3.0 points (at most ~0.6%), which is small.</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Confirm with channel-level conversions and revenue before any budget discussion.</w:t>
      </w:r>
    </w:p>
    <w:p>
      <w:pPr>
        <w:pStyle w:val="Heading3"/>
      </w:pPr>
      <w:r>
        <w:rPr>
          <w:rFonts w:ascii="Calibri" w:cs="Calibri" w:eastAsia="Calibri" w:hAnsi="Calibri"/>
        </w:rPr>
        <w:t xml:space="preserve">8. Foodies and Outdoor Adventurers show slightly higher conversions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1.77M vs 1.74M for Fashionistas.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Total Conversions by Segment.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The gap is 1.7%, so segment response is similar.</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Measure conversion rate and revenue per segment.</w:t>
      </w:r>
    </w:p>
    <w:p>
      <w:pPr>
        <w:pStyle w:val="Heading3"/>
      </w:pPr>
      <w:r>
        <w:rPr>
          <w:rFonts w:ascii="Calibri" w:cs="Calibri" w:eastAsia="Calibri" w:hAnsi="Calibri"/>
        </w:rPr>
        <w:t xml:space="preserve">9. Engagement and conversions move in lockstep</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Conversions ≈ 8.0 × engagement in every table row.</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Customer Insights table.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The two may not be independent measures.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Confirm how both are defined in the data model.</w:t>
      </w:r>
    </w:p>
    <w:p>
      <w:pPr>
        <w:pStyle w:val="Heading3"/>
      </w:pPr>
      <w:r>
        <w:rPr>
          <w:rFonts w:ascii="Calibri" w:cs="Calibri" w:eastAsia="Calibri" w:hAnsi="Calibri"/>
        </w:rPr>
        <w:t xml:space="preserve">10. Reach is evenly distributed across audiences and languages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Observation:</w:t>
      </w:r>
      <w:r>
        <w:rPr>
          <w:rFonts w:ascii="Calibri" w:cs="Calibri" w:eastAsia="Calibri" w:hAnsi="Calibri"/>
        </w:rPr>
        <w:t xml:space="preserve"> Language shares of impressions 19.8–20.2%, engagement by language 19.79–20.17%, and audience clicks within 1.4%.</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Evidence:</w:t>
      </w:r>
      <w:r>
        <w:rPr>
          <w:rFonts w:ascii="Calibri" w:cs="Calibri" w:eastAsia="Calibri" w:hAnsi="Calibri"/>
        </w:rPr>
        <w:t xml:space="preserve"> Impressions-by-language pie, engagement-by-language donut and clicks-by-audience chart.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Business meaning:</w:t>
      </w:r>
      <w:r>
        <w:rPr>
          <w:rFonts w:ascii="Calibri" w:cs="Calibri" w:eastAsia="Calibri" w:hAnsi="Calibri"/>
        </w:rPr>
        <w:t xml:space="preserve"> The allocation looks balanced, with no tilt toward a particular market.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Potential action:</w:t>
      </w:r>
      <w:r>
        <w:rPr>
          <w:rFonts w:ascii="Calibri" w:cs="Calibri" w:eastAsia="Calibri" w:hAnsi="Calibri"/>
        </w:rPr>
        <w:t xml:space="preserve"> Test conversions and revenue per language and audience, because reach alone does not show effectiveness.</w:t>
      </w:r>
    </w:p>
    <w:p>
      <w:pPr>
        <w:pStyle w:val="Heading1"/>
      </w:pPr>
      <w:r>
        <w:rPr>
          <w:rFonts w:ascii="Calibri" w:cs="Calibri" w:eastAsia="Calibri" w:hAnsi="Calibri"/>
        </w:rPr>
        <w:t xml:space="preserve">H. Executive Summary</w:t>
      </w:r>
    </w:p>
    <w:p>
      <w:pPr>
        <w:spacing w:after="120" w:line="276"/>
      </w:pPr>
      <w:r>
        <w:rPr>
          <w:rFonts w:ascii="Calibri" w:cs="Calibri" w:eastAsia="Calibri" w:hAnsi="Calibri"/>
        </w:rPr>
        <w:t xml:space="preserve"/>
      </w:r>
      <w:r>
        <w:rPr>
          <w:rFonts w:ascii="Calibri" w:cs="Calibri" w:eastAsia="Calibri" w:hAnsi="Calibri"/>
          <w:b/>
          <w:bCs/>
        </w:rPr>
        <w:t xml:space="preserve">Overall performance:</w:t>
      </w:r>
      <w:r>
        <w:rPr>
          <w:rFonts w:ascii="Calibri" w:cs="Calibri" w:eastAsia="Calibri" w:hAnsi="Calibri"/>
        </w:rPr>
        <w:t xml:space="preserve"> across 200K campaigns, the company group generated $15.02bn in revenue on $2.50bn of acquisition cost (≈$6.01 per $1, ROI ≈500%). CTR is 9.98% and conversion rate is about 8%.</w:t>
      </w:r>
    </w:p>
    <w:p>
      <w:pPr>
        <w:spacing w:after="120" w:line="276"/>
      </w:pPr>
      <w:r>
        <w:rPr>
          <w:rFonts w:ascii="Calibri" w:cs="Calibri" w:eastAsia="Calibri" w:hAnsi="Calibri"/>
        </w:rPr>
        <w:t xml:space="preserve"/>
      </w:r>
      <w:r>
        <w:rPr>
          <w:rFonts w:ascii="Calibri" w:cs="Calibri" w:eastAsia="Calibri" w:hAnsi="Calibri"/>
          <w:b/>
          <w:bCs/>
        </w:rPr>
        <w:t xml:space="preserve">Revenue:</w:t>
      </w:r>
      <w:r>
        <w:rPr>
          <w:rFonts w:ascii="Calibri" w:cs="Calibri" w:eastAsia="Calibri" w:hAnsi="Calibri"/>
        </w:rPr>
        <w:t xml:space="preserve"> the monthly pattern looks broadly flat, and the five companies contribute about equally (≈3.0bn each).</w:t>
      </w:r>
    </w:p>
    <w:p>
      <w:pPr>
        <w:spacing w:after="120" w:line="276"/>
      </w:pPr>
      <w:r>
        <w:rPr>
          <w:rFonts w:ascii="Calibri" w:cs="Calibri" w:eastAsia="Calibri" w:hAnsi="Calibri"/>
        </w:rPr>
        <w:t xml:space="preserve"/>
      </w:r>
      <w:r>
        <w:rPr>
          <w:rFonts w:ascii="Calibri" w:cs="Calibri" w:eastAsia="Calibri" w:hAnsi="Calibri"/>
          <w:b/>
          <w:bCs/>
        </w:rPr>
        <w:t xml:space="preserve">Marketing spend:</w:t>
      </w:r>
      <w:r>
        <w:rPr>
          <w:rFonts w:ascii="Calibri" w:cs="Calibri" w:eastAsia="Calibri" w:hAnsi="Calibri"/>
        </w:rPr>
        <w:t xml:space="preserve"> monthly spend appears steady and channel spend ranges $410.6M–$420.9M. Cost per click is near-constant at about $22.7.</w:t>
      </w:r>
    </w:p>
    <w:p>
      <w:pPr>
        <w:spacing w:after="120" w:line="276"/>
      </w:pPr>
      <w:r>
        <w:rPr>
          <w:rFonts w:ascii="Calibri" w:cs="Calibri" w:eastAsia="Calibri" w:hAnsi="Calibri"/>
        </w:rPr>
        <w:t xml:space="preserve"/>
      </w:r>
      <w:r>
        <w:rPr>
          <w:rFonts w:ascii="Calibri" w:cs="Calibri" w:eastAsia="Calibri" w:hAnsi="Calibri"/>
          <w:b/>
          <w:bCs/>
        </w:rPr>
        <w:t xml:space="preserve">ROI:</w:t>
      </w:r>
      <w:r>
        <w:rPr>
          <w:rFonts w:ascii="Calibri" w:cs="Calibri" w:eastAsia="Calibri" w:hAnsi="Calibri"/>
        </w:rPr>
        <w:t xml:space="preserve"> company ROI sits in a narrow 499.1–500.7% band, and channel ROI in 498.9–501.9%. Month-level ROI is not visible.</w:t>
      </w:r>
    </w:p>
    <w:p>
      <w:pPr>
        <w:spacing w:after="120" w:line="276"/>
      </w:pPr>
      <w:r>
        <w:rPr>
          <w:rFonts w:ascii="Calibri" w:cs="Calibri" w:eastAsia="Calibri" w:hAnsi="Calibri"/>
        </w:rPr>
        <w:t xml:space="preserve"/>
      </w:r>
      <w:r>
        <w:rPr>
          <w:rFonts w:ascii="Calibri" w:cs="Calibri" w:eastAsia="Calibri" w:hAnsi="Calibri"/>
          <w:b/>
          <w:bCs/>
        </w:rPr>
        <w:t xml:space="preserve">Customer/channel behavior:</w:t>
      </w:r>
      <w:r>
        <w:rPr>
          <w:rFonts w:ascii="Calibri" w:cs="Calibri" w:eastAsia="Calibri" w:hAnsi="Calibri"/>
        </w:rPr>
        <w:t xml:space="preserve"> clicks, CTR and conversions are very evenly spread across channels, segments, audiences and languages (typically within 1–3%).</w:t>
      </w:r>
    </w:p>
    <w:p>
      <w:pPr>
        <w:spacing w:after="120" w:line="276"/>
      </w:pPr>
      <w:r>
        <w:rPr>
          <w:rFonts w:ascii="Calibri" w:cs="Calibri" w:eastAsia="Calibri" w:hAnsi="Calibri"/>
        </w:rPr>
        <w:t xml:space="preserve"/>
      </w:r>
      <w:r>
        <w:rPr>
          <w:rFonts w:ascii="Calibri" w:cs="Calibri" w:eastAsia="Calibri" w:hAnsi="Calibri"/>
          <w:b/>
          <w:bCs/>
        </w:rPr>
        <w:t xml:space="preserve">Areas to investigate:</w:t>
      </w:r>
      <w:r>
        <w:rPr>
          <w:rFonts w:ascii="Calibri" w:cs="Calibri" w:eastAsia="Calibri" w:hAnsi="Calibri"/>
        </w:rPr>
        <w:t xml:space="preserve"> campaign type results, channel conversions and revenue, monthly fluctuation in impressions, the definition of engagement, and the data-quality issues in Section A.</w:t>
      </w:r>
    </w:p>
    <w:p>
      <w:pPr>
        <w:pStyle w:val="Heading1"/>
      </w:pPr>
      <w:r>
        <w:rPr>
          <w:rFonts w:ascii="Calibri" w:cs="Calibri" w:eastAsia="Calibri" w:hAnsi="Calibri"/>
        </w:rPr>
        <w:t xml:space="preserve">I. Final Business Report</w:t>
      </w:r>
    </w:p>
    <w:p>
      <w:pPr>
        <w:pStyle w:val="Heading2"/>
      </w:pPr>
      <w:r>
        <w:rPr>
          <w:rFonts w:ascii="Calibri" w:cs="Calibri" w:eastAsia="Calibri" w:hAnsi="Calibri"/>
        </w:rPr>
        <w:t xml:space="preserve">1. Executive Summary</w:t>
      </w:r>
    </w:p>
    <w:p>
      <w:pPr>
        <w:spacing w:after="120" w:line="276"/>
      </w:pPr>
      <w:r>
        <w:rPr>
          <w:rFonts w:ascii="Calibri" w:cs="Calibri" w:eastAsia="Calibri" w:hAnsi="Calibri"/>
        </w:rPr>
        <w:t xml:space="preserve">See Section H.</w:t>
      </w:r>
    </w:p>
    <w:p>
      <w:pPr>
        <w:pStyle w:val="Heading2"/>
      </w:pPr>
      <w:r>
        <w:rPr>
          <w:rFonts w:ascii="Calibri" w:cs="Calibri" w:eastAsia="Calibri" w:hAnsi="Calibri"/>
        </w:rPr>
        <w:t xml:space="preserve">2. Business Objective</w:t>
      </w:r>
    </w:p>
    <w:p>
      <w:pPr>
        <w:spacing w:after="120" w:line="276"/>
      </w:pPr>
      <w:r>
        <w:rPr>
          <w:rFonts w:ascii="Calibri" w:cs="Calibri" w:eastAsia="Calibri" w:hAnsi="Calibri"/>
        </w:rPr>
        <w:t xml:space="preserve">To turn the dashboard into an understanding of how spend, reach, conversion and revenue relate across time, companies, channels and customers, and to identify where management should look further. The analysis does not aim to name winners or losers.</w:t>
      </w:r>
    </w:p>
    <w:p>
      <w:pPr>
        <w:pStyle w:val="Heading2"/>
      </w:pPr>
      <w:r>
        <w:rPr>
          <w:rFonts w:ascii="Calibri" w:cs="Calibri" w:eastAsia="Calibri" w:hAnsi="Calibri"/>
        </w:rPr>
        <w:t xml:space="preserve">3. Dataset Overview</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Scope:</w:t>
      </w:r>
      <w:r>
        <w:rPr>
          <w:rFonts w:ascii="Calibri" w:cs="Calibri" w:eastAsia="Calibri" w:hAnsi="Calibri"/>
        </w:rPr>
        <w:t xml:space="preserve"> about 200K campaigns, reported across three dashboard pages.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Dimensions:</w:t>
      </w:r>
      <w:r>
        <w:rPr>
          <w:rFonts w:ascii="Calibri" w:cs="Calibri" w:eastAsia="Calibri" w:hAnsi="Calibri"/>
        </w:rPr>
        <w:t xml:space="preserve"> Month (Jan–Dec; year not shown), Company, Channel_Used, Campaign_Type, Customer_Segment, Target_Audience, Language, and Location (referenced in the brief but not visible).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KPIs:</w:t>
      </w:r>
      <w:r>
        <w:rPr>
          <w:rFonts w:ascii="Calibri" w:cs="Calibri" w:eastAsia="Calibri" w:hAnsi="Calibri"/>
        </w:rPr>
        <w:t xml:space="preserve"> revenue, acquisition cost, ROI, CTR, clicks, impressions, conversions, conversion rate, cost per conversion, engagement.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Companies:</w:t>
      </w:r>
      <w:r>
        <w:rPr>
          <w:rFonts w:ascii="Calibri" w:cs="Calibri" w:eastAsia="Calibri" w:hAnsi="Calibri"/>
        </w:rPr>
        <w:t xml:space="preserve"> Alpha Innovations, DataTech Solutions, Innovate Industries, NexGen Systems, TechCorp.</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Channels:</w:t>
      </w:r>
      <w:r>
        <w:rPr>
          <w:rFonts w:ascii="Calibri" w:cs="Calibri" w:eastAsia="Calibri" w:hAnsi="Calibri"/>
        </w:rPr>
        <w:t xml:space="preserve"> Email, Facebook, Google Ads, Instagram, Website, YouTube.</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Campaign types:</w:t>
      </w:r>
      <w:r>
        <w:rPr>
          <w:rFonts w:ascii="Calibri" w:cs="Calibri" w:eastAsia="Calibri" w:hAnsi="Calibri"/>
        </w:rPr>
        <w:t xml:space="preserve"> a Dim_CompaignType table exists in the model, but no visual shows results by type, so performance by type cannot be determined.</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Segments:</w:t>
      </w:r>
      <w:r>
        <w:rPr>
          <w:rFonts w:ascii="Calibri" w:cs="Calibri" w:eastAsia="Calibri" w:hAnsi="Calibri"/>
        </w:rPr>
        <w:t xml:space="preserve"> Foodies, Outdoor Adventurers, Tech Enthusiasts, Health &amp; Wellness, Fashionistas.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Audiences:</w:t>
      </w:r>
      <w:r>
        <w:rPr>
          <w:rFonts w:ascii="Calibri" w:cs="Calibri" w:eastAsia="Calibri" w:hAnsi="Calibri"/>
        </w:rPr>
        <w:t xml:space="preserve"> Men 18–24, Men 25–34, Women 25–34, Women 35–44, All Ages.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Data model:</w:t>
      </w:r>
      <w:r>
        <w:rPr>
          <w:rFonts w:ascii="Calibri" w:cs="Calibri" w:eastAsia="Calibri" w:hAnsi="Calibri"/>
        </w:rPr>
        <w:t xml:space="preserve"> dimension tables for Channel, CompaignType, Company, CustomerSegment, Language, Location and TargetAudience, plus DateTable, a metric-selector table and a marketing fact table.</w:t>
      </w:r>
    </w:p>
    <w:p>
      <w:pPr>
        <w:pStyle w:val="Heading2"/>
      </w:pPr>
      <w:r>
        <w:rPr>
          <w:rFonts w:ascii="Calibri" w:cs="Calibri" w:eastAsia="Calibri" w:hAnsi="Calibri"/>
        </w:rPr>
        <w:t xml:space="preserve">4. KPI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KPI</w:t>
            </w:r>
          </w:p>
        </w:tc>
        <w:tc>
          <w:tcPr>
            <w:tcW w:type="dxa" w:w="4680"/>
            <w:tcBorders>
              <w:top w:val="single" w:color="B7C9D9" w:sz="4"/>
              <w:left w:val="single" w:color="B7C9D9" w:sz="4"/>
              <w:bottom w:val="single" w:color="B7C9D9" w:sz="4"/>
              <w:right w:val="single" w:color="B7C9D9" w:sz="4"/>
            </w:tcBorders>
            <w:shd w:fill="1E6B3A" w:val="clear"/>
            <w:tcMar>
              <w:top w:type="dxa" w:w="60"/>
              <w:left w:type="dxa" w:w="90"/>
              <w:bottom w:type="dxa" w:w="60"/>
              <w:right w:type="dxa" w:w="90"/>
            </w:tcMar>
          </w:tcPr>
          <w:p>
            <w:r>
              <w:rPr>
                <w:rFonts w:ascii="Calibri" w:cs="Calibri" w:eastAsia="Calibri" w:hAnsi="Calibri"/>
                <w:b/>
                <w:bCs/>
                <w:color w:val="FFFFFF"/>
                <w:sz w:val="19"/>
                <w:szCs w:val="19"/>
              </w:rPr>
              <w:t xml:space="preserve">Value</w:t>
            </w:r>
          </w:p>
        </w:tc>
      </w:tr>
      <w:tr>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Total revenue</w:t>
            </w:r>
          </w:p>
        </w:tc>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$15.02bn</w:t>
            </w:r>
          </w:p>
        </w:tc>
      </w:tr>
      <w:tr>
        <w:tc>
          <w:tcPr>
            <w:tcW w:type="dxa" w:w="468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Total acquisition cost</w:t>
            </w:r>
          </w:p>
        </w:tc>
        <w:tc>
          <w:tcPr>
            <w:tcW w:type="dxa" w:w="468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$2.50bn (≈$2,500.9M)</w:t>
            </w:r>
          </w:p>
        </w:tc>
      </w:tr>
      <w:tr>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Average ROI</w:t>
            </w:r>
          </w:p>
        </w:tc>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500.2% (aggregate ≈500.6%)</w:t>
            </w:r>
          </w:p>
        </w:tc>
      </w:tr>
      <w:tr>
        <w:tc>
          <w:tcPr>
            <w:tcW w:type="dxa" w:w="468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CTR</w:t>
            </w:r>
          </w:p>
        </w:tc>
        <w:tc>
          <w:tcPr>
            <w:tcW w:type="dxa" w:w="468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9.98%</w:t>
            </w:r>
          </w:p>
        </w:tc>
      </w:tr>
      <w:tr>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Conversion rate</w:t>
            </w:r>
          </w:p>
        </w:tc>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8.01%</w:t>
            </w:r>
          </w:p>
        </w:tc>
      </w:tr>
      <w:tr>
        <w:tc>
          <w:tcPr>
            <w:tcW w:type="dxa" w:w="468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Total clicks</w:t>
            </w:r>
          </w:p>
        </w:tc>
        <w:tc>
          <w:tcPr>
            <w:tcW w:type="dxa" w:w="468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110.0M</w:t>
            </w:r>
          </w:p>
        </w:tc>
      </w:tr>
      <w:tr>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Total impressions</w:t>
            </w:r>
          </w:p>
        </w:tc>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1.10bn</w:t>
            </w:r>
          </w:p>
        </w:tc>
      </w:tr>
      <w:tr>
        <w:tc>
          <w:tcPr>
            <w:tcW w:type="dxa" w:w="468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Total conversions</w:t>
            </w:r>
          </w:p>
        </w:tc>
        <w:tc>
          <w:tcPr>
            <w:tcW w:type="dxa" w:w="4680"/>
            <w:tcBorders>
              <w:top w:val="single" w:color="B7C9D9" w:sz="4"/>
              <w:left w:val="single" w:color="B7C9D9" w:sz="4"/>
              <w:bottom w:val="single" w:color="B7C9D9" w:sz="4"/>
              <w:right w:val="single" w:color="B7C9D9" w:sz="4"/>
            </w:tcBorders>
            <w:shd w:fill="F6FAFD"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8.80M</w:t>
            </w:r>
          </w:p>
        </w:tc>
      </w:tr>
      <w:tr>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Cost per conversion</w:t>
            </w:r>
          </w:p>
        </w:tc>
        <w:tc>
          <w:tcPr>
            <w:tcW w:type="dxa" w:w="4680"/>
            <w:tcBorders>
              <w:top w:val="single" w:color="B7C9D9" w:sz="4"/>
              <w:left w:val="single" w:color="B7C9D9" w:sz="4"/>
              <w:bottom w:val="single" w:color="B7C9D9" w:sz="4"/>
              <w:right w:val="single" w:color="B7C9D9" w:sz="4"/>
            </w:tcBorders>
            <w:shd w:fill="FFFFFF" w:val="clear"/>
            <w:tcMar>
              <w:top w:type="dxa" w:w="60"/>
              <w:left w:type="dxa" w:w="90"/>
              <w:bottom w:type="dxa" w:w="60"/>
              <w:right w:type="dxa" w:w="90"/>
            </w:tcMar>
          </w:tcPr>
          <w:p>
            <w:r>
              <w:rPr>
                <w:rFonts w:ascii="Calibri" w:cs="Calibri" w:eastAsia="Calibri" w:hAnsi="Calibri"/>
                <w:b w:val="false"/>
                <w:bCs w:val="false"/>
                <w:color w:val="222222"/>
                <w:sz w:val="19"/>
                <w:szCs w:val="19"/>
              </w:rPr>
              <w:t xml:space="preserve">≈$284</w:t>
            </w:r>
          </w:p>
        </w:tc>
      </w:tr>
    </w:tbl>
    <w:p>
      <w:pPr>
        <w:spacing w:after="120"/>
      </w:pPr>
    </w:p>
    <w:p>
      <w:pPr>
        <w:pStyle w:val="Heading2"/>
      </w:pPr>
      <w:r>
        <w:rPr>
          <w:rFonts w:ascii="Calibri" w:cs="Calibri" w:eastAsia="Calibri" w:hAnsi="Calibri"/>
        </w:rPr>
        <w:t xml:space="preserve">5. Time Trend Analysis</w:t>
      </w:r>
    </w:p>
    <w:p>
      <w:pPr>
        <w:spacing w:after="120" w:line="276"/>
      </w:pPr>
      <w:r>
        <w:rPr>
          <w:rFonts w:ascii="Calibri" w:cs="Calibri" w:eastAsia="Calibri" w:hAnsi="Calibri"/>
        </w:rPr>
        <w:t xml:space="preserve">Revenue and spend look broadly flat month to month, and impressions fluctuate more visibly. Monthly ROI and conversion trends cannot be determined from the current visuals (see Section B).</w:t>
      </w:r>
    </w:p>
    <w:p>
      <w:pPr>
        <w:pStyle w:val="Heading2"/>
      </w:pPr>
      <w:r>
        <w:rPr>
          <w:rFonts w:ascii="Calibri" w:cs="Calibri" w:eastAsia="Calibri" w:hAnsi="Calibri"/>
        </w:rPr>
        <w:t xml:space="preserve">6. Company Performance Analysis</w:t>
      </w:r>
    </w:p>
    <w:p>
      <w:pPr>
        <w:spacing w:after="120" w:line="276"/>
      </w:pPr>
      <w:r>
        <w:rPr>
          <w:rFonts w:ascii="Calibri" w:cs="Calibri" w:eastAsia="Calibri" w:hAnsi="Calibri"/>
        </w:rPr>
        <w:t xml:space="preserve">Revenue ≈3.0bn per company, ROI 499.1–500.7%, cost per conversion $283–$286, campaigns about 39.7K–40.2K each (see Section C). Differences are small.</w:t>
      </w:r>
    </w:p>
    <w:p>
      <w:pPr>
        <w:pStyle w:val="Heading2"/>
      </w:pPr>
      <w:r>
        <w:rPr>
          <w:rFonts w:ascii="Calibri" w:cs="Calibri" w:eastAsia="Calibri" w:hAnsi="Calibri"/>
        </w:rPr>
        <w:t xml:space="preserve">7. Channel Analysis</w:t>
      </w:r>
    </w:p>
    <w:p>
      <w:pPr>
        <w:spacing w:after="120" w:line="276"/>
      </w:pPr>
      <w:r>
        <w:rPr>
          <w:rFonts w:ascii="Calibri" w:cs="Calibri" w:eastAsia="Calibri" w:hAnsi="Calibri"/>
        </w:rPr>
        <w:t xml:space="preserve">CTR 9.91–10.02%, CPC $22.62–$22.84, spend $410.6M–$420.9M, ROI 498.9–501.9%. Conversions, revenue and cost per conversion by channel cannot be determined (see Section D).</w:t>
      </w:r>
    </w:p>
    <w:p>
      <w:pPr>
        <w:pStyle w:val="Heading2"/>
      </w:pPr>
      <w:r>
        <w:rPr>
          <w:rFonts w:ascii="Calibri" w:cs="Calibri" w:eastAsia="Calibri" w:hAnsi="Calibri"/>
        </w:rPr>
        <w:t xml:space="preserve">8. Campaign Type Analysis</w:t>
      </w:r>
    </w:p>
    <w:p>
      <w:pPr>
        <w:spacing w:after="120" w:line="276"/>
      </w:pPr>
      <w:r>
        <w:rPr>
          <w:rFonts w:ascii="Calibri" w:cs="Calibri" w:eastAsia="Calibri" w:hAnsi="Calibri"/>
        </w:rPr>
        <w:t xml:space="preserve">Cannot be determined from the visuals (see Section E).</w:t>
      </w:r>
    </w:p>
    <w:p>
      <w:pPr>
        <w:pStyle w:val="Heading2"/>
      </w:pPr>
      <w:r>
        <w:rPr>
          <w:rFonts w:ascii="Calibri" w:cs="Calibri" w:eastAsia="Calibri" w:hAnsi="Calibri"/>
        </w:rPr>
        <w:t xml:space="preserve">9. Customer Insights</w:t>
      </w:r>
    </w:p>
    <w:p>
      <w:pPr>
        <w:spacing w:after="120" w:line="276"/>
      </w:pPr>
      <w:r>
        <w:rPr>
          <w:rFonts w:ascii="Calibri" w:cs="Calibri" w:eastAsia="Calibri" w:hAnsi="Calibri"/>
        </w:rPr>
        <w:t xml:space="preserve">Segment conversions 1.74–1.77M, audience clicks 21.8–22.1M, language shares 19.8–20.2% (see Section F).</w:t>
      </w:r>
    </w:p>
    <w:p>
      <w:pPr>
        <w:pStyle w:val="Heading2"/>
      </w:pPr>
      <w:r>
        <w:rPr>
          <w:rFonts w:ascii="Calibri" w:cs="Calibri" w:eastAsia="Calibri" w:hAnsi="Calibri"/>
        </w:rPr>
        <w:t xml:space="preserve">10. Key Trends &amp; Patterns</w:t>
      </w:r>
    </w:p>
    <w:p>
      <w:pPr>
        <w:spacing w:after="120" w:line="276"/>
      </w:pPr>
      <w:r>
        <w:rPr>
          <w:rFonts w:ascii="Calibri" w:cs="Calibri" w:eastAsia="Calibri" w:hAnsi="Calibri"/>
        </w:rPr>
        <w:t xml:space="preserve">See Section G, insights 1–10.</w:t>
      </w:r>
    </w:p>
    <w:p>
      <w:pPr>
        <w:pStyle w:val="Heading2"/>
      </w:pPr>
      <w:r>
        <w:rPr>
          <w:rFonts w:ascii="Calibri" w:cs="Calibri" w:eastAsia="Calibri" w:hAnsi="Calibri"/>
        </w:rPr>
        <w:t xml:space="preserve">11. Business Insights</w:t>
      </w:r>
    </w:p>
    <w:p>
      <w:pPr>
        <w:spacing w:after="120" w:line="276"/>
      </w:pPr>
      <w:r>
        <w:rPr>
          <w:rFonts w:ascii="Calibri" w:cs="Calibri" w:eastAsia="Calibri" w:hAnsi="Calibri"/>
        </w:rPr>
        <w:t xml:space="preserve">Section G, each with a potential action.</w:t>
      </w:r>
    </w:p>
    <w:p>
      <w:pPr>
        <w:pStyle w:val="Heading2"/>
      </w:pPr>
      <w:r>
        <w:rPr>
          <w:rFonts w:ascii="Calibri" w:cs="Calibri" w:eastAsia="Calibri" w:hAnsi="Calibri"/>
        </w:rPr>
        <w:t xml:space="preserve">12. Data Quality Findings</w:t>
      </w:r>
    </w:p>
    <w:p>
      <w:pPr>
        <w:spacing w:after="120" w:line="276"/>
      </w:pPr>
      <w:r>
        <w:rPr>
          <w:rFonts w:ascii="Calibri" w:cs="Calibri" w:eastAsia="Calibri" w:hAnsi="Calibri"/>
        </w:rPr>
        <w:t xml:space="preserve">Section A. The ROI formatting issue (5.00 vs 500.2%) has been fixed in the dashboard. Still open: decimal conversions, the engagement definition, the truncated axis and the pie of a ratio.</w:t>
      </w:r>
    </w:p>
    <w:p>
      <w:pPr>
        <w:pStyle w:val="Heading2"/>
      </w:pPr>
      <w:r>
        <w:rPr>
          <w:rFonts w:ascii="Calibri" w:cs="Calibri" w:eastAsia="Calibri" w:hAnsi="Calibri"/>
        </w:rPr>
        <w:t xml:space="preserve">13. Conclusion</w:t>
      </w:r>
    </w:p>
    <w:p>
      <w:pPr>
        <w:spacing w:after="120" w:line="276"/>
      </w:pPr>
      <w:r>
        <w:rPr>
          <w:rFonts w:ascii="Calibri" w:cs="Calibri" w:eastAsia="Calibri" w:hAnsi="Calibri"/>
        </w:rPr>
        <w:t xml:space="preserve">The dashboard shows consistent aggregate economics and very even performance across most dimensions. That evenness limits what can be concluded about relative performance, and several analyses (campaign type, channel conversions, month-level ROI) need extra data views. The findings are patterns, not proof of cause.</w:t>
      </w:r>
    </w:p>
    <w:p>
      <w:pPr>
        <w:pStyle w:val="Heading1"/>
      </w:pPr>
      <w:r>
        <w:rPr>
          <w:rFonts w:ascii="Calibri" w:cs="Calibri" w:eastAsia="Calibri" w:hAnsi="Calibri"/>
        </w:rPr>
        <w:t xml:space="preserve">J. Presentation Content (10 Slides)</w:t>
      </w:r>
    </w:p>
    <w:p>
      <w:pPr>
        <w:pBdr>
          <w:left w:val="single" w:color="1E6B3A" w:sz="18" w:space="6"/>
        </w:pBdr>
        <w:shd w:fill="E8F1FA" w:val="clear"/>
        <w:spacing w:after="160" w:before="60"/>
        <w:ind w:left="120"/>
      </w:pPr>
      <w:r>
        <w:rPr>
          <w:rFonts w:ascii="Calibri" w:cs="Calibri" w:eastAsia="Calibri" w:hAnsi="Calibri"/>
          <w:i/>
          <w:iCs/>
        </w:rPr>
        <w:t xml:space="preserve">Style: white background, dark green headers (#1E6B3A), light blue panels (#E8F1FA), dark gray text.</w:t>
      </w:r>
    </w:p>
    <w:p>
      <w:pPr>
        <w:pStyle w:val="Heading3"/>
      </w:pPr>
      <w:r>
        <w:rPr>
          <w:rFonts w:ascii="Calibri" w:cs="Calibri" w:eastAsia="Calibri" w:hAnsi="Calibri"/>
        </w:rPr>
        <w:t xml:space="preserve">Slide 1: Title</w:t>
      </w:r>
    </w:p>
    <w:p>
      <w:pPr>
        <w:pStyle w:val="ListParagraph"/>
        <w:numPr>
          <w:ilvl w:val="0"/>
          <w:numId w:val="2"/>
        </w:numPr>
        <w:spacing w:after="60" w:line="264"/>
      </w:pPr>
      <w:r>
        <w:rPr>
          <w:rFonts w:ascii="Calibri" w:cs="Calibri" w:eastAsia="Calibri" w:hAnsi="Calibri"/>
        </w:rPr>
        <w:t xml:space="preserve">Marketing Campaign Performance Analysis</w:t>
      </w:r>
    </w:p>
    <w:p>
      <w:pPr>
        <w:pStyle w:val="ListParagraph"/>
        <w:numPr>
          <w:ilvl w:val="0"/>
          <w:numId w:val="2"/>
        </w:numPr>
        <w:spacing w:after="60" w:line="264"/>
      </w:pPr>
      <w:r>
        <w:rPr>
          <w:rFonts w:ascii="Calibri" w:cs="Calibri" w:eastAsia="Calibri" w:hAnsi="Calibri"/>
        </w:rPr>
        <w:t xml:space="preserve">Subtitle: Business Intelligence &amp; Data Analytics Report</w:t>
      </w:r>
    </w:p>
    <w:p>
      <w:pPr>
        <w:pStyle w:val="Heading3"/>
      </w:pPr>
      <w:r>
        <w:rPr>
          <w:rFonts w:ascii="Calibri" w:cs="Calibri" w:eastAsia="Calibri" w:hAnsi="Calibri"/>
        </w:rPr>
        <w:t xml:space="preserve">Slide 2: Business Objective</w:t>
      </w:r>
    </w:p>
    <w:p>
      <w:pPr>
        <w:pStyle w:val="ListParagraph"/>
        <w:numPr>
          <w:ilvl w:val="0"/>
          <w:numId w:val="2"/>
        </w:numPr>
        <w:spacing w:after="60" w:line="264"/>
      </w:pPr>
      <w:r>
        <w:rPr>
          <w:rFonts w:ascii="Calibri" w:cs="Calibri" w:eastAsia="Calibri" w:hAnsi="Calibri"/>
        </w:rPr>
        <w:t xml:space="preserve">Why: understand how spend, reach, conversion and revenue relate.</w:t>
      </w:r>
    </w:p>
    <w:p>
      <w:pPr>
        <w:pStyle w:val="ListParagraph"/>
        <w:numPr>
          <w:ilvl w:val="0"/>
          <w:numId w:val="2"/>
        </w:numPr>
        <w:spacing w:after="60" w:line="264"/>
      </w:pPr>
      <w:r>
        <w:rPr>
          <w:rFonts w:ascii="Calibri" w:cs="Calibri" w:eastAsia="Calibri" w:hAnsi="Calibri"/>
        </w:rPr>
        <w:t xml:space="preserve">Questions: how does performance change over time, and how do companies, channels and customers differ?</w:t>
      </w:r>
    </w:p>
    <w:p>
      <w:pPr>
        <w:pStyle w:val="ListParagraph"/>
        <w:numPr>
          <w:ilvl w:val="0"/>
          <w:numId w:val="2"/>
        </w:numPr>
        <w:spacing w:after="60" w:line="264"/>
      </w:pPr>
      <w:r>
        <w:rPr>
          <w:rFonts w:ascii="Calibri" w:cs="Calibri" w:eastAsia="Calibri" w:hAnsi="Calibri"/>
        </w:rPr>
        <w:t xml:space="preserve">KPIs: revenue, acquisition cost, ROI, CTR, conversion rate, cost per conversion.</w:t>
      </w:r>
    </w:p>
    <w:p>
      <w:pPr>
        <w:pStyle w:val="Heading3"/>
      </w:pPr>
      <w:r>
        <w:rPr>
          <w:rFonts w:ascii="Calibri" w:cs="Calibri" w:eastAsia="Calibri" w:hAnsi="Calibri"/>
        </w:rPr>
        <w:t xml:space="preserve">Slide 3: Executive KPI Overview</w:t>
      </w:r>
    </w:p>
    <w:p>
      <w:pPr>
        <w:pStyle w:val="ListParagraph"/>
        <w:numPr>
          <w:ilvl w:val="0"/>
          <w:numId w:val="2"/>
        </w:numPr>
        <w:spacing w:after="60" w:line="264"/>
      </w:pPr>
      <w:r>
        <w:rPr>
          <w:rFonts w:ascii="Calibri" w:cs="Calibri" w:eastAsia="Calibri" w:hAnsi="Calibri"/>
        </w:rPr>
        <w:t xml:space="preserve">Revenue $15.02bn: total across all campaigns.</w:t>
      </w:r>
    </w:p>
    <w:p>
      <w:pPr>
        <w:pStyle w:val="ListParagraph"/>
        <w:numPr>
          <w:ilvl w:val="0"/>
          <w:numId w:val="2"/>
        </w:numPr>
        <w:spacing w:after="60" w:line="264"/>
      </w:pPr>
      <w:r>
        <w:rPr>
          <w:rFonts w:ascii="Calibri" w:cs="Calibri" w:eastAsia="Calibri" w:hAnsi="Calibri"/>
        </w:rPr>
        <w:t xml:space="preserve">Acquisition Cost $2.50bn: roughly $12.5K per campaign.</w:t>
      </w:r>
    </w:p>
    <w:p>
      <w:pPr>
        <w:pStyle w:val="ListParagraph"/>
        <w:numPr>
          <w:ilvl w:val="0"/>
          <w:numId w:val="2"/>
        </w:numPr>
        <w:spacing w:after="60" w:line="264"/>
      </w:pPr>
      <w:r>
        <w:rPr>
          <w:rFonts w:ascii="Calibri" w:cs="Calibri" w:eastAsia="Calibri" w:hAnsi="Calibri"/>
        </w:rPr>
        <w:t xml:space="preserve">ROI ≈500%: about $6.01 of revenue per $1 spent.</w:t>
      </w:r>
    </w:p>
    <w:p>
      <w:pPr>
        <w:pStyle w:val="ListParagraph"/>
        <w:numPr>
          <w:ilvl w:val="0"/>
          <w:numId w:val="2"/>
        </w:numPr>
        <w:spacing w:after="60" w:line="264"/>
      </w:pPr>
      <w:r>
        <w:rPr>
          <w:rFonts w:ascii="Calibri" w:cs="Calibri" w:eastAsia="Calibri" w:hAnsi="Calibri"/>
        </w:rPr>
        <w:t xml:space="preserve">CTR 9.98%: about 1 in 10 impressions becomes a click.</w:t>
      </w:r>
    </w:p>
    <w:p>
      <w:pPr>
        <w:pStyle w:val="ListParagraph"/>
        <w:numPr>
          <w:ilvl w:val="0"/>
          <w:numId w:val="2"/>
        </w:numPr>
        <w:spacing w:after="60" w:line="264"/>
      </w:pPr>
      <w:r>
        <w:rPr>
          <w:rFonts w:ascii="Calibri" w:cs="Calibri" w:eastAsia="Calibri" w:hAnsi="Calibri"/>
        </w:rPr>
        <w:t xml:space="preserve">Conversion rate ≈8%: about 8 in 100 clicks convert.</w:t>
      </w:r>
    </w:p>
    <w:p>
      <w:pPr>
        <w:pStyle w:val="Heading3"/>
      </w:pPr>
      <w:r>
        <w:rPr>
          <w:rFonts w:ascii="Calibri" w:cs="Calibri" w:eastAsia="Calibri" w:hAnsi="Calibri"/>
        </w:rPr>
        <w:t xml:space="preserve">Slide 4: Marketing Performance Trends</w:t>
      </w:r>
    </w:p>
    <w:p>
      <w:pPr>
        <w:pStyle w:val="ListParagraph"/>
        <w:numPr>
          <w:ilvl w:val="0"/>
          <w:numId w:val="2"/>
        </w:numPr>
        <w:spacing w:after="60" w:line="264"/>
      </w:pPr>
      <w:r>
        <w:rPr>
          <w:rFonts w:ascii="Calibri" w:cs="Calibri" w:eastAsia="Calibri" w:hAnsi="Calibri"/>
        </w:rPr>
        <w:t xml:space="preserve">Revenue and spend are broadly flat month to month.</w:t>
      </w:r>
    </w:p>
    <w:p>
      <w:pPr>
        <w:pStyle w:val="ListParagraph"/>
        <w:numPr>
          <w:ilvl w:val="0"/>
          <w:numId w:val="2"/>
        </w:numPr>
        <w:spacing w:after="60" w:line="264"/>
      </w:pPr>
      <w:r>
        <w:rPr>
          <w:rFonts w:ascii="Calibri" w:cs="Calibri" w:eastAsia="Calibri" w:hAnsi="Calibri"/>
        </w:rPr>
        <w:t xml:space="preserve">Impressions fluctuate while spend stays steady.</w:t>
      </w:r>
    </w:p>
    <w:p>
      <w:pPr>
        <w:pStyle w:val="ListParagraph"/>
        <w:numPr>
          <w:ilvl w:val="0"/>
          <w:numId w:val="2"/>
        </w:numPr>
        <w:spacing w:after="60" w:line="264"/>
      </w:pPr>
      <w:r>
        <w:rPr>
          <w:rFonts w:ascii="Calibri" w:cs="Calibri" w:eastAsia="Calibri" w:hAnsi="Calibri"/>
        </w:rPr>
        <w:t xml:space="preserve">Monthly ROI and conversion trends need further breakdown.</w:t>
      </w:r>
    </w:p>
    <w:p>
      <w:pPr>
        <w:pStyle w:val="Heading3"/>
      </w:pPr>
      <w:r>
        <w:rPr>
          <w:rFonts w:ascii="Calibri" w:cs="Calibri" w:eastAsia="Calibri" w:hAnsi="Calibri"/>
        </w:rPr>
        <w:t xml:space="preserve">Slide 5: Company Performance</w:t>
      </w:r>
    </w:p>
    <w:p>
      <w:pPr>
        <w:pStyle w:val="ListParagraph"/>
        <w:numPr>
          <w:ilvl w:val="0"/>
          <w:numId w:val="2"/>
        </w:numPr>
        <w:spacing w:after="60" w:line="264"/>
      </w:pPr>
      <w:r>
        <w:rPr>
          <w:rFonts w:ascii="Calibri" w:cs="Calibri" w:eastAsia="Calibri" w:hAnsi="Calibri"/>
        </w:rPr>
        <w:t xml:space="preserve">Side-by-side table: revenue ≈3.0bn each, ROI 499.1–500.7%, cost per conversion $283–$286, campaigns ≈40K each.</w:t>
      </w:r>
    </w:p>
    <w:p>
      <w:pPr>
        <w:pStyle w:val="ListParagraph"/>
        <w:numPr>
          <w:ilvl w:val="0"/>
          <w:numId w:val="2"/>
        </w:numPr>
        <w:spacing w:after="60" w:line="264"/>
      </w:pPr>
      <w:r>
        <w:rPr>
          <w:rFonts w:ascii="Calibri" w:cs="Calibri" w:eastAsia="Calibri" w:hAnsi="Calibri"/>
        </w:rPr>
        <w:t xml:space="preserve">Message: companies are very similar on every metric; differences are within about 1–2%.</w:t>
      </w:r>
    </w:p>
    <w:p>
      <w:pPr>
        <w:pStyle w:val="Heading3"/>
      </w:pPr>
      <w:r>
        <w:rPr>
          <w:rFonts w:ascii="Calibri" w:cs="Calibri" w:eastAsia="Calibri" w:hAnsi="Calibri"/>
        </w:rPr>
        <w:t xml:space="preserve">Slide 6: Channel Performance</w:t>
      </w:r>
    </w:p>
    <w:p>
      <w:pPr>
        <w:pStyle w:val="ListParagraph"/>
        <w:numPr>
          <w:ilvl w:val="0"/>
          <w:numId w:val="2"/>
        </w:numPr>
        <w:spacing w:after="60" w:line="264"/>
      </w:pPr>
      <w:r>
        <w:rPr>
          <w:rFonts w:ascii="Calibri" w:cs="Calibri" w:eastAsia="Calibri" w:hAnsi="Calibri"/>
        </w:rPr>
        <w:t xml:space="preserve">Clicks 18.0–18.5M, CTR 9.91–10.02%, CPC $22.62–$22.84, ROI 498.9–501.9%.</w:t>
      </w:r>
    </w:p>
    <w:p>
      <w:pPr>
        <w:pStyle w:val="ListParagraph"/>
        <w:numPr>
          <w:ilvl w:val="0"/>
          <w:numId w:val="2"/>
        </w:numPr>
        <w:spacing w:after="60" w:line="264"/>
      </w:pPr>
      <w:r>
        <w:rPr>
          <w:rFonts w:ascii="Calibri" w:cs="Calibri" w:eastAsia="Calibri" w:hAnsi="Calibri"/>
        </w:rPr>
        <w:t xml:space="preserve">Message: clicks scale with spend; channel conversions need further analysis.</w:t>
      </w:r>
    </w:p>
    <w:p>
      <w:pPr>
        <w:pStyle w:val="Heading3"/>
      </w:pPr>
      <w:r>
        <w:rPr>
          <w:rFonts w:ascii="Calibri" w:cs="Calibri" w:eastAsia="Calibri" w:hAnsi="Calibri"/>
        </w:rPr>
        <w:t xml:space="preserve">Slide 7: Campaign Type &amp; Customer Insights</w:t>
      </w:r>
    </w:p>
    <w:p>
      <w:pPr>
        <w:pStyle w:val="ListParagraph"/>
        <w:numPr>
          <w:ilvl w:val="0"/>
          <w:numId w:val="2"/>
        </w:numPr>
        <w:spacing w:after="60" w:line="264"/>
      </w:pPr>
      <w:r>
        <w:rPr>
          <w:rFonts w:ascii="Calibri" w:cs="Calibri" w:eastAsia="Calibri" w:hAnsi="Calibri"/>
        </w:rPr>
        <w:t xml:space="preserve">Campaign type: data is in the model (Dim_CompaignType) but not yet visualized.</w:t>
      </w:r>
    </w:p>
    <w:p>
      <w:pPr>
        <w:pStyle w:val="ListParagraph"/>
        <w:numPr>
          <w:ilvl w:val="0"/>
          <w:numId w:val="2"/>
        </w:numPr>
        <w:spacing w:after="60" w:line="264"/>
      </w:pPr>
      <w:r>
        <w:rPr>
          <w:rFonts w:ascii="Calibri" w:cs="Calibri" w:eastAsia="Calibri" w:hAnsi="Calibri"/>
        </w:rPr>
        <w:t xml:space="preserve">Segments: conversions 1.74–1.77M.</w:t>
      </w:r>
    </w:p>
    <w:p>
      <w:pPr>
        <w:pStyle w:val="ListParagraph"/>
        <w:numPr>
          <w:ilvl w:val="0"/>
          <w:numId w:val="2"/>
        </w:numPr>
        <w:spacing w:after="60" w:line="264"/>
      </w:pPr>
      <w:r>
        <w:rPr>
          <w:rFonts w:ascii="Calibri" w:cs="Calibri" w:eastAsia="Calibri" w:hAnsi="Calibri"/>
        </w:rPr>
        <w:t xml:space="preserve">Audiences: clicks 21.8–22.1M.</w:t>
      </w:r>
    </w:p>
    <w:p>
      <w:pPr>
        <w:pStyle w:val="ListParagraph"/>
        <w:numPr>
          <w:ilvl w:val="0"/>
          <w:numId w:val="2"/>
        </w:numPr>
        <w:spacing w:after="60" w:line="264"/>
      </w:pPr>
      <w:r>
        <w:rPr>
          <w:rFonts w:ascii="Calibri" w:cs="Calibri" w:eastAsia="Calibri" w:hAnsi="Calibri"/>
        </w:rPr>
        <w:t xml:space="preserve">Message: response is similar across groups.</w:t>
      </w:r>
    </w:p>
    <w:p>
      <w:pPr>
        <w:pStyle w:val="Heading3"/>
      </w:pPr>
      <w:r>
        <w:rPr>
          <w:rFonts w:ascii="Calibri" w:cs="Calibri" w:eastAsia="Calibri" w:hAnsi="Calibri"/>
        </w:rPr>
        <w:t xml:space="preserve">Slide 8: Key Business Insights (Finding, Evidence, Implication)</w:t>
      </w:r>
    </w:p>
    <w:p>
      <w:pPr>
        <w:pStyle w:val="ListParagraph"/>
        <w:numPr>
          <w:ilvl w:val="0"/>
          <w:numId w:val="2"/>
        </w:numPr>
        <w:spacing w:after="60" w:line="264"/>
      </w:pPr>
      <w:r>
        <w:rPr>
          <w:rFonts w:ascii="Calibri" w:cs="Calibri" w:eastAsia="Calibri" w:hAnsi="Calibri"/>
        </w:rPr>
        <w:t xml:space="preserve">Uniform performance: spreads of 1–3%, so differences may be noise.</w:t>
      </w:r>
    </w:p>
    <w:p>
      <w:pPr>
        <w:pStyle w:val="ListParagraph"/>
        <w:numPr>
          <w:ilvl w:val="0"/>
          <w:numId w:val="2"/>
        </w:numPr>
        <w:spacing w:after="60" w:line="264"/>
      </w:pPr>
      <w:r>
        <w:rPr>
          <w:rFonts w:ascii="Calibri" w:cs="Calibri" w:eastAsia="Calibri" w:hAnsi="Calibri"/>
        </w:rPr>
        <w:t xml:space="preserve">Healthy aggregate economics: $6.01 per $1; verify at campaign level.</w:t>
      </w:r>
    </w:p>
    <w:p>
      <w:pPr>
        <w:pStyle w:val="ListParagraph"/>
        <w:numPr>
          <w:ilvl w:val="0"/>
          <w:numId w:val="2"/>
        </w:numPr>
        <w:spacing w:after="60" w:line="264"/>
      </w:pPr>
      <w:r>
        <w:rPr>
          <w:rFonts w:ascii="Calibri" w:cs="Calibri" w:eastAsia="Calibri" w:hAnsi="Calibri"/>
        </w:rPr>
        <w:t xml:space="preserve">Clicks scale with spend: CPC constant; test for diminishing returns.</w:t>
      </w:r>
    </w:p>
    <w:p>
      <w:pPr>
        <w:pStyle w:val="ListParagraph"/>
        <w:numPr>
          <w:ilvl w:val="0"/>
          <w:numId w:val="2"/>
        </w:numPr>
        <w:spacing w:after="60" w:line="264"/>
      </w:pPr>
      <w:r>
        <w:rPr>
          <w:rFonts w:ascii="Calibri" w:cs="Calibri" w:eastAsia="Calibri" w:hAnsi="Calibri"/>
        </w:rPr>
        <w:t xml:space="preserve">Impressions fluctuate while spend is flat: combo chart; look at monthly mix.</w:t>
      </w:r>
    </w:p>
    <w:p>
      <w:pPr>
        <w:pStyle w:val="ListParagraph"/>
        <w:numPr>
          <w:ilvl w:val="0"/>
          <w:numId w:val="2"/>
        </w:numPr>
        <w:spacing w:after="60" w:line="264"/>
      </w:pPr>
      <w:r>
        <w:rPr>
          <w:rFonts w:ascii="Calibri" w:cs="Calibri" w:eastAsia="Calibri" w:hAnsi="Calibri"/>
        </w:rPr>
        <w:t xml:space="preserve">Engagement ≈ conversions ÷ 8: table rows; validate the definition.</w:t>
      </w:r>
    </w:p>
    <w:p>
      <w:pPr>
        <w:pStyle w:val="Heading3"/>
      </w:pPr>
      <w:r>
        <w:rPr>
          <w:rFonts w:ascii="Calibri" w:cs="Calibri" w:eastAsia="Calibri" w:hAnsi="Calibri"/>
        </w:rPr>
        <w:t xml:space="preserve">Slide 9: Areas for Further Investigation</w:t>
      </w:r>
    </w:p>
    <w:p>
      <w:pPr>
        <w:pStyle w:val="ListParagraph"/>
        <w:numPr>
          <w:ilvl w:val="0"/>
          <w:numId w:val="2"/>
        </w:numPr>
        <w:spacing w:after="60" w:line="264"/>
      </w:pPr>
      <w:r>
        <w:rPr>
          <w:rFonts w:ascii="Calibri" w:cs="Calibri" w:eastAsia="Calibri" w:hAnsi="Calibri"/>
        </w:rPr>
        <w:t xml:space="preserve">Campaign-type and location visuals (data already in the model); channel-level conversions and revenue; monthly impression swings.</w:t>
      </w:r>
    </w:p>
    <w:p>
      <w:pPr>
        <w:pStyle w:val="ListParagraph"/>
        <w:numPr>
          <w:ilvl w:val="0"/>
          <w:numId w:val="2"/>
        </w:numPr>
        <w:spacing w:after="60" w:line="264"/>
      </w:pPr>
      <w:r>
        <w:rPr>
          <w:rFonts w:ascii="Calibri" w:cs="Calibri" w:eastAsia="Calibri" w:hAnsi="Calibri"/>
        </w:rPr>
        <w:t xml:space="preserve">High-spend/low-return combinations; conversion funnel; engagement definition.</w:t>
      </w:r>
    </w:p>
    <w:p>
      <w:pPr>
        <w:pStyle w:val="ListParagraph"/>
        <w:numPr>
          <w:ilvl w:val="0"/>
          <w:numId w:val="2"/>
        </w:numPr>
        <w:spacing w:after="60" w:line="264"/>
      </w:pPr>
      <w:r>
        <w:rPr>
          <w:rFonts w:ascii="Calibri" w:cs="Calibri" w:eastAsia="Calibri" w:hAnsi="Calibri"/>
        </w:rPr>
        <w:t xml:space="preserve">Statistical significance of the small differences.</w:t>
      </w:r>
    </w:p>
    <w:p>
      <w:pPr>
        <w:pStyle w:val="Heading3"/>
      </w:pPr>
      <w:r>
        <w:rPr>
          <w:rFonts w:ascii="Calibri" w:cs="Calibri" w:eastAsia="Calibri" w:hAnsi="Calibri"/>
        </w:rPr>
        <w:t xml:space="preserve">Slide 10: Conclusion</w:t>
      </w:r>
    </w:p>
    <w:p>
      <w:pPr>
        <w:pStyle w:val="ListParagraph"/>
        <w:numPr>
          <w:ilvl w:val="0"/>
          <w:numId w:val="2"/>
        </w:numPr>
        <w:spacing w:after="60" w:line="264"/>
      </w:pPr>
      <w:r>
        <w:rPr>
          <w:rFonts w:ascii="Calibri" w:cs="Calibri" w:eastAsia="Calibri" w:hAnsi="Calibri"/>
        </w:rPr>
        <w:t xml:space="preserve">Overall: consistent economics with ≈500% ROI.</w:t>
      </w:r>
    </w:p>
    <w:p>
      <w:pPr>
        <w:pStyle w:val="ListParagraph"/>
        <w:numPr>
          <w:ilvl w:val="0"/>
          <w:numId w:val="2"/>
        </w:numPr>
        <w:spacing w:after="60" w:line="264"/>
      </w:pPr>
      <w:r>
        <w:rPr>
          <w:rFonts w:ascii="Calibri" w:cs="Calibri" w:eastAsia="Calibri" w:hAnsi="Calibri"/>
        </w:rPr>
        <w:t xml:space="preserve">Main trend: stability. Main difference: company and channel gaps are small.</w:t>
      </w:r>
    </w:p>
    <w:p>
      <w:pPr>
        <w:pStyle w:val="ListParagraph"/>
        <w:numPr>
          <w:ilvl w:val="0"/>
          <w:numId w:val="2"/>
        </w:numPr>
        <w:spacing w:after="60" w:line="264"/>
      </w:pPr>
      <w:r>
        <w:rPr>
          <w:rFonts w:ascii="Calibri" w:cs="Calibri" w:eastAsia="Calibri" w:hAnsi="Calibri"/>
        </w:rPr>
        <w:t xml:space="preserve">Further investigation needed on campaign type, conversions and monthly drivers.</w:t>
      </w:r>
    </w:p>
    <w:p>
      <w:pPr>
        <w:pStyle w:val="ListParagraph"/>
        <w:numPr>
          <w:ilvl w:val="0"/>
          <w:numId w:val="2"/>
        </w:numPr>
        <w:spacing w:after="60" w:line="264"/>
      </w:pPr>
      <w:r>
        <w:rPr>
          <w:rFonts w:ascii="Calibri" w:cs="Calibri" w:eastAsia="Calibri" w:hAnsi="Calibri"/>
        </w:rPr>
        <w:t xml:space="preserve">Closing statement: "Data-driven analysis provides a foundation for evaluating campaign efficiency and identifying areas for further investigation."</w:t>
      </w:r>
    </w:p>
    <w:p>
      <w:pPr>
        <w:pStyle w:val="Heading1"/>
      </w:pPr>
      <w:r>
        <w:rPr>
          <w:rFonts w:ascii="Calibri" w:cs="Calibri" w:eastAsia="Calibri" w:hAnsi="Calibri"/>
        </w:rPr>
        <w:t xml:space="preserve">K. Interview Talking Points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Opening:</w:t>
      </w:r>
      <w:r>
        <w:rPr>
          <w:rFonts w:ascii="Calibri" w:cs="Calibri" w:eastAsia="Calibri" w:hAnsi="Calibri"/>
        </w:rPr>
        <w:t xml:space="preserve"> "I built a three-page Power BI dashboard, then validated it and analyzed it to answer business questions."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Validation story:</w:t>
      </w:r>
      <w:r>
        <w:rPr>
          <w:rFonts w:ascii="Calibri" w:cs="Calibri" w:eastAsia="Calibri" w:hAnsi="Calibri"/>
        </w:rPr>
        <w:t xml:space="preserve"> "I reconciled the KPIs against each other. CTR, conversion rate and cost per conversion all tied out. I found ROI shown as 5.00 on one page and 500.2% on another, and confirmed it was a formatting inconsistency rather than a calculation error. I recommended one format, and the dashboard now shows percentages."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Honest limitation:</w:t>
      </w:r>
      <w:r>
        <w:rPr>
          <w:rFonts w:ascii="Calibri" w:cs="Calibri" w:eastAsia="Calibri" w:hAnsi="Calibri"/>
        </w:rPr>
        <w:t xml:space="preserve"> "Almost every dimension varied by only 1–3%, so I was careful not to rank anything. The data looks synthetic."</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Insight example:</w:t>
      </w:r>
      <w:r>
        <w:rPr>
          <w:rFonts w:ascii="Calibri" w:cs="Calibri" w:eastAsia="Calibri" w:hAnsi="Calibri"/>
        </w:rPr>
        <w:t xml:space="preserve"> "Monthly spend was steady while impressions varied. That tells me spend did not explain reach, and I would look at monthly mix next."</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Data-quality catches:</w:t>
      </w:r>
      <w:r>
        <w:rPr>
          <w:rFonts w:ascii="Calibri" w:cs="Calibri" w:eastAsia="Calibri" w:hAnsi="Calibri"/>
        </w:rPr>
        <w:t xml:space="preserve"> the truncated axis, the pie of a ratio, decimal conversions, and the engagement-to-conversion ratio of about 8.</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Correlation vs causation:</w:t>
      </w:r>
      <w:r>
        <w:rPr>
          <w:rFonts w:ascii="Calibri" w:cs="Calibri" w:eastAsia="Calibri" w:hAnsi="Calibri"/>
        </w:rPr>
        <w:t xml:space="preserve"> "Spend and clicks move together, but I cannot claim spend caused the clicks from this data."</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Next steps:</w:t>
      </w:r>
      <w:r>
        <w:rPr>
          <w:rFonts w:ascii="Calibri" w:cs="Calibri" w:eastAsia="Calibri" w:hAnsi="Calibri"/>
        </w:rPr>
        <w:t xml:space="preserve"> build visuals from the Campaign Type and Location tables already in the model, and add channel conversions and monthly ROI views.</w:t>
      </w:r>
    </w:p>
    <w:p>
      <w:pPr>
        <w:pStyle w:val="ListParagraph"/>
        <w:numPr>
          <w:ilvl w:val="0"/>
          <w:numId w:val="2"/>
        </w:numPr>
        <w:spacing w:after="60" w:line="264"/>
      </w:pPr>
      <w:r>
        <w:rPr>
          <w:rFonts w:ascii="Calibri" w:cs="Calibri" w:eastAsia="Calibri" w:hAnsi="Calibri"/>
        </w:rPr>
        <w:t xml:space="preserve"/>
      </w:r>
      <w:r>
        <w:rPr>
          <w:rFonts w:ascii="Calibri" w:cs="Calibri" w:eastAsia="Calibri" w:hAnsi="Calibri"/>
          <w:b/>
          <w:bCs/>
        </w:rPr>
        <w:t xml:space="preserve">Likely question, "What would you change?":</w:t>
      </w:r>
      <w:r>
        <w:rPr>
          <w:rFonts w:ascii="Calibri" w:cs="Calibri" w:eastAsia="Calibri" w:hAnsi="Calibri"/>
        </w:rPr>
        <w:t xml:space="preserve"> finish standardizing currency labels, replace the pie and area charts with bars, add data labels, and add a month-over-month table.</w:t>
      </w:r>
    </w:p>
    <w:p>
      <w:pPr>
        <w:pStyle w:val="Heading1"/>
      </w:pPr>
      <w:r>
        <w:rPr>
          <w:rFonts w:ascii="Calibri" w:cs="Calibri" w:eastAsia="Calibri" w:hAnsi="Calibri"/>
        </w:rPr>
        <w:t xml:space="preserve">L. Appendix: Business Questions and Gaps</w:t>
      </w:r>
    </w:p>
    <w:p>
      <w:pPr>
        <w:pStyle w:val="Heading2"/>
      </w:pPr>
      <w:r>
        <w:rPr>
          <w:rFonts w:ascii="Calibri" w:cs="Calibri" w:eastAsia="Calibri" w:hAnsi="Calibri"/>
        </w:rPr>
        <w:t xml:space="preserve">Answers to the 12 business questions</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Change over time:</w:t>
      </w:r>
      <w:r>
        <w:rPr>
          <w:rFonts w:ascii="Calibri" w:cs="Calibri" w:eastAsia="Calibri" w:hAnsi="Calibri"/>
        </w:rPr>
        <w:t xml:space="preserve"> broadly flat; monthly detail needs labels.</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Spend vs revenue:</w:t>
      </w:r>
      <w:r>
        <w:rPr>
          <w:rFonts w:ascii="Calibri" w:cs="Calibri" w:eastAsia="Calibri" w:hAnsi="Calibri"/>
        </w:rPr>
        <w:t xml:space="preserve"> consistent in aggregate ($6.01 per $1). The monthly relationship cannot be determined.</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Engagement by channel:</w:t>
      </w:r>
      <w:r>
        <w:rPr>
          <w:rFonts w:ascii="Calibri" w:cs="Calibri" w:eastAsia="Calibri" w:hAnsi="Calibri"/>
        </w:rPr>
        <w:t xml:space="preserve"> very even (18.0–18.5M clicks).</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Conversion efficiency by channel:</w:t>
      </w:r>
      <w:r>
        <w:rPr>
          <w:rFonts w:ascii="Calibri" w:cs="Calibri" w:eastAsia="Calibri" w:hAnsi="Calibri"/>
        </w:rPr>
        <w:t xml:space="preserve"> cannot be determined.</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ROI by month:</w:t>
      </w:r>
      <w:r>
        <w:rPr>
          <w:rFonts w:ascii="Calibri" w:cs="Calibri" w:eastAsia="Calibri" w:hAnsi="Calibri"/>
        </w:rPr>
        <w:t xml:space="preserve"> cannot be determined.</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Company revenue:</w:t>
      </w:r>
      <w:r>
        <w:rPr>
          <w:rFonts w:ascii="Calibri" w:cs="Calibri" w:eastAsia="Calibri" w:hAnsi="Calibri"/>
        </w:rPr>
        <w:t xml:space="preserve"> ≈3.0bn each.</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Company spend:</w:t>
      </w:r>
      <w:r>
        <w:rPr>
          <w:rFonts w:ascii="Calibri" w:cs="Calibri" w:eastAsia="Calibri" w:hAnsi="Calibri"/>
        </w:rPr>
        <w:t xml:space="preserve"> not displayed (see Section C).</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Cost per conversion:</w:t>
      </w:r>
      <w:r>
        <w:rPr>
          <w:rFonts w:ascii="Calibri" w:cs="Calibri" w:eastAsia="Calibri" w:hAnsi="Calibri"/>
        </w:rPr>
        <w:t xml:space="preserve"> $283–$286 by company.</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Segment engagement:</w:t>
      </w:r>
      <w:r>
        <w:rPr>
          <w:rFonts w:ascii="Calibri" w:cs="Calibri" w:eastAsia="Calibri" w:hAnsi="Calibri"/>
        </w:rPr>
        <w:t xml:space="preserve"> 218K–222K per segment; conversions 1.74–1.77M.</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Campaign types:</w:t>
      </w:r>
      <w:r>
        <w:rPr>
          <w:rFonts w:ascii="Calibri" w:cs="Calibri" w:eastAsia="Calibri" w:hAnsi="Calibri"/>
        </w:rPr>
        <w:t xml:space="preserve"> cannot be determined.</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Spend up without revenue up:</w:t>
      </w:r>
      <w:r>
        <w:rPr>
          <w:rFonts w:ascii="Calibri" w:cs="Calibri" w:eastAsia="Calibri" w:hAnsi="Calibri"/>
        </w:rPr>
        <w:t xml:space="preserve"> cannot be determined at monthly level; use the month slicer with the "vs PM" cards.</w:t>
      </w:r>
    </w:p>
    <w:p>
      <w:pPr>
        <w:pStyle w:val="ListParagraph"/>
        <w:numPr>
          <w:ilvl w:val="0"/>
          <w:numId w:val="4"/>
        </w:numPr>
        <w:spacing w:after="60" w:line="264"/>
      </w:pPr>
      <w:r>
        <w:rPr>
          <w:rFonts w:ascii="Calibri" w:cs="Calibri" w:eastAsia="Calibri" w:hAnsi="Calibri"/>
        </w:rPr>
        <w:t xml:space="preserve"/>
      </w:r>
      <w:r>
        <w:rPr>
          <w:rFonts w:ascii="Calibri" w:cs="Calibri" w:eastAsia="Calibri" w:hAnsi="Calibri"/>
          <w:b/>
          <w:bCs/>
        </w:rPr>
        <w:t xml:space="preserve">Investigate further:</w:t>
      </w:r>
      <w:r>
        <w:rPr>
          <w:rFonts w:ascii="Calibri" w:cs="Calibri" w:eastAsia="Calibri" w:hAnsi="Calibri"/>
        </w:rPr>
        <w:t xml:space="preserve"> the items on Slide 9.</w:t>
      </w:r>
    </w:p>
    <w:p>
      <w:pPr>
        <w:pStyle w:val="Heading2"/>
      </w:pPr>
      <w:r>
        <w:rPr>
          <w:rFonts w:ascii="Calibri" w:cs="Calibri" w:eastAsia="Calibri" w:hAnsi="Calibri"/>
        </w:rPr>
        <w:t xml:space="preserve">To close the gaps, add</w:t>
      </w:r>
    </w:p>
    <w:p>
      <w:pPr>
        <w:pStyle w:val="ListParagraph"/>
        <w:numPr>
          <w:ilvl w:val="0"/>
          <w:numId w:val="2"/>
        </w:numPr>
        <w:spacing w:after="60" w:line="264"/>
      </w:pPr>
      <w:r>
        <w:rPr>
          <w:rFonts w:ascii="Calibri" w:cs="Calibri" w:eastAsia="Calibri" w:hAnsi="Calibri"/>
        </w:rPr>
        <w:t xml:space="preserve">A monthly table with spend, revenue, ROI, conversions and conversion rate.</w:t>
      </w:r>
    </w:p>
    <w:p>
      <w:pPr>
        <w:pStyle w:val="ListParagraph"/>
        <w:numPr>
          <w:ilvl w:val="0"/>
          <w:numId w:val="2"/>
        </w:numPr>
        <w:spacing w:after="60" w:line="264"/>
      </w:pPr>
      <w:r>
        <w:rPr>
          <w:rFonts w:ascii="Calibri" w:cs="Calibri" w:eastAsia="Calibri" w:hAnsi="Calibri"/>
        </w:rPr>
        <w:t xml:space="preserve">Channel revenue, conversions, conversion rate and cost per conversion.</w:t>
      </w:r>
    </w:p>
    <w:p>
      <w:pPr>
        <w:pStyle w:val="ListParagraph"/>
        <w:numPr>
          <w:ilvl w:val="0"/>
          <w:numId w:val="2"/>
        </w:numPr>
        <w:spacing w:after="60" w:line="264"/>
      </w:pPr>
      <w:r>
        <w:rPr>
          <w:rFonts w:ascii="Calibri" w:cs="Calibri" w:eastAsia="Calibri" w:hAnsi="Calibri"/>
        </w:rPr>
        <w:t xml:space="preserve">Campaign_Type measures for all six metrics, using the existing Dim_CompaignType table (and fix the spelling).</w:t>
      </w:r>
    </w:p>
    <w:p>
      <w:pPr>
        <w:pStyle w:val="ListParagraph"/>
        <w:numPr>
          <w:ilvl w:val="0"/>
          <w:numId w:val="2"/>
        </w:numPr>
        <w:spacing w:after="60" w:line="264"/>
      </w:pPr>
      <w:r>
        <w:rPr>
          <w:rFonts w:ascii="Calibri" w:cs="Calibri" w:eastAsia="Calibri" w:hAnsi="Calibri"/>
        </w:rPr>
        <w:t xml:space="preserve">A location visual, using the existing Dim_Location table.</w:t>
      </w:r>
    </w:p>
    <w:p>
      <w:pPr>
        <w:pStyle w:val="ListParagraph"/>
        <w:numPr>
          <w:ilvl w:val="0"/>
          <w:numId w:val="2"/>
        </w:numPr>
        <w:spacing w:after="60" w:line="264"/>
      </w:pPr>
      <w:r>
        <w:rPr>
          <w:rFonts w:ascii="Calibri" w:cs="Calibri" w:eastAsia="Calibri" w:hAnsi="Calibri"/>
        </w:rPr>
        <w:t xml:space="preserve">Power BI checks: Power Query column quality/profile, and COUNTROWS vs DISTINCTCOUNT on the campaign ID to detect duplicates.</w:t>
      </w: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Marketing Campaign Performance Analysis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6B3A" w:sz="6" w:space="4"/>
      </w:pBdr>
      <w:spacing w:after="160" w:before="360"/>
      <w:outlineLvl w:val="0"/>
    </w:pPr>
    <w:rPr>
      <w:rFonts w:ascii="Calibri" w:cs="Calibri" w:eastAsia="Calibri" w:hAnsi="Calibri"/>
      <w:b/>
      <w:bCs/>
      <w:color w:val="1E6B3A"/>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1E6B3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F4B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2026-10-04T11:16:39.344Z</dcterms:created>
  <dcterms:modified xsi:type="dcterms:W3CDTF">2026-10-04T11:16:39.355Z</dcterms:modified>
</cp:coreProperties>
</file>

<file path=docProps/custom.xml><?xml version="1.0" encoding="utf-8"?>
<Properties xmlns="http://schemas.openxmlformats.org/officeDocument/2006/custom-properties" xmlns:vt="http://schemas.openxmlformats.org/officeDocument/2006/docPropsVTypes"/>
</file>