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918AB" w14:textId="7E2ED8A6" w:rsidR="005B0DC5" w:rsidRDefault="005B0DC5" w:rsidP="00EC13C5">
      <w:pPr>
        <w:pStyle w:val="Title"/>
        <w:spacing w:line="360" w:lineRule="auto"/>
        <w:jc w:val="both"/>
      </w:pPr>
      <w:r w:rsidRPr="005B0DC5">
        <w:t>Evolution of card fraud</w:t>
      </w:r>
    </w:p>
    <w:p w14:paraId="1BCBAA99" w14:textId="15711C70" w:rsidR="005B0DC5" w:rsidRDefault="005B0DC5" w:rsidP="00EC13C5">
      <w:pPr>
        <w:spacing w:line="360" w:lineRule="auto"/>
        <w:jc w:val="both"/>
        <w:rPr>
          <w:lang w:val="en-US"/>
        </w:rPr>
      </w:pPr>
      <w:r w:rsidRPr="005B0DC5">
        <w:rPr>
          <w:lang w:val="en-US"/>
        </w:rPr>
        <w:t xml:space="preserve">The European Central Bank BCB splits card fraud into two main groups. </w:t>
      </w:r>
      <w:r w:rsidRPr="00503C66">
        <w:rPr>
          <w:b/>
          <w:bCs/>
          <w:lang w:val="en-US"/>
        </w:rPr>
        <w:t xml:space="preserve">Card </w:t>
      </w:r>
      <w:proofErr w:type="gramStart"/>
      <w:r w:rsidRPr="00503C66">
        <w:rPr>
          <w:b/>
          <w:bCs/>
          <w:lang w:val="en-US"/>
        </w:rPr>
        <w:t>not</w:t>
      </w:r>
      <w:proofErr w:type="gramEnd"/>
      <w:r w:rsidRPr="00503C66">
        <w:rPr>
          <w:b/>
          <w:bCs/>
          <w:lang w:val="en-US"/>
        </w:rPr>
        <w:t xml:space="preserve"> present</w:t>
      </w:r>
      <w:r w:rsidRPr="005B0DC5">
        <w:rPr>
          <w:lang w:val="en-US"/>
        </w:rPr>
        <w:t xml:space="preserve"> </w:t>
      </w:r>
      <w:r w:rsidRPr="004A56B6">
        <w:rPr>
          <w:b/>
          <w:bCs/>
          <w:lang w:val="en-US"/>
        </w:rPr>
        <w:t>CNP</w:t>
      </w:r>
      <w:r>
        <w:rPr>
          <w:lang w:val="en-US"/>
        </w:rPr>
        <w:t xml:space="preserve"> </w:t>
      </w:r>
      <w:r w:rsidRPr="005B0DC5">
        <w:rPr>
          <w:lang w:val="en-US"/>
        </w:rPr>
        <w:t xml:space="preserve">fraud typically involving remote payments through websites mobile applications mail or phone that uses student card details </w:t>
      </w:r>
      <w:r w:rsidR="004A56B6" w:rsidRPr="005B0DC5">
        <w:rPr>
          <w:lang w:val="en-US"/>
        </w:rPr>
        <w:t>to</w:t>
      </w:r>
      <w:r w:rsidRPr="005B0DC5">
        <w:rPr>
          <w:lang w:val="en-US"/>
        </w:rPr>
        <w:t xml:space="preserve"> commit fraud. </w:t>
      </w:r>
      <w:r w:rsidRPr="00503C66">
        <w:rPr>
          <w:b/>
          <w:bCs/>
          <w:lang w:val="en-US"/>
        </w:rPr>
        <w:t xml:space="preserve">Card </w:t>
      </w:r>
      <w:proofErr w:type="gramStart"/>
      <w:r w:rsidRPr="00503C66">
        <w:rPr>
          <w:b/>
          <w:bCs/>
          <w:lang w:val="en-US"/>
        </w:rPr>
        <w:t>present</w:t>
      </w:r>
      <w:proofErr w:type="gramEnd"/>
      <w:r w:rsidRPr="005B0DC5">
        <w:rPr>
          <w:lang w:val="en-US"/>
        </w:rPr>
        <w:t xml:space="preserve"> </w:t>
      </w:r>
      <w:r w:rsidRPr="004A56B6">
        <w:rPr>
          <w:b/>
          <w:bCs/>
          <w:lang w:val="en-US"/>
        </w:rPr>
        <w:t>CP</w:t>
      </w:r>
      <w:r w:rsidRPr="005B0DC5">
        <w:rPr>
          <w:lang w:val="en-US"/>
        </w:rPr>
        <w:t xml:space="preserve"> fraud which happens at the </w:t>
      </w:r>
      <w:r w:rsidR="004A56B6" w:rsidRPr="005B0DC5">
        <w:rPr>
          <w:lang w:val="en-US"/>
        </w:rPr>
        <w:t>point-of-sale</w:t>
      </w:r>
      <w:r w:rsidRPr="005B0DC5">
        <w:rPr>
          <w:lang w:val="en-US"/>
        </w:rPr>
        <w:t xml:space="preserve"> terminal or through an ATM</w:t>
      </w:r>
      <w:r>
        <w:rPr>
          <w:lang w:val="en-US"/>
        </w:rPr>
        <w:t xml:space="preserve"> and is</w:t>
      </w:r>
      <w:r w:rsidRPr="005B0DC5">
        <w:rPr>
          <w:lang w:val="en-US"/>
        </w:rPr>
        <w:t xml:space="preserve"> dominated by lost and stolen cards</w:t>
      </w:r>
      <w:r>
        <w:rPr>
          <w:lang w:val="en-US"/>
        </w:rPr>
        <w:t xml:space="preserve">. </w:t>
      </w:r>
      <w:r w:rsidRPr="005B0DC5">
        <w:rPr>
          <w:lang w:val="en-US"/>
        </w:rPr>
        <w:t>Since the rise of chip technology</w:t>
      </w:r>
      <w:r>
        <w:rPr>
          <w:lang w:val="en-US"/>
        </w:rPr>
        <w:t xml:space="preserve">, </w:t>
      </w:r>
      <w:r w:rsidR="004A56B6">
        <w:rPr>
          <w:lang w:val="en-US"/>
        </w:rPr>
        <w:t>counterfeit</w:t>
      </w:r>
      <w:r w:rsidRPr="005B0DC5">
        <w:rPr>
          <w:lang w:val="en-US"/>
        </w:rPr>
        <w:t xml:space="preserve"> cards </w:t>
      </w:r>
      <w:r>
        <w:rPr>
          <w:lang w:val="en-US"/>
        </w:rPr>
        <w:t>observed a</w:t>
      </w:r>
      <w:r w:rsidRPr="005B0DC5">
        <w:rPr>
          <w:lang w:val="en-US"/>
        </w:rPr>
        <w:t xml:space="preserve"> sharp decline while the CNP grew tremendously</w:t>
      </w:r>
      <w:r>
        <w:rPr>
          <w:lang w:val="en-US"/>
        </w:rPr>
        <w:t xml:space="preserve">, </w:t>
      </w:r>
      <w:r w:rsidRPr="005B0DC5">
        <w:rPr>
          <w:lang w:val="en-US"/>
        </w:rPr>
        <w:t>about 79</w:t>
      </w:r>
      <w:r w:rsidR="00503C66" w:rsidRPr="005B0DC5">
        <w:rPr>
          <w:lang w:val="en-US"/>
        </w:rPr>
        <w:t>%</w:t>
      </w:r>
      <w:r w:rsidR="00503C66">
        <w:rPr>
          <w:lang w:val="en-US"/>
        </w:rPr>
        <w:t xml:space="preserve"> of</w:t>
      </w:r>
      <w:r w:rsidRPr="005B0DC5">
        <w:rPr>
          <w:lang w:val="en-US"/>
        </w:rPr>
        <w:t xml:space="preserve"> fraud</w:t>
      </w:r>
      <w:r>
        <w:rPr>
          <w:lang w:val="en-US"/>
        </w:rPr>
        <w:t xml:space="preserve"> in 2018</w:t>
      </w:r>
      <w:r w:rsidRPr="005B0DC5">
        <w:rPr>
          <w:lang w:val="en-US"/>
        </w:rPr>
        <w:t xml:space="preserve"> was done using CN</w:t>
      </w:r>
      <w:r>
        <w:rPr>
          <w:lang w:val="en-US"/>
        </w:rPr>
        <w:t>P</w:t>
      </w:r>
      <w:r w:rsidRPr="005B0DC5">
        <w:rPr>
          <w:lang w:val="en-US"/>
        </w:rPr>
        <w:t xml:space="preserve"> and by 2019 </w:t>
      </w:r>
      <w:r>
        <w:rPr>
          <w:lang w:val="en-US"/>
        </w:rPr>
        <w:t>it grew to 80%.</w:t>
      </w:r>
      <w:r w:rsidR="00EC13C5">
        <w:rPr>
          <w:lang w:val="en-US"/>
        </w:rPr>
        <w:t xml:space="preserve"> </w:t>
      </w:r>
      <w:r w:rsidR="004A56B6" w:rsidRPr="004A56B6">
        <w:rPr>
          <w:lang w:val="en-US"/>
        </w:rPr>
        <w:t>Globally many member states of the European union s</w:t>
      </w:r>
      <w:r w:rsidR="004A56B6">
        <w:rPr>
          <w:lang w:val="en-US"/>
        </w:rPr>
        <w:t>aw</w:t>
      </w:r>
      <w:r w:rsidR="004A56B6" w:rsidRPr="004A56B6">
        <w:rPr>
          <w:lang w:val="en-US"/>
        </w:rPr>
        <w:t xml:space="preserve"> more than 90% of their fraud occur in cross-border settings</w:t>
      </w:r>
      <w:r w:rsidR="00503C66">
        <w:rPr>
          <w:lang w:val="en-US"/>
        </w:rPr>
        <w:t>,</w:t>
      </w:r>
      <w:r w:rsidR="004A56B6" w:rsidRPr="004A56B6">
        <w:rPr>
          <w:lang w:val="en-US"/>
        </w:rPr>
        <w:t xml:space="preserve"> since the domestic transactions made-up about 89% of total payment value </w:t>
      </w:r>
      <w:r w:rsidR="00503C66">
        <w:rPr>
          <w:lang w:val="en-US"/>
        </w:rPr>
        <w:t>included</w:t>
      </w:r>
      <w:r w:rsidR="004A56B6" w:rsidRPr="004A56B6">
        <w:rPr>
          <w:lang w:val="en-US"/>
        </w:rPr>
        <w:t xml:space="preserve"> only around 35% of fraud value</w:t>
      </w:r>
      <w:r w:rsidR="00503C66">
        <w:rPr>
          <w:lang w:val="en-US"/>
        </w:rPr>
        <w:t>. C</w:t>
      </w:r>
      <w:r w:rsidR="004A56B6" w:rsidRPr="004A56B6">
        <w:rPr>
          <w:lang w:val="en-US"/>
        </w:rPr>
        <w:t xml:space="preserve">ross-border inside the </w:t>
      </w:r>
      <w:r w:rsidR="004A56B6" w:rsidRPr="00503C66">
        <w:rPr>
          <w:b/>
          <w:bCs/>
          <w:lang w:val="en-US"/>
        </w:rPr>
        <w:t>single euro payments area</w:t>
      </w:r>
      <w:r w:rsidR="004A56B6" w:rsidRPr="004A56B6">
        <w:rPr>
          <w:lang w:val="en-US"/>
        </w:rPr>
        <w:t xml:space="preserve"> </w:t>
      </w:r>
      <w:r w:rsidR="004A56B6" w:rsidRPr="00503C66">
        <w:rPr>
          <w:b/>
          <w:bCs/>
        </w:rPr>
        <w:t>SEPA</w:t>
      </w:r>
      <w:r w:rsidR="004A56B6">
        <w:t xml:space="preserve"> </w:t>
      </w:r>
      <w:r w:rsidR="004A56B6" w:rsidRPr="004A56B6">
        <w:rPr>
          <w:lang w:val="en-US"/>
        </w:rPr>
        <w:t>was only close to 9% of value yet about 51% of fraud</w:t>
      </w:r>
      <w:r w:rsidR="00503C66">
        <w:rPr>
          <w:lang w:val="en-US"/>
        </w:rPr>
        <w:t>,</w:t>
      </w:r>
      <w:r w:rsidR="004A56B6" w:rsidRPr="004A56B6">
        <w:rPr>
          <w:lang w:val="en-US"/>
        </w:rPr>
        <w:t xml:space="preserve"> and cross-border outside </w:t>
      </w:r>
      <w:r w:rsidR="004A56B6" w:rsidRPr="004A56B6">
        <w:t>SEPA</w:t>
      </w:r>
      <w:r w:rsidR="004A56B6">
        <w:t xml:space="preserve"> </w:t>
      </w:r>
      <w:r w:rsidR="004A56B6" w:rsidRPr="004A56B6">
        <w:rPr>
          <w:lang w:val="en-US"/>
        </w:rPr>
        <w:t>was 2% of value but 14% of fraud</w:t>
      </w:r>
      <w:r w:rsidR="00503C66">
        <w:rPr>
          <w:lang w:val="en-US"/>
        </w:rPr>
        <w:t>,</w:t>
      </w:r>
      <w:r w:rsidR="004A56B6" w:rsidRPr="004A56B6">
        <w:rPr>
          <w:lang w:val="en-US"/>
        </w:rPr>
        <w:t xml:space="preserve"> so large numbers of domestic markets such as France</w:t>
      </w:r>
      <w:r w:rsidR="00503C66">
        <w:rPr>
          <w:lang w:val="en-US"/>
        </w:rPr>
        <w:t>,</w:t>
      </w:r>
      <w:r w:rsidR="004A56B6" w:rsidRPr="004A56B6">
        <w:rPr>
          <w:lang w:val="en-US"/>
        </w:rPr>
        <w:t xml:space="preserve"> UK</w:t>
      </w:r>
      <w:r w:rsidR="00503C66">
        <w:rPr>
          <w:lang w:val="en-US"/>
        </w:rPr>
        <w:t>,</w:t>
      </w:r>
      <w:r w:rsidR="004A56B6" w:rsidRPr="004A56B6">
        <w:rPr>
          <w:lang w:val="en-US"/>
        </w:rPr>
        <w:t xml:space="preserve"> Ireland</w:t>
      </w:r>
      <w:r w:rsidR="00503C66">
        <w:rPr>
          <w:lang w:val="en-US"/>
        </w:rPr>
        <w:t>,</w:t>
      </w:r>
      <w:r w:rsidR="004A56B6" w:rsidRPr="004A56B6">
        <w:rPr>
          <w:lang w:val="en-US"/>
        </w:rPr>
        <w:t xml:space="preserve"> and Germany sho</w:t>
      </w:r>
      <w:r w:rsidR="004A56B6">
        <w:rPr>
          <w:lang w:val="en-US"/>
        </w:rPr>
        <w:t>w us</w:t>
      </w:r>
      <w:r w:rsidR="004A56B6" w:rsidRPr="004A56B6">
        <w:rPr>
          <w:lang w:val="en-US"/>
        </w:rPr>
        <w:t xml:space="preserve"> somewhat bigger domestic shares simply because so much spending stays at home</w:t>
      </w:r>
      <w:r w:rsidR="004A56B6">
        <w:rPr>
          <w:lang w:val="en-US"/>
        </w:rPr>
        <w:t>.</w:t>
      </w:r>
      <w:r w:rsidR="007821D8">
        <w:rPr>
          <w:lang w:val="en-US"/>
        </w:rPr>
        <w:t xml:space="preserve"> </w:t>
      </w:r>
    </w:p>
    <w:p w14:paraId="39FAA53E" w14:textId="3124030F" w:rsidR="007821D8" w:rsidRDefault="007821D8" w:rsidP="00EC13C5">
      <w:pPr>
        <w:spacing w:line="360" w:lineRule="auto"/>
        <w:jc w:val="both"/>
        <w:rPr>
          <w:lang w:val="en-US"/>
        </w:rPr>
      </w:pPr>
      <w:r w:rsidRPr="007821D8">
        <w:rPr>
          <w:lang w:val="en-US"/>
        </w:rPr>
        <w:t xml:space="preserve">As EMV rolled out widely counterfeit fraud and physical terminals collapsed so attackers moved to CNP channels and leaned more on cross-border transactions where checks are harder throughout the decade, everyday card usage grew faster than fraud </w:t>
      </w:r>
      <w:proofErr w:type="gramStart"/>
      <w:r w:rsidRPr="007821D8">
        <w:rPr>
          <w:lang w:val="en-US"/>
        </w:rPr>
        <w:t>losses</w:t>
      </w:r>
      <w:proofErr w:type="gramEnd"/>
      <w:r w:rsidRPr="007821D8">
        <w:rPr>
          <w:lang w:val="en-US"/>
        </w:rPr>
        <w:t xml:space="preserve"> so the fraud rate trended downward even when the euro amount of </w:t>
      </w:r>
      <w:proofErr w:type="gramStart"/>
      <w:r w:rsidRPr="007821D8">
        <w:rPr>
          <w:lang w:val="en-US"/>
        </w:rPr>
        <w:t>fraud didn't change</w:t>
      </w:r>
      <w:proofErr w:type="gramEnd"/>
      <w:r w:rsidRPr="007821D8">
        <w:rPr>
          <w:lang w:val="en-US"/>
        </w:rPr>
        <w:t xml:space="preserve"> much year to year</w:t>
      </w:r>
      <w:r>
        <w:rPr>
          <w:lang w:val="en-US"/>
        </w:rPr>
        <w:t>.</w:t>
      </w:r>
      <w:r w:rsidRPr="007821D8">
        <w:rPr>
          <w:lang w:val="en-US"/>
        </w:rPr>
        <w:t xml:space="preserve"> A few of the regulations </w:t>
      </w:r>
      <w:proofErr w:type="gramStart"/>
      <w:r w:rsidRPr="007821D8">
        <w:rPr>
          <w:lang w:val="en-US"/>
        </w:rPr>
        <w:t>and  technologies</w:t>
      </w:r>
      <w:proofErr w:type="gramEnd"/>
      <w:r w:rsidRPr="007821D8">
        <w:rPr>
          <w:lang w:val="en-US"/>
        </w:rPr>
        <w:t xml:space="preserve"> have had a great impact on reducing card fraud that </w:t>
      </w:r>
      <w:proofErr w:type="gramStart"/>
      <w:r w:rsidRPr="007821D8">
        <w:rPr>
          <w:lang w:val="en-US"/>
        </w:rPr>
        <w:t>includes,</w:t>
      </w:r>
      <w:proofErr w:type="gramEnd"/>
      <w:r w:rsidRPr="007821D8">
        <w:rPr>
          <w:lang w:val="en-US"/>
        </w:rPr>
        <w:t xml:space="preserve"> EM</w:t>
      </w:r>
      <w:r w:rsidR="00EC13C5">
        <w:rPr>
          <w:lang w:val="en-US"/>
        </w:rPr>
        <w:t>V</w:t>
      </w:r>
      <w:r w:rsidRPr="007821D8">
        <w:rPr>
          <w:lang w:val="en-US"/>
        </w:rPr>
        <w:t xml:space="preserve">, second payment services directive and </w:t>
      </w:r>
      <w:proofErr w:type="gramStart"/>
      <w:r w:rsidRPr="007821D8">
        <w:rPr>
          <w:lang w:val="en-US"/>
        </w:rPr>
        <w:t>it's</w:t>
      </w:r>
      <w:proofErr w:type="gramEnd"/>
      <w:r w:rsidRPr="007821D8">
        <w:rPr>
          <w:lang w:val="en-US"/>
        </w:rPr>
        <w:t xml:space="preserve"> strong customer authentication rules. </w:t>
      </w:r>
      <w:r w:rsidR="00EC13C5" w:rsidRPr="007821D8">
        <w:rPr>
          <w:lang w:val="en-US"/>
        </w:rPr>
        <w:t>Also,</w:t>
      </w:r>
      <w:r w:rsidRPr="007821D8">
        <w:rPr>
          <w:lang w:val="en-US"/>
        </w:rPr>
        <w:t xml:space="preserve"> improvements to 3D secure</w:t>
      </w:r>
      <w:r>
        <w:rPr>
          <w:lang w:val="en-US"/>
        </w:rPr>
        <w:t>,</w:t>
      </w:r>
      <w:r w:rsidRPr="007821D8">
        <w:rPr>
          <w:lang w:val="en-US"/>
        </w:rPr>
        <w:t xml:space="preserve"> extra authentication step for online card payments and broader use of tokenization further limited the reuse of stolen details</w:t>
      </w:r>
      <w:r>
        <w:rPr>
          <w:lang w:val="en-US"/>
        </w:rPr>
        <w:t>.</w:t>
      </w:r>
      <w:r w:rsidRPr="007821D8">
        <w:rPr>
          <w:lang w:val="en-US"/>
        </w:rPr>
        <w:t xml:space="preserve"> There has been a massive increase in card payments from 2016 to 2019 from 75 billion to 101 billion respectively. Remote online ending up CNP transactions became the most popular growth channel</w:t>
      </w:r>
      <w:r>
        <w:rPr>
          <w:lang w:val="en-US"/>
        </w:rPr>
        <w:t xml:space="preserve"> and</w:t>
      </w:r>
      <w:r w:rsidRPr="007821D8">
        <w:rPr>
          <w:lang w:val="en-US"/>
        </w:rPr>
        <w:t xml:space="preserve"> unsurprisingly carried the highest fraud risk</w:t>
      </w:r>
      <w:r>
        <w:rPr>
          <w:lang w:val="en-US"/>
        </w:rPr>
        <w:t xml:space="preserve">. </w:t>
      </w:r>
      <w:r w:rsidRPr="007821D8">
        <w:rPr>
          <w:lang w:val="en-US"/>
        </w:rPr>
        <w:t>As buying moved online fraud followed</w:t>
      </w:r>
      <w:r>
        <w:rPr>
          <w:lang w:val="en-US"/>
        </w:rPr>
        <w:t xml:space="preserve">, </w:t>
      </w:r>
      <w:r w:rsidRPr="007821D8">
        <w:rPr>
          <w:lang w:val="en-US"/>
        </w:rPr>
        <w:t xml:space="preserve">countries with heavier online card use tended to show higher relative fraud rates especially where authentication and merchant </w:t>
      </w:r>
      <w:r w:rsidR="00EC13C5" w:rsidRPr="007821D8">
        <w:rPr>
          <w:lang w:val="en-US"/>
        </w:rPr>
        <w:t>security was</w:t>
      </w:r>
      <w:r w:rsidRPr="007821D8">
        <w:rPr>
          <w:lang w:val="en-US"/>
        </w:rPr>
        <w:t xml:space="preserve"> lacking</w:t>
      </w:r>
      <w:r>
        <w:rPr>
          <w:lang w:val="en-US"/>
        </w:rPr>
        <w:t>.</w:t>
      </w:r>
    </w:p>
    <w:p w14:paraId="3297CD8D" w14:textId="25B25876" w:rsidR="007821D8" w:rsidRDefault="007821D8" w:rsidP="00EC13C5">
      <w:pPr>
        <w:spacing w:line="360" w:lineRule="auto"/>
        <w:jc w:val="both"/>
        <w:rPr>
          <w:lang w:val="en-US"/>
        </w:rPr>
      </w:pPr>
      <w:r w:rsidRPr="007821D8">
        <w:rPr>
          <w:lang w:val="en-US"/>
        </w:rPr>
        <w:lastRenderedPageBreak/>
        <w:t>Mostly CNP fraud starts with compromised credentials and more specifically the primary account number the expiry date and the CV</w:t>
      </w:r>
      <w:r>
        <w:rPr>
          <w:lang w:val="en-US"/>
        </w:rPr>
        <w:t>V</w:t>
      </w:r>
      <w:r w:rsidRPr="007821D8">
        <w:rPr>
          <w:lang w:val="en-US"/>
        </w:rPr>
        <w:t xml:space="preserve"> of the card that are often stolen from breached merchants or through phishing attacks</w:t>
      </w:r>
      <w:r>
        <w:rPr>
          <w:lang w:val="en-US"/>
        </w:rPr>
        <w:t>.</w:t>
      </w:r>
      <w:r w:rsidRPr="007821D8">
        <w:rPr>
          <w:lang w:val="en-US"/>
        </w:rPr>
        <w:t xml:space="preserve"> </w:t>
      </w:r>
      <w:r w:rsidR="00EC13C5" w:rsidRPr="007821D8">
        <w:rPr>
          <w:lang w:val="en-US"/>
        </w:rPr>
        <w:t>Here,</w:t>
      </w:r>
      <w:r w:rsidRPr="007821D8">
        <w:rPr>
          <w:lang w:val="en-US"/>
        </w:rPr>
        <w:t xml:space="preserve"> tokenization plays a really important role in replacing those statics number with single user merchant bound network tokens that are use</w:t>
      </w:r>
      <w:r w:rsidR="00EC13C5">
        <w:rPr>
          <w:lang w:val="en-US"/>
        </w:rPr>
        <w:t>less</w:t>
      </w:r>
      <w:r w:rsidRPr="007821D8">
        <w:rPr>
          <w:lang w:val="en-US"/>
        </w:rPr>
        <w:t xml:space="preserve"> if copied elsewhere and very easy to rotate.</w:t>
      </w:r>
      <w:r w:rsidR="00EC13C5">
        <w:rPr>
          <w:lang w:val="en-US"/>
        </w:rPr>
        <w:t xml:space="preserve"> W</w:t>
      </w:r>
      <w:r w:rsidR="00EC13C5" w:rsidRPr="00EC13C5">
        <w:rPr>
          <w:lang w:val="en-US"/>
        </w:rPr>
        <w:t xml:space="preserve">ith the help of combining tokenization with strong customer authentication and modern 3D </w:t>
      </w:r>
      <w:proofErr w:type="gramStart"/>
      <w:r w:rsidR="00EC13C5" w:rsidRPr="00EC13C5">
        <w:rPr>
          <w:lang w:val="en-US"/>
        </w:rPr>
        <w:t>secure</w:t>
      </w:r>
      <w:proofErr w:type="gramEnd"/>
      <w:r w:rsidR="00EC13C5" w:rsidRPr="00EC13C5">
        <w:rPr>
          <w:lang w:val="en-US"/>
        </w:rPr>
        <w:t xml:space="preserve"> it helps cut down online fraud while keeping the check-out relatively smooth</w:t>
      </w:r>
    </w:p>
    <w:p w14:paraId="75067160" w14:textId="77777777" w:rsidR="00EC13C5" w:rsidRDefault="00EC13C5" w:rsidP="00EC13C5">
      <w:pPr>
        <w:spacing w:line="360" w:lineRule="auto"/>
        <w:jc w:val="both"/>
        <w:rPr>
          <w:lang w:val="en-US"/>
        </w:rPr>
      </w:pPr>
    </w:p>
    <w:p w14:paraId="1C3A002C" w14:textId="7B7FBBFC" w:rsidR="00EC13C5" w:rsidRDefault="00EC13C5" w:rsidP="00EC13C5">
      <w:pPr>
        <w:spacing w:line="360" w:lineRule="auto"/>
        <w:jc w:val="both"/>
        <w:rPr>
          <w:lang w:val="en-US"/>
        </w:rPr>
      </w:pPr>
    </w:p>
    <w:p w14:paraId="6E5BA8EE" w14:textId="77777777" w:rsidR="00EC13C5" w:rsidRDefault="00EC13C5">
      <w:pPr>
        <w:rPr>
          <w:lang w:val="en-US"/>
        </w:rPr>
      </w:pPr>
      <w:r>
        <w:rPr>
          <w:lang w:val="en-US"/>
        </w:rPr>
        <w:br w:type="page"/>
      </w:r>
    </w:p>
    <w:p w14:paraId="0AF887D5" w14:textId="16023595" w:rsidR="004A56B6" w:rsidRDefault="00EC13C5" w:rsidP="00EC13C5">
      <w:pPr>
        <w:spacing w:line="360" w:lineRule="auto"/>
        <w:jc w:val="both"/>
        <w:rPr>
          <w:rStyle w:val="SubtleReference"/>
        </w:rPr>
      </w:pPr>
      <w:r w:rsidRPr="00EC13C5">
        <w:rPr>
          <w:rStyle w:val="SubtleReference"/>
        </w:rPr>
        <w:lastRenderedPageBreak/>
        <w:t>References</w:t>
      </w:r>
    </w:p>
    <w:p w14:paraId="37F43FA9" w14:textId="77777777" w:rsidR="00EC13C5" w:rsidRPr="00EC13C5" w:rsidRDefault="00EC13C5" w:rsidP="00EC13C5">
      <w:pPr>
        <w:spacing w:line="360" w:lineRule="auto"/>
        <w:jc w:val="both"/>
        <w:rPr>
          <w:smallCaps/>
          <w:color w:val="5A5A5A" w:themeColor="text1" w:themeTint="A5"/>
        </w:rPr>
      </w:pPr>
      <w:hyperlink r:id="rId4" w:history="1">
        <w:r w:rsidRPr="00EC13C5">
          <w:rPr>
            <w:rStyle w:val="Hyperlink"/>
            <w:smallCaps/>
          </w:rPr>
          <w:t>https://www.ecb.europa.eu/pub/pdf/cardfraud/cardfraudreport201207en.pdf</w:t>
        </w:r>
      </w:hyperlink>
      <w:r w:rsidRPr="00EC13C5">
        <w:rPr>
          <w:smallCaps/>
          <w:color w:val="5A5A5A" w:themeColor="text1" w:themeTint="A5"/>
        </w:rPr>
        <w:br/>
      </w:r>
      <w:hyperlink r:id="rId5" w:history="1">
        <w:r w:rsidRPr="00EC13C5">
          <w:rPr>
            <w:rStyle w:val="Hyperlink"/>
            <w:smallCaps/>
          </w:rPr>
          <w:t>https://www.ecb.europa.eu/pub/cardfraud/html/ecb.cardfraudreport202008~521edb602b.en.html</w:t>
        </w:r>
      </w:hyperlink>
      <w:r w:rsidRPr="00EC13C5">
        <w:rPr>
          <w:smallCaps/>
          <w:color w:val="5A5A5A" w:themeColor="text1" w:themeTint="A5"/>
        </w:rPr>
        <w:br/>
      </w:r>
      <w:hyperlink r:id="rId6" w:history="1">
        <w:r w:rsidRPr="00EC13C5">
          <w:rPr>
            <w:rStyle w:val="Hyperlink"/>
            <w:smallCaps/>
          </w:rPr>
          <w:t>https://www.ecb.europa.eu/pub/cardfraud/html/ecb.cardfraudreport202110~cac4c418e8.en.html</w:t>
        </w:r>
      </w:hyperlink>
    </w:p>
    <w:p w14:paraId="3D93BEC1" w14:textId="77777777" w:rsidR="00EC13C5" w:rsidRPr="00EC13C5" w:rsidRDefault="00EC13C5" w:rsidP="00EC13C5">
      <w:pPr>
        <w:spacing w:line="360" w:lineRule="auto"/>
        <w:jc w:val="both"/>
        <w:rPr>
          <w:rStyle w:val="SubtleReference"/>
        </w:rPr>
      </w:pPr>
    </w:p>
    <w:sectPr w:rsidR="00EC13C5" w:rsidRPr="00EC13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C5"/>
    <w:rsid w:val="004A56B6"/>
    <w:rsid w:val="00503C66"/>
    <w:rsid w:val="005B0DC5"/>
    <w:rsid w:val="007821D8"/>
    <w:rsid w:val="00AC53DE"/>
    <w:rsid w:val="00EC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5E1E"/>
  <w15:chartTrackingRefBased/>
  <w15:docId w15:val="{58E8189D-2B87-47AF-9BCD-E4C0F1B8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DC5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EC13C5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EC13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b.europa.eu/pub/cardfraud/html/ecb.cardfraudreport202110~cac4c418e8.en.html" TargetMode="External"/><Relationship Id="rId5" Type="http://schemas.openxmlformats.org/officeDocument/2006/relationships/hyperlink" Target="https://www.ecb.europa.eu/pub/cardfraud/html/ecb.cardfraudreport202008~521edb602b.en.html" TargetMode="External"/><Relationship Id="rId4" Type="http://schemas.openxmlformats.org/officeDocument/2006/relationships/hyperlink" Target="https://www.ecb.europa.eu/pub/pdf/cardfraud/cardfraudreport201207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Munir</dc:creator>
  <cp:keywords/>
  <dc:description/>
  <cp:lastModifiedBy>Awais Munir</cp:lastModifiedBy>
  <cp:revision>1</cp:revision>
  <dcterms:created xsi:type="dcterms:W3CDTF">2025-09-18T20:40:00Z</dcterms:created>
  <dcterms:modified xsi:type="dcterms:W3CDTF">2025-09-18T23:40:00Z</dcterms:modified>
</cp:coreProperties>
</file>