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D82D" w14:textId="77777777" w:rsidR="00D53077" w:rsidRDefault="00D53077">
      <w:pPr>
        <w:spacing w:before="2880"/>
      </w:pPr>
    </w:p>
    <w:p w14:paraId="509EF06B" w14:textId="77777777" w:rsidR="00D53077" w:rsidRDefault="00000000">
      <w:pPr>
        <w:spacing w:after="80"/>
      </w:pPr>
      <w:r>
        <w:rPr>
          <w:color w:val="888888"/>
          <w:sz w:val="24"/>
          <w:szCs w:val="24"/>
        </w:rPr>
        <w:t>Data Office</w:t>
      </w:r>
    </w:p>
    <w:p w14:paraId="7C7A09F1" w14:textId="77777777" w:rsidR="00D53077" w:rsidRDefault="00000000">
      <w:pPr>
        <w:pBdr>
          <w:bottom w:val="single" w:sz="8" w:space="1" w:color="534AB7"/>
        </w:pBdr>
        <w:spacing w:after="200"/>
      </w:pPr>
      <w:r>
        <w:rPr>
          <w:b/>
          <w:bCs/>
          <w:color w:val="1A1A2E"/>
          <w:sz w:val="52"/>
          <w:szCs w:val="52"/>
        </w:rPr>
        <w:t>Unifying the Data Office UI</w:t>
      </w:r>
    </w:p>
    <w:p w14:paraId="70DC50EB" w14:textId="77777777" w:rsidR="00D53077" w:rsidRDefault="00D53077">
      <w:pPr>
        <w:spacing w:before="80"/>
      </w:pPr>
    </w:p>
    <w:p w14:paraId="4F1936A4" w14:textId="77777777" w:rsidR="00D53077" w:rsidRDefault="00000000">
      <w:pPr>
        <w:spacing w:after="80"/>
      </w:pPr>
      <w:r>
        <w:rPr>
          <w:color w:val="555555"/>
          <w:sz w:val="26"/>
          <w:szCs w:val="26"/>
        </w:rPr>
        <w:t>A case for consolidating seven interfaces into two — and why everything you built matters.</w:t>
      </w:r>
    </w:p>
    <w:p w14:paraId="15520161" w14:textId="77777777" w:rsidR="00D53077" w:rsidRDefault="00D53077">
      <w:pPr>
        <w:spacing w:before="1440"/>
      </w:pPr>
    </w:p>
    <w:p w14:paraId="060BAAE0" w14:textId="77777777" w:rsidR="00D53077" w:rsidRDefault="00000000">
      <w:pPr>
        <w:spacing w:after="40"/>
      </w:pPr>
      <w:r>
        <w:rPr>
          <w:color w:val="777777"/>
          <w:sz w:val="20"/>
          <w:szCs w:val="20"/>
        </w:rPr>
        <w:t>Prepared by the Data Office Platform Team</w:t>
      </w:r>
    </w:p>
    <w:p w14:paraId="08A7158A" w14:textId="77777777" w:rsidR="00D53077" w:rsidRDefault="00000000">
      <w:r>
        <w:rPr>
          <w:color w:val="777777"/>
          <w:sz w:val="20"/>
          <w:szCs w:val="20"/>
        </w:rPr>
        <w:t>June 2026</w:t>
      </w:r>
    </w:p>
    <w:p w14:paraId="0CF21186" w14:textId="77777777" w:rsidR="00D53077" w:rsidRDefault="00000000">
      <w:r>
        <w:br w:type="page"/>
      </w:r>
    </w:p>
    <w:p w14:paraId="3D96F29C" w14:textId="538AF9D1" w:rsidR="00D53077" w:rsidRDefault="00000000">
      <w:pPr>
        <w:pStyle w:val="Heading1"/>
      </w:pPr>
      <w:r>
        <w:lastRenderedPageBreak/>
        <w:t xml:space="preserve">1. To </w:t>
      </w:r>
      <w:r w:rsidR="003E4B77">
        <w:t>All UI Teams</w:t>
      </w:r>
    </w:p>
    <w:p w14:paraId="62E61599" w14:textId="6F71CF0D" w:rsidR="00D53077" w:rsidRDefault="00000000">
      <w:pPr>
        <w:spacing w:before="80" w:after="120"/>
      </w:pPr>
      <w:r>
        <w:rPr>
          <w:color w:val="333333"/>
        </w:rPr>
        <w:t xml:space="preserve">Before anything else: the work that went into each of our current data </w:t>
      </w:r>
      <w:r w:rsidR="005E294F">
        <w:rPr>
          <w:color w:val="333333"/>
        </w:rPr>
        <w:t>services UIs</w:t>
      </w:r>
      <w:r>
        <w:rPr>
          <w:color w:val="333333"/>
        </w:rPr>
        <w:t xml:space="preserve"> is significant</w:t>
      </w:r>
      <w:r w:rsidR="005E294F">
        <w:rPr>
          <w:color w:val="333333"/>
        </w:rPr>
        <w:t xml:space="preserve"> </w:t>
      </w:r>
      <w:r>
        <w:rPr>
          <w:color w:val="333333"/>
        </w:rPr>
        <w:t xml:space="preserve">and has </w:t>
      </w:r>
      <w:r w:rsidR="005E294F">
        <w:rPr>
          <w:color w:val="333333"/>
        </w:rPr>
        <w:t>solved some complex problems</w:t>
      </w:r>
      <w:r>
        <w:rPr>
          <w:color w:val="333333"/>
        </w:rPr>
        <w:t>.</w:t>
      </w:r>
    </w:p>
    <w:p w14:paraId="3CD8F1CF" w14:textId="77777777" w:rsidR="00D53077" w:rsidRDefault="00D530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8379"/>
      </w:tblGrid>
      <w:tr w:rsidR="00D53077" w14:paraId="6F2B143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8E7"/>
            <w:tcMar>
              <w:top w:w="120" w:type="dxa"/>
              <w:left w:w="160" w:type="dxa"/>
              <w:bottom w:w="120" w:type="dxa"/>
              <w:right w:w="80" w:type="dxa"/>
            </w:tcMar>
            <w:vAlign w:val="center"/>
          </w:tcPr>
          <w:p w14:paraId="69C1684A" w14:textId="77777777" w:rsidR="00D53077" w:rsidRDefault="00000000">
            <w:pPr>
              <w:jc w:val="center"/>
            </w:pPr>
            <w:r>
              <w:rPr>
                <w:b/>
                <w:bCs/>
                <w:color w:val="854F0B"/>
                <w:sz w:val="18"/>
                <w:szCs w:val="18"/>
              </w:rPr>
              <w:t>Why change?</w:t>
            </w:r>
          </w:p>
        </w:tc>
        <w:tc>
          <w:tcPr>
            <w:tcW w:w="8960" w:type="dxa"/>
            <w:tcBorders>
              <w:top w:val="none" w:sz="0" w:space="0" w:color="FFFFFF"/>
              <w:left w:val="none" w:sz="0" w:space="0" w:color="FFFFFF"/>
              <w:bottom w:val="none" w:sz="0" w:space="0" w:color="FFFFFF"/>
              <w:right w:val="none" w:sz="0" w:space="0" w:color="FFFFFF"/>
            </w:tcBorders>
            <w:shd w:val="clear" w:color="auto" w:fill="FFF8E7"/>
            <w:tcMar>
              <w:top w:w="120" w:type="dxa"/>
              <w:left w:w="160" w:type="dxa"/>
              <w:bottom w:w="120" w:type="dxa"/>
              <w:right w:w="160" w:type="dxa"/>
            </w:tcMar>
          </w:tcPr>
          <w:p w14:paraId="3BCAD3C6" w14:textId="5E6AFDFB" w:rsidR="00D53077" w:rsidRDefault="00000000">
            <w:r>
              <w:rPr>
                <w:color w:val="333333"/>
                <w:sz w:val="20"/>
                <w:szCs w:val="20"/>
              </w:rPr>
              <w:t xml:space="preserve">The problem is not the quality of any individual tool. The problem is that seven separate </w:t>
            </w:r>
            <w:r w:rsidR="008C51C8">
              <w:rPr>
                <w:color w:val="333333"/>
                <w:sz w:val="20"/>
                <w:szCs w:val="20"/>
              </w:rPr>
              <w:t>interfaces</w:t>
            </w:r>
            <w:r>
              <w:rPr>
                <w:color w:val="333333"/>
                <w:sz w:val="20"/>
                <w:szCs w:val="20"/>
              </w:rPr>
              <w:t xml:space="preserve"> have created seven separate front doors — and our users </w:t>
            </w:r>
            <w:proofErr w:type="gramStart"/>
            <w:r>
              <w:rPr>
                <w:color w:val="333333"/>
                <w:sz w:val="20"/>
                <w:szCs w:val="20"/>
              </w:rPr>
              <w:t>have to</w:t>
            </w:r>
            <w:proofErr w:type="gramEnd"/>
            <w:r>
              <w:rPr>
                <w:color w:val="333333"/>
                <w:sz w:val="20"/>
                <w:szCs w:val="20"/>
              </w:rPr>
              <w:t xml:space="preserve"> know which door to use before they can do anything.</w:t>
            </w:r>
          </w:p>
        </w:tc>
      </w:tr>
    </w:tbl>
    <w:p w14:paraId="62B27DA8" w14:textId="77777777" w:rsidR="00D53077" w:rsidRDefault="00D53077">
      <w:pPr>
        <w:spacing w:before="120"/>
      </w:pPr>
    </w:p>
    <w:p w14:paraId="748B7869" w14:textId="4406DF9A" w:rsidR="00D53077" w:rsidRDefault="00000000">
      <w:pPr>
        <w:spacing w:before="80" w:after="120"/>
      </w:pPr>
      <w:r>
        <w:rPr>
          <w:color w:val="333333"/>
        </w:rPr>
        <w:t>This document explains why consolidating to two unified catalogs</w:t>
      </w:r>
      <w:r w:rsidR="00ED6A7E">
        <w:rPr>
          <w:color w:val="333333"/>
        </w:rPr>
        <w:t xml:space="preserve"> (Fact of vs Content)</w:t>
      </w:r>
      <w:r>
        <w:rPr>
          <w:color w:val="333333"/>
        </w:rPr>
        <w:t xml:space="preserve"> — with a shared actions layer — is the right next ste</w:t>
      </w:r>
      <w:r w:rsidR="00ED6A7E">
        <w:rPr>
          <w:color w:val="333333"/>
        </w:rPr>
        <w:t xml:space="preserve">p and </w:t>
      </w:r>
      <w:r>
        <w:rPr>
          <w:color w:val="333333"/>
        </w:rPr>
        <w:t>what that means in practice</w:t>
      </w:r>
      <w:r w:rsidR="00ED6A7E">
        <w:rPr>
          <w:color w:val="333333"/>
        </w:rPr>
        <w:t>.</w:t>
      </w:r>
    </w:p>
    <w:p w14:paraId="259740F1" w14:textId="77777777" w:rsidR="00D53077" w:rsidRDefault="00D53077">
      <w:pPr>
        <w:pBdr>
          <w:bottom w:val="single" w:sz="4" w:space="1" w:color="DDDDDD"/>
        </w:pBdr>
        <w:spacing w:before="200" w:after="200"/>
      </w:pPr>
    </w:p>
    <w:p w14:paraId="36A32D80" w14:textId="77777777" w:rsidR="00D53077" w:rsidRDefault="00000000">
      <w:pPr>
        <w:pStyle w:val="Heading1"/>
      </w:pPr>
      <w:r>
        <w:t>2. The problem we are solving</w:t>
      </w:r>
    </w:p>
    <w:p w14:paraId="2D155A13" w14:textId="77777777" w:rsidR="00D53077" w:rsidRDefault="00000000">
      <w:pPr>
        <w:pStyle w:val="Heading2"/>
      </w:pPr>
      <w:r>
        <w:t>The wrong mental model</w:t>
      </w:r>
    </w:p>
    <w:p w14:paraId="272D44D3" w14:textId="2B18C5CD" w:rsidR="00D53077" w:rsidRDefault="00000000">
      <w:pPr>
        <w:spacing w:before="80" w:after="120"/>
      </w:pPr>
      <w:r>
        <w:rPr>
          <w:color w:val="333333"/>
        </w:rPr>
        <w:t xml:space="preserve">Our current seven UIs map to internal system components, not to the jobs our users are </w:t>
      </w:r>
      <w:r w:rsidR="00330185">
        <w:rPr>
          <w:color w:val="333333"/>
        </w:rPr>
        <w:t>trying</w:t>
      </w:r>
      <w:r>
        <w:rPr>
          <w:color w:val="333333"/>
        </w:rPr>
        <w:t xml:space="preserve"> to do. This forces every user — whether an analyst trying to find a dataset or an engineer trying to register one — to first learn how our internal architecture is organized before they can do any work.</w:t>
      </w:r>
    </w:p>
    <w:p w14:paraId="0EB615CB" w14:textId="484B9EB4" w:rsidR="00D53077" w:rsidRDefault="00000000">
      <w:pPr>
        <w:spacing w:before="80" w:after="120"/>
      </w:pPr>
      <w:r>
        <w:rPr>
          <w:color w:val="333333"/>
        </w:rPr>
        <w:t xml:space="preserve">This is a classic product design </w:t>
      </w:r>
      <w:r w:rsidR="00F378B2">
        <w:rPr>
          <w:color w:val="333333"/>
        </w:rPr>
        <w:t>trap</w:t>
      </w:r>
      <w:r>
        <w:rPr>
          <w:color w:val="333333"/>
        </w:rPr>
        <w:t>: the system's structure has leaked into the user interface. It means:</w:t>
      </w:r>
    </w:p>
    <w:p w14:paraId="7A6EB6A1" w14:textId="77777777" w:rsidR="00D53077" w:rsidRDefault="00000000">
      <w:pPr>
        <w:pStyle w:val="ListParagraph"/>
        <w:numPr>
          <w:ilvl w:val="0"/>
          <w:numId w:val="2"/>
        </w:numPr>
        <w:spacing w:before="40" w:after="60"/>
      </w:pPr>
      <w:r>
        <w:rPr>
          <w:color w:val="333333"/>
        </w:rPr>
        <w:t xml:space="preserve">An analyst who wants to find a specific dataset </w:t>
      </w:r>
      <w:proofErr w:type="gramStart"/>
      <w:r>
        <w:rPr>
          <w:color w:val="333333"/>
        </w:rPr>
        <w:t>has to</w:t>
      </w:r>
      <w:proofErr w:type="gramEnd"/>
      <w:r>
        <w:rPr>
          <w:color w:val="333333"/>
        </w:rPr>
        <w:t xml:space="preserve"> know whether to look in the data lake UI, the data catalog, or the artifacts catalog.</w:t>
      </w:r>
    </w:p>
    <w:p w14:paraId="04612CF0" w14:textId="77777777" w:rsidR="00D53077" w:rsidRDefault="00000000">
      <w:pPr>
        <w:pStyle w:val="ListParagraph"/>
        <w:numPr>
          <w:ilvl w:val="0"/>
          <w:numId w:val="2"/>
        </w:numPr>
        <w:spacing w:before="40" w:after="60"/>
      </w:pPr>
      <w:r>
        <w:rPr>
          <w:color w:val="333333"/>
        </w:rPr>
        <w:t xml:space="preserve">An engineer who wants to move a dataset after registering it </w:t>
      </w:r>
      <w:proofErr w:type="gramStart"/>
      <w:r>
        <w:rPr>
          <w:color w:val="333333"/>
        </w:rPr>
        <w:t>has to</w:t>
      </w:r>
      <w:proofErr w:type="gramEnd"/>
      <w:r>
        <w:rPr>
          <w:color w:val="333333"/>
        </w:rPr>
        <w:t xml:space="preserve"> switch between two different UIs mid-task.</w:t>
      </w:r>
    </w:p>
    <w:p w14:paraId="1F059CA0" w14:textId="77777777" w:rsidR="00D53077" w:rsidRDefault="00000000">
      <w:pPr>
        <w:pStyle w:val="ListParagraph"/>
        <w:numPr>
          <w:ilvl w:val="0"/>
          <w:numId w:val="2"/>
        </w:numPr>
        <w:spacing w:before="40" w:after="60"/>
      </w:pPr>
      <w:r>
        <w:rPr>
          <w:color w:val="333333"/>
        </w:rPr>
        <w:t>New team members face a steeper learning curve — not because the data work is complex, but because the interface is complex.</w:t>
      </w:r>
    </w:p>
    <w:p w14:paraId="35566AC3" w14:textId="77777777" w:rsidR="00D53077" w:rsidRDefault="00000000">
      <w:pPr>
        <w:pStyle w:val="ListParagraph"/>
        <w:numPr>
          <w:ilvl w:val="0"/>
          <w:numId w:val="2"/>
        </w:numPr>
        <w:spacing w:before="40" w:after="60"/>
      </w:pPr>
      <w:r>
        <w:rPr>
          <w:color w:val="333333"/>
        </w:rPr>
        <w:t xml:space="preserve">Every new UI we add fragments the experience further and </w:t>
      </w:r>
      <w:proofErr w:type="gramStart"/>
      <w:r>
        <w:rPr>
          <w:color w:val="333333"/>
        </w:rPr>
        <w:t>increases</w:t>
      </w:r>
      <w:proofErr w:type="gramEnd"/>
      <w:r>
        <w:rPr>
          <w:color w:val="333333"/>
        </w:rPr>
        <w:t xml:space="preserve"> the cognitive load on our users.</w:t>
      </w:r>
    </w:p>
    <w:p w14:paraId="35CB8D4E" w14:textId="77777777" w:rsidR="005F12DE" w:rsidRDefault="005F12DE">
      <w:pPr>
        <w:spacing w:before="80"/>
      </w:pPr>
    </w:p>
    <w:p w14:paraId="77AA51BF" w14:textId="77777777" w:rsidR="00D53077" w:rsidRDefault="00000000">
      <w:pPr>
        <w:pStyle w:val="Heading2"/>
      </w:pPr>
      <w:r>
        <w:t xml:space="preserve">What users </w:t>
      </w:r>
      <w:proofErr w:type="gramStart"/>
      <w:r>
        <w:t>actually need</w:t>
      </w:r>
      <w:proofErr w:type="gramEnd"/>
    </w:p>
    <w:p w14:paraId="5C0F0A0A" w14:textId="77777777" w:rsidR="00D53077" w:rsidRDefault="00000000">
      <w:pPr>
        <w:spacing w:before="80" w:after="120"/>
      </w:pPr>
      <w:r>
        <w:rPr>
          <w:color w:val="333333"/>
        </w:rPr>
        <w:t>When we talk to users, their jobs resolve into three clear activities:</w:t>
      </w:r>
    </w:p>
    <w:p w14:paraId="48011300" w14:textId="77777777" w:rsidR="00D53077" w:rsidRDefault="00000000">
      <w:pPr>
        <w:pStyle w:val="ListParagraph"/>
        <w:numPr>
          <w:ilvl w:val="0"/>
          <w:numId w:val="2"/>
        </w:numPr>
        <w:spacing w:before="40" w:after="60"/>
      </w:pPr>
      <w:r>
        <w:rPr>
          <w:color w:val="333333"/>
        </w:rPr>
        <w:t>Finding and understanding data — searching for datasets, reading documentation, checking certification status, understanding lineage.</w:t>
      </w:r>
    </w:p>
    <w:p w14:paraId="6C42BA05" w14:textId="71280651" w:rsidR="00D53077" w:rsidRDefault="00000000">
      <w:pPr>
        <w:pStyle w:val="ListParagraph"/>
        <w:numPr>
          <w:ilvl w:val="0"/>
          <w:numId w:val="2"/>
        </w:numPr>
        <w:spacing w:before="40" w:after="60"/>
      </w:pPr>
      <w:r>
        <w:rPr>
          <w:color w:val="333333"/>
        </w:rPr>
        <w:t xml:space="preserve">Bringing data in and operating on it — registering new datasets, moving data, running extraction pipelines, managing </w:t>
      </w:r>
      <w:r w:rsidR="009A3BB8">
        <w:rPr>
          <w:color w:val="333333"/>
        </w:rPr>
        <w:t xml:space="preserve">and requesting </w:t>
      </w:r>
      <w:r>
        <w:rPr>
          <w:color w:val="333333"/>
        </w:rPr>
        <w:t>schemas.</w:t>
      </w:r>
    </w:p>
    <w:p w14:paraId="56E7358B" w14:textId="77777777" w:rsidR="00D53077" w:rsidRDefault="00000000">
      <w:pPr>
        <w:pStyle w:val="ListParagraph"/>
        <w:numPr>
          <w:ilvl w:val="0"/>
          <w:numId w:val="2"/>
        </w:numPr>
        <w:spacing w:before="40" w:after="60"/>
      </w:pPr>
      <w:r>
        <w:rPr>
          <w:color w:val="333333"/>
        </w:rPr>
        <w:t>Querying and exploring data — running queries, searching indexes, previewing results.</w:t>
      </w:r>
    </w:p>
    <w:p w14:paraId="7EFE0CB4" w14:textId="77777777" w:rsidR="00D53077" w:rsidRDefault="00000000">
      <w:pPr>
        <w:spacing w:before="80" w:after="120"/>
      </w:pPr>
      <w:r>
        <w:rPr>
          <w:color w:val="333333"/>
        </w:rPr>
        <w:t>What they do not need is a separate application for each underlying service that supports those activities. The seams between our tools are our internal boundaries, not theirs.</w:t>
      </w:r>
    </w:p>
    <w:p w14:paraId="733A5537" w14:textId="77777777" w:rsidR="00D53077" w:rsidRDefault="00D53077">
      <w:pPr>
        <w:pBdr>
          <w:bottom w:val="single" w:sz="4" w:space="1" w:color="DDDDDD"/>
        </w:pBdr>
        <w:spacing w:before="200" w:after="200"/>
      </w:pPr>
    </w:p>
    <w:p w14:paraId="1FE41A8A" w14:textId="77777777" w:rsidR="00D53077" w:rsidRDefault="00000000">
      <w:pPr>
        <w:pStyle w:val="Heading1"/>
      </w:pPr>
      <w:r>
        <w:t>3. The direction we are heading</w:t>
      </w:r>
    </w:p>
    <w:p w14:paraId="0CDAE7D8" w14:textId="2E9D555A" w:rsidR="00D53077" w:rsidRDefault="00000000">
      <w:pPr>
        <w:spacing w:before="80" w:after="120"/>
      </w:pPr>
      <w:r>
        <w:rPr>
          <w:color w:val="333333"/>
        </w:rPr>
        <w:t>We are consolidating to two catalogs that share a common actions layer</w:t>
      </w:r>
      <w:r w:rsidR="00862114">
        <w:rPr>
          <w:color w:val="333333"/>
        </w:rPr>
        <w:t xml:space="preserve"> and profile</w:t>
      </w:r>
      <w:r>
        <w:rPr>
          <w:color w:val="333333"/>
        </w:rPr>
        <w:t xml:space="preserve">. This is not a </w:t>
      </w:r>
      <w:r w:rsidR="006E04F1">
        <w:rPr>
          <w:color w:val="333333"/>
        </w:rPr>
        <w:t>loss</w:t>
      </w:r>
      <w:r>
        <w:rPr>
          <w:color w:val="333333"/>
        </w:rPr>
        <w:t xml:space="preserve"> in capability — it is a reorganization of capability around user intent rather than system topology.</w:t>
      </w:r>
    </w:p>
    <w:p w14:paraId="44FCF66D" w14:textId="77777777" w:rsidR="00D53077" w:rsidRDefault="00D53077">
      <w:pPr>
        <w:spacing w:before="120"/>
      </w:pPr>
    </w:p>
    <w:p w14:paraId="37868CD7" w14:textId="77777777" w:rsidR="00D53077" w:rsidRDefault="00000000">
      <w:pPr>
        <w:spacing w:before="120" w:after="80"/>
      </w:pPr>
      <w:r>
        <w:rPr>
          <w:b/>
          <w:bCs/>
          <w:color w:val="333333"/>
        </w:rPr>
        <w:t xml:space="preserve">Consolidation </w:t>
      </w:r>
      <w:proofErr w:type="gramStart"/>
      <w:r>
        <w:rPr>
          <w:b/>
          <w:bCs/>
          <w:color w:val="333333"/>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00"/>
        <w:gridCol w:w="4560"/>
      </w:tblGrid>
      <w:tr w:rsidR="00D53077" w14:paraId="490F1C2F"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0F0F0"/>
            <w:tcMar>
              <w:top w:w="80" w:type="dxa"/>
              <w:left w:w="120" w:type="dxa"/>
              <w:bottom w:w="80" w:type="dxa"/>
              <w:right w:w="120" w:type="dxa"/>
            </w:tcMar>
          </w:tcPr>
          <w:p w14:paraId="3FD5D465" w14:textId="77777777" w:rsidR="00D53077" w:rsidRDefault="00000000">
            <w:r>
              <w:rPr>
                <w:b/>
                <w:bCs/>
                <w:color w:val="555555"/>
                <w:sz w:val="19"/>
                <w:szCs w:val="19"/>
              </w:rPr>
              <w:t>Current (7 UIs)</w:t>
            </w:r>
          </w:p>
        </w:tc>
        <w:tc>
          <w:tcPr>
            <w:tcW w:w="600" w:type="dxa"/>
            <w:tcBorders>
              <w:top w:val="none" w:sz="0" w:space="0" w:color="FFFFFF"/>
              <w:left w:val="none" w:sz="0" w:space="0" w:color="FFFFFF"/>
              <w:bottom w:val="none" w:sz="0" w:space="0" w:color="FFFFFF"/>
              <w:right w:val="none" w:sz="0" w:space="0" w:color="FFFFFF"/>
            </w:tcBorders>
            <w:shd w:val="clear" w:color="auto" w:fill="F0F0F0"/>
          </w:tcPr>
          <w:p w14:paraId="0941FAB1" w14:textId="77777777" w:rsidR="00D53077" w:rsidRDefault="00D53077"/>
        </w:tc>
        <w:tc>
          <w:tcPr>
            <w:tcW w:w="4560" w:type="dxa"/>
            <w:tcBorders>
              <w:top w:val="none" w:sz="0" w:space="0" w:color="FFFFFF"/>
              <w:left w:val="none" w:sz="0" w:space="0" w:color="FFFFFF"/>
              <w:bottom w:val="none" w:sz="0" w:space="0" w:color="FFFFFF"/>
              <w:right w:val="none" w:sz="0" w:space="0" w:color="FFFFFF"/>
            </w:tcBorders>
            <w:shd w:val="clear" w:color="auto" w:fill="F0F0F0"/>
            <w:tcMar>
              <w:top w:w="80" w:type="dxa"/>
              <w:left w:w="120" w:type="dxa"/>
              <w:bottom w:w="80" w:type="dxa"/>
              <w:right w:w="120" w:type="dxa"/>
            </w:tcMar>
          </w:tcPr>
          <w:p w14:paraId="433AFD2A" w14:textId="77777777" w:rsidR="00D53077" w:rsidRDefault="00000000">
            <w:r>
              <w:rPr>
                <w:b/>
                <w:bCs/>
                <w:color w:val="555555"/>
                <w:sz w:val="19"/>
                <w:szCs w:val="19"/>
              </w:rPr>
              <w:t>Future (2 UIs + shared actions)</w:t>
            </w:r>
          </w:p>
        </w:tc>
      </w:tr>
      <w:tr w:rsidR="00D53077" w14:paraId="27BD8090"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EEDFE"/>
            <w:tcMar>
              <w:top w:w="80" w:type="dxa"/>
              <w:left w:w="120" w:type="dxa"/>
              <w:bottom w:w="40" w:type="dxa"/>
              <w:right w:w="120" w:type="dxa"/>
            </w:tcMar>
          </w:tcPr>
          <w:p w14:paraId="63B90E70" w14:textId="7645D904" w:rsidR="00D53077" w:rsidRDefault="00000000">
            <w:r>
              <w:rPr>
                <w:color w:val="534AB7"/>
                <w:sz w:val="19"/>
                <w:szCs w:val="19"/>
              </w:rPr>
              <w:t xml:space="preserve">Data lake </w:t>
            </w:r>
            <w:r w:rsidR="006A5031">
              <w:rPr>
                <w:color w:val="534AB7"/>
                <w:sz w:val="19"/>
                <w:szCs w:val="19"/>
              </w:rPr>
              <w:t>D</w:t>
            </w:r>
            <w:r>
              <w:rPr>
                <w:color w:val="534AB7"/>
                <w:sz w:val="19"/>
                <w:szCs w:val="19"/>
              </w:rPr>
              <w:t>atasets</w:t>
            </w:r>
            <w:r w:rsidR="006A5031">
              <w:rPr>
                <w:color w:val="534AB7"/>
                <w:sz w:val="19"/>
                <w:szCs w:val="19"/>
              </w:rPr>
              <w:t xml:space="preserve"> and Metrics</w:t>
            </w: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4D6BD6F2" w14:textId="77777777" w:rsidR="00D53077" w:rsidRDefault="00000000">
            <w:pPr>
              <w:jc w:val="center"/>
            </w:pPr>
            <w:r>
              <w:rPr>
                <w:color w:val="AAAAAA"/>
                <w:sz w:val="20"/>
                <w:szCs w:val="20"/>
              </w:rPr>
              <w:t>→</w:t>
            </w:r>
          </w:p>
        </w:tc>
        <w:tc>
          <w:tcPr>
            <w:tcW w:w="4560" w:type="dxa"/>
            <w:vMerge w:val="restart"/>
            <w:tcBorders>
              <w:top w:val="none" w:sz="0" w:space="0" w:color="FFFFFF"/>
              <w:left w:val="single" w:sz="3" w:space="0" w:color="534AB7"/>
              <w:bottom w:val="none" w:sz="0" w:space="0" w:color="FFFFFF"/>
              <w:right w:val="none" w:sz="0" w:space="0" w:color="FFFFFF"/>
            </w:tcBorders>
            <w:shd w:val="clear" w:color="auto" w:fill="F4F3FE"/>
            <w:tcMar>
              <w:top w:w="80" w:type="dxa"/>
              <w:left w:w="160" w:type="dxa"/>
              <w:bottom w:w="40" w:type="dxa"/>
              <w:right w:w="120" w:type="dxa"/>
            </w:tcMar>
          </w:tcPr>
          <w:p w14:paraId="3D21F036" w14:textId="336CCB68" w:rsidR="00D53077" w:rsidRDefault="00996551">
            <w:r>
              <w:rPr>
                <w:b/>
                <w:bCs/>
                <w:color w:val="3C3489"/>
              </w:rPr>
              <w:t xml:space="preserve">Data </w:t>
            </w:r>
            <w:r w:rsidR="00000000">
              <w:rPr>
                <w:b/>
                <w:bCs/>
                <w:color w:val="3C3489"/>
              </w:rPr>
              <w:t>Catalog</w:t>
            </w:r>
          </w:p>
          <w:p w14:paraId="5A09097A" w14:textId="77777777" w:rsidR="00D53077" w:rsidRDefault="00000000">
            <w:pPr>
              <w:spacing w:before="40"/>
            </w:pPr>
            <w:r>
              <w:rPr>
                <w:color w:val="7F77DD"/>
                <w:sz w:val="18"/>
                <w:szCs w:val="18"/>
              </w:rPr>
              <w:t>For analysts, stakeholders &amp; business users</w:t>
            </w:r>
          </w:p>
        </w:tc>
      </w:tr>
      <w:tr w:rsidR="00D53077" w14:paraId="5F143842"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EEDFE"/>
            <w:tcMar>
              <w:top w:w="40" w:type="dxa"/>
              <w:left w:w="120" w:type="dxa"/>
              <w:bottom w:w="40" w:type="dxa"/>
              <w:right w:w="120" w:type="dxa"/>
            </w:tcMar>
          </w:tcPr>
          <w:p w14:paraId="2BF9D5BA" w14:textId="7AEFEA66" w:rsidR="00D53077" w:rsidRDefault="00000000">
            <w:r>
              <w:rPr>
                <w:color w:val="534AB7"/>
                <w:sz w:val="19"/>
                <w:szCs w:val="19"/>
              </w:rPr>
              <w:t xml:space="preserve">Data </w:t>
            </w:r>
            <w:r w:rsidR="006A5031">
              <w:rPr>
                <w:color w:val="534AB7"/>
                <w:sz w:val="19"/>
                <w:szCs w:val="19"/>
              </w:rPr>
              <w:t>Lineage</w:t>
            </w: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2A890A00" w14:textId="77777777" w:rsidR="00D53077" w:rsidRDefault="00000000">
            <w:pPr>
              <w:jc w:val="center"/>
            </w:pPr>
            <w:r>
              <w:rPr>
                <w:color w:val="AAAAAA"/>
                <w:sz w:val="20"/>
                <w:szCs w:val="20"/>
              </w:rPr>
              <w:t>→</w:t>
            </w:r>
          </w:p>
        </w:tc>
        <w:tc>
          <w:tcPr>
            <w:tcW w:w="0" w:type="auto"/>
            <w:vMerge/>
            <w:tcBorders>
              <w:top w:val="none" w:sz="0" w:space="0" w:color="FFFFFF"/>
              <w:left w:val="single" w:sz="3" w:space="0" w:color="534AB7"/>
              <w:bottom w:val="none" w:sz="0" w:space="0" w:color="FFFFFF"/>
              <w:right w:val="none" w:sz="0" w:space="0" w:color="FFFFFF"/>
            </w:tcBorders>
          </w:tcPr>
          <w:p w14:paraId="66517C23" w14:textId="77777777" w:rsidR="00D53077" w:rsidRDefault="00D53077"/>
        </w:tc>
      </w:tr>
      <w:tr w:rsidR="00D53077" w14:paraId="52788AAC"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EEDFE"/>
            <w:tcMar>
              <w:top w:w="40" w:type="dxa"/>
              <w:left w:w="120" w:type="dxa"/>
              <w:bottom w:w="80" w:type="dxa"/>
              <w:right w:w="120" w:type="dxa"/>
            </w:tcMar>
          </w:tcPr>
          <w:p w14:paraId="47A85277" w14:textId="77777777" w:rsidR="00D53077" w:rsidRDefault="006A5031">
            <w:pPr>
              <w:rPr>
                <w:color w:val="534AB7"/>
                <w:sz w:val="19"/>
                <w:szCs w:val="19"/>
              </w:rPr>
            </w:pPr>
            <w:r>
              <w:rPr>
                <w:color w:val="534AB7"/>
                <w:sz w:val="19"/>
                <w:szCs w:val="19"/>
              </w:rPr>
              <w:t>Data Products</w:t>
            </w:r>
          </w:p>
          <w:p w14:paraId="4C519164" w14:textId="244CD42A" w:rsidR="006A5031" w:rsidRDefault="006A5031">
            <w:pPr>
              <w:rPr>
                <w:color w:val="534AB7"/>
                <w:sz w:val="19"/>
                <w:szCs w:val="19"/>
              </w:rPr>
            </w:pPr>
            <w:r>
              <w:rPr>
                <w:color w:val="534AB7"/>
                <w:sz w:val="19"/>
                <w:szCs w:val="19"/>
              </w:rPr>
              <w:t>Status Trackers</w:t>
            </w:r>
          </w:p>
          <w:p w14:paraId="2F4B0B19" w14:textId="6F0C20F2" w:rsidR="006A5031" w:rsidRDefault="006A5031">
            <w:pPr>
              <w:rPr>
                <w:color w:val="534AB7"/>
                <w:sz w:val="19"/>
                <w:szCs w:val="19"/>
              </w:rPr>
            </w:pPr>
            <w:r>
              <w:rPr>
                <w:color w:val="534AB7"/>
                <w:sz w:val="19"/>
                <w:szCs w:val="19"/>
              </w:rPr>
              <w:t>Related Artifacts</w:t>
            </w:r>
          </w:p>
          <w:p w14:paraId="25BF2B3F" w14:textId="68BEA9C7" w:rsidR="006A5031" w:rsidRDefault="006A5031" w:rsidP="006A5031"/>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31EADF9D" w14:textId="77777777" w:rsidR="00D53077" w:rsidRDefault="00000000">
            <w:pPr>
              <w:jc w:val="center"/>
            </w:pPr>
            <w:r>
              <w:rPr>
                <w:color w:val="AAAAAA"/>
                <w:sz w:val="20"/>
                <w:szCs w:val="20"/>
              </w:rPr>
              <w:t>→</w:t>
            </w:r>
          </w:p>
        </w:tc>
        <w:tc>
          <w:tcPr>
            <w:tcW w:w="0" w:type="auto"/>
            <w:vMerge/>
            <w:tcBorders>
              <w:top w:val="none" w:sz="0" w:space="0" w:color="FFFFFF"/>
              <w:left w:val="single" w:sz="3" w:space="0" w:color="534AB7"/>
              <w:bottom w:val="none" w:sz="0" w:space="0" w:color="FFFFFF"/>
              <w:right w:val="none" w:sz="0" w:space="0" w:color="FFFFFF"/>
            </w:tcBorders>
          </w:tcPr>
          <w:p w14:paraId="1A9147B4" w14:textId="77777777" w:rsidR="00D53077" w:rsidRDefault="00D53077"/>
        </w:tc>
      </w:tr>
      <w:tr w:rsidR="00D53077" w14:paraId="275BA68F"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FFF"/>
          </w:tcPr>
          <w:p w14:paraId="756CD0DB" w14:textId="77777777" w:rsidR="00D53077" w:rsidRDefault="00D53077"/>
        </w:tc>
        <w:tc>
          <w:tcPr>
            <w:tcW w:w="600" w:type="dxa"/>
            <w:tcBorders>
              <w:top w:val="none" w:sz="0" w:space="0" w:color="FFFFFF"/>
              <w:left w:val="none" w:sz="0" w:space="0" w:color="FFFFFF"/>
              <w:bottom w:val="none" w:sz="0" w:space="0" w:color="FFFFFF"/>
              <w:right w:val="none" w:sz="0" w:space="0" w:color="FFFFFF"/>
            </w:tcBorders>
            <w:shd w:val="clear" w:color="auto" w:fill="FFFFFF"/>
          </w:tcPr>
          <w:p w14:paraId="6A9562BC" w14:textId="77777777" w:rsidR="00D53077" w:rsidRDefault="00D53077"/>
        </w:tc>
        <w:tc>
          <w:tcPr>
            <w:tcW w:w="4560" w:type="dxa"/>
            <w:tcBorders>
              <w:top w:val="none" w:sz="0" w:space="0" w:color="FFFFFF"/>
              <w:left w:val="none" w:sz="0" w:space="0" w:color="FFFFFF"/>
              <w:bottom w:val="none" w:sz="0" w:space="0" w:color="FFFFFF"/>
              <w:right w:val="none" w:sz="0" w:space="0" w:color="FFFFFF"/>
            </w:tcBorders>
            <w:shd w:val="clear" w:color="auto" w:fill="FFFFFF"/>
          </w:tcPr>
          <w:p w14:paraId="7FF9A5D4" w14:textId="77777777" w:rsidR="00D53077" w:rsidRDefault="00D53077"/>
        </w:tc>
      </w:tr>
      <w:tr w:rsidR="00D53077" w14:paraId="211A9FB4"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40" w:type="dxa"/>
              <w:right w:w="120" w:type="dxa"/>
            </w:tcMar>
          </w:tcPr>
          <w:p w14:paraId="02118F0C" w14:textId="3AEF2C65" w:rsidR="00D53077" w:rsidRDefault="00000000">
            <w:r>
              <w:rPr>
                <w:color w:val="0F6E56"/>
                <w:sz w:val="19"/>
                <w:szCs w:val="19"/>
              </w:rPr>
              <w:t xml:space="preserve">Entity </w:t>
            </w:r>
            <w:r w:rsidR="006A5031">
              <w:rPr>
                <w:color w:val="0F6E56"/>
                <w:sz w:val="19"/>
                <w:szCs w:val="19"/>
              </w:rPr>
              <w:t>E</w:t>
            </w:r>
            <w:r>
              <w:rPr>
                <w:color w:val="0F6E56"/>
                <w:sz w:val="19"/>
                <w:szCs w:val="19"/>
              </w:rPr>
              <w:t xml:space="preserve">xtraction </w:t>
            </w:r>
            <w:r w:rsidR="006A5031">
              <w:rPr>
                <w:color w:val="0F6E56"/>
                <w:sz w:val="19"/>
                <w:szCs w:val="19"/>
              </w:rPr>
              <w:t>Search</w:t>
            </w: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76A983B1" w14:textId="77777777" w:rsidR="00D53077" w:rsidRDefault="00000000">
            <w:pPr>
              <w:jc w:val="center"/>
            </w:pPr>
            <w:r>
              <w:rPr>
                <w:color w:val="AAAAAA"/>
                <w:sz w:val="20"/>
                <w:szCs w:val="20"/>
              </w:rPr>
              <w:t>→</w:t>
            </w:r>
          </w:p>
        </w:tc>
        <w:tc>
          <w:tcPr>
            <w:tcW w:w="4560" w:type="dxa"/>
            <w:vMerge w:val="restart"/>
            <w:tcBorders>
              <w:top w:val="none" w:sz="0" w:space="0" w:color="FFFFFF"/>
              <w:left w:val="single" w:sz="3" w:space="0" w:color="0F6E56"/>
              <w:bottom w:val="none" w:sz="0" w:space="0" w:color="FFFFFF"/>
              <w:right w:val="none" w:sz="0" w:space="0" w:color="FFFFFF"/>
            </w:tcBorders>
            <w:shd w:val="clear" w:color="auto" w:fill="F0FAF6"/>
            <w:tcMar>
              <w:top w:w="80" w:type="dxa"/>
              <w:left w:w="160" w:type="dxa"/>
              <w:bottom w:w="40" w:type="dxa"/>
              <w:right w:w="120" w:type="dxa"/>
            </w:tcMar>
          </w:tcPr>
          <w:p w14:paraId="602E1051" w14:textId="674DA96A" w:rsidR="00D53077" w:rsidRDefault="00000000">
            <w:r>
              <w:rPr>
                <w:b/>
                <w:bCs/>
                <w:color w:val="085041"/>
              </w:rPr>
              <w:t xml:space="preserve">Technical </w:t>
            </w:r>
            <w:r w:rsidR="00D374E4">
              <w:rPr>
                <w:b/>
                <w:bCs/>
                <w:color w:val="085041"/>
              </w:rPr>
              <w:t>C</w:t>
            </w:r>
            <w:r>
              <w:rPr>
                <w:b/>
                <w:bCs/>
                <w:color w:val="085041"/>
              </w:rPr>
              <w:t>atalog</w:t>
            </w:r>
          </w:p>
          <w:p w14:paraId="6234DD4C" w14:textId="77777777" w:rsidR="00D53077" w:rsidRDefault="00000000">
            <w:pPr>
              <w:spacing w:before="40"/>
            </w:pPr>
            <w:r>
              <w:rPr>
                <w:color w:val="1D9E75"/>
                <w:sz w:val="18"/>
                <w:szCs w:val="18"/>
              </w:rPr>
              <w:t>For data engineers, platform &amp; ops teams</w:t>
            </w:r>
          </w:p>
        </w:tc>
      </w:tr>
      <w:tr w:rsidR="00D53077" w14:paraId="5CAFDAEF"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1F5EE"/>
            <w:tcMar>
              <w:top w:w="40" w:type="dxa"/>
              <w:left w:w="120" w:type="dxa"/>
              <w:bottom w:w="40" w:type="dxa"/>
              <w:right w:w="120" w:type="dxa"/>
            </w:tcMar>
          </w:tcPr>
          <w:p w14:paraId="156D6FDF" w14:textId="77777777" w:rsidR="00D53077" w:rsidRDefault="00000000">
            <w:r>
              <w:rPr>
                <w:color w:val="0F6E56"/>
                <w:sz w:val="19"/>
                <w:szCs w:val="19"/>
              </w:rPr>
              <w:t>Dataset registration</w:t>
            </w: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22696953" w14:textId="77777777" w:rsidR="00D53077" w:rsidRDefault="00000000">
            <w:pPr>
              <w:jc w:val="center"/>
            </w:pPr>
            <w:r>
              <w:rPr>
                <w:color w:val="AAAAAA"/>
                <w:sz w:val="20"/>
                <w:szCs w:val="20"/>
              </w:rPr>
              <w:t>→</w:t>
            </w:r>
          </w:p>
        </w:tc>
        <w:tc>
          <w:tcPr>
            <w:tcW w:w="0" w:type="auto"/>
            <w:vMerge/>
            <w:tcBorders>
              <w:top w:val="none" w:sz="0" w:space="0" w:color="FFFFFF"/>
              <w:left w:val="single" w:sz="3" w:space="0" w:color="0F6E56"/>
              <w:bottom w:val="none" w:sz="0" w:space="0" w:color="FFFFFF"/>
              <w:right w:val="none" w:sz="0" w:space="0" w:color="FFFFFF"/>
            </w:tcBorders>
          </w:tcPr>
          <w:p w14:paraId="40FA482E" w14:textId="77777777" w:rsidR="00D53077" w:rsidRDefault="00D53077"/>
        </w:tc>
      </w:tr>
      <w:tr w:rsidR="00D53077" w14:paraId="5E6FDCB1"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E1F5EE"/>
            <w:tcMar>
              <w:top w:w="40" w:type="dxa"/>
              <w:left w:w="120" w:type="dxa"/>
              <w:bottom w:w="80" w:type="dxa"/>
              <w:right w:w="120" w:type="dxa"/>
            </w:tcMar>
          </w:tcPr>
          <w:p w14:paraId="3FCAA7F1" w14:textId="5C999E0B" w:rsidR="006A5031" w:rsidRDefault="00000000">
            <w:pPr>
              <w:rPr>
                <w:color w:val="0F6E56"/>
                <w:sz w:val="19"/>
                <w:szCs w:val="19"/>
              </w:rPr>
            </w:pPr>
            <w:r>
              <w:rPr>
                <w:color w:val="0F6E56"/>
                <w:sz w:val="19"/>
                <w:szCs w:val="19"/>
              </w:rPr>
              <w:t>Move data</w:t>
            </w:r>
          </w:p>
          <w:p w14:paraId="2A48399C" w14:textId="77777777" w:rsidR="006A5031" w:rsidRDefault="006A5031">
            <w:pPr>
              <w:rPr>
                <w:color w:val="854F0B"/>
                <w:sz w:val="19"/>
                <w:szCs w:val="19"/>
              </w:rPr>
            </w:pPr>
            <w:r>
              <w:rPr>
                <w:color w:val="854F0B"/>
                <w:sz w:val="19"/>
                <w:szCs w:val="19"/>
              </w:rPr>
              <w:t>Query data / index</w:t>
            </w:r>
          </w:p>
          <w:p w14:paraId="616EF4F0" w14:textId="7E5A15CB" w:rsidR="006A5031" w:rsidRPr="006A5031" w:rsidRDefault="006A5031">
            <w:pPr>
              <w:rPr>
                <w:color w:val="854F0B"/>
                <w:sz w:val="19"/>
                <w:szCs w:val="19"/>
              </w:rPr>
            </w:pPr>
            <w:r>
              <w:rPr>
                <w:color w:val="854F0B"/>
                <w:sz w:val="19"/>
                <w:szCs w:val="19"/>
              </w:rPr>
              <w:t>Artifacts Catalog</w:t>
            </w: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78B78D86" w14:textId="77777777" w:rsidR="00D53077" w:rsidRDefault="00000000">
            <w:pPr>
              <w:jc w:val="center"/>
            </w:pPr>
            <w:r>
              <w:rPr>
                <w:color w:val="AAAAAA"/>
                <w:sz w:val="20"/>
                <w:szCs w:val="20"/>
              </w:rPr>
              <w:t>→</w:t>
            </w:r>
          </w:p>
        </w:tc>
        <w:tc>
          <w:tcPr>
            <w:tcW w:w="0" w:type="auto"/>
            <w:vMerge/>
            <w:tcBorders>
              <w:top w:val="none" w:sz="0" w:space="0" w:color="FFFFFF"/>
              <w:left w:val="single" w:sz="3" w:space="0" w:color="0F6E56"/>
              <w:bottom w:val="none" w:sz="0" w:space="0" w:color="FFFFFF"/>
              <w:right w:val="none" w:sz="0" w:space="0" w:color="FFFFFF"/>
            </w:tcBorders>
          </w:tcPr>
          <w:p w14:paraId="34BD54ED" w14:textId="77777777" w:rsidR="00D53077" w:rsidRDefault="00D53077"/>
        </w:tc>
      </w:tr>
      <w:tr w:rsidR="00D53077" w14:paraId="23986FCF"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FFF"/>
          </w:tcPr>
          <w:p w14:paraId="04724EEB" w14:textId="77777777" w:rsidR="00D53077" w:rsidRDefault="00D53077"/>
        </w:tc>
        <w:tc>
          <w:tcPr>
            <w:tcW w:w="600" w:type="dxa"/>
            <w:tcBorders>
              <w:top w:val="none" w:sz="0" w:space="0" w:color="FFFFFF"/>
              <w:left w:val="none" w:sz="0" w:space="0" w:color="FFFFFF"/>
              <w:bottom w:val="none" w:sz="0" w:space="0" w:color="FFFFFF"/>
              <w:right w:val="none" w:sz="0" w:space="0" w:color="FFFFFF"/>
            </w:tcBorders>
            <w:shd w:val="clear" w:color="auto" w:fill="FFFFFF"/>
          </w:tcPr>
          <w:p w14:paraId="304A2DF7" w14:textId="77777777" w:rsidR="00D53077" w:rsidRDefault="00D53077"/>
        </w:tc>
        <w:tc>
          <w:tcPr>
            <w:tcW w:w="4560" w:type="dxa"/>
            <w:tcBorders>
              <w:top w:val="none" w:sz="0" w:space="0" w:color="FFFFFF"/>
              <w:left w:val="none" w:sz="0" w:space="0" w:color="FFFFFF"/>
              <w:bottom w:val="none" w:sz="0" w:space="0" w:color="FFFFFF"/>
              <w:right w:val="none" w:sz="0" w:space="0" w:color="FFFFFF"/>
            </w:tcBorders>
            <w:shd w:val="clear" w:color="auto" w:fill="FFFFFF"/>
          </w:tcPr>
          <w:p w14:paraId="28D23719" w14:textId="77777777" w:rsidR="00D53077" w:rsidRDefault="00D53077"/>
        </w:tc>
      </w:tr>
      <w:tr w:rsidR="00D53077" w14:paraId="041C3D97"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3E0"/>
            <w:tcMar>
              <w:top w:w="80" w:type="dxa"/>
              <w:left w:w="120" w:type="dxa"/>
              <w:bottom w:w="80" w:type="dxa"/>
              <w:right w:w="120" w:type="dxa"/>
            </w:tcMar>
          </w:tcPr>
          <w:p w14:paraId="69A89375" w14:textId="65E8CAB0" w:rsidR="006A5031" w:rsidRDefault="006A5031">
            <w:pPr>
              <w:rPr>
                <w:color w:val="854F0B"/>
                <w:sz w:val="19"/>
                <w:szCs w:val="19"/>
              </w:rPr>
            </w:pPr>
            <w:r>
              <w:rPr>
                <w:color w:val="854F0B"/>
                <w:sz w:val="19"/>
                <w:szCs w:val="19"/>
              </w:rPr>
              <w:t>Register Data</w:t>
            </w:r>
          </w:p>
          <w:p w14:paraId="63E55AA6" w14:textId="45D8B485" w:rsidR="006A5031" w:rsidRDefault="006A5031">
            <w:pPr>
              <w:rPr>
                <w:color w:val="854F0B"/>
                <w:sz w:val="19"/>
                <w:szCs w:val="19"/>
              </w:rPr>
            </w:pPr>
            <w:r>
              <w:rPr>
                <w:color w:val="854F0B"/>
                <w:sz w:val="19"/>
                <w:szCs w:val="19"/>
              </w:rPr>
              <w:t>Move Data</w:t>
            </w:r>
          </w:p>
          <w:p w14:paraId="68A80433" w14:textId="6DFA8DB1" w:rsidR="006A5031" w:rsidRDefault="006A5031">
            <w:pPr>
              <w:rPr>
                <w:color w:val="854F0B"/>
                <w:sz w:val="19"/>
                <w:szCs w:val="19"/>
              </w:rPr>
            </w:pPr>
            <w:r>
              <w:rPr>
                <w:color w:val="854F0B"/>
                <w:sz w:val="19"/>
                <w:szCs w:val="19"/>
              </w:rPr>
              <w:t>Request Conditioning</w:t>
            </w:r>
          </w:p>
          <w:p w14:paraId="72789A6D" w14:textId="469A3042" w:rsidR="006A5031" w:rsidRDefault="006A5031">
            <w:pPr>
              <w:rPr>
                <w:color w:val="854F0B"/>
                <w:sz w:val="19"/>
                <w:szCs w:val="19"/>
              </w:rPr>
            </w:pPr>
            <w:r>
              <w:rPr>
                <w:color w:val="854F0B"/>
                <w:sz w:val="19"/>
                <w:szCs w:val="19"/>
              </w:rPr>
              <w:t>Edit Records</w:t>
            </w:r>
          </w:p>
          <w:p w14:paraId="5D9BE4C0" w14:textId="77777777" w:rsidR="006A5031" w:rsidRDefault="006A5031">
            <w:pPr>
              <w:rPr>
                <w:color w:val="854F0B"/>
                <w:sz w:val="19"/>
                <w:szCs w:val="19"/>
              </w:rPr>
            </w:pPr>
          </w:p>
          <w:p w14:paraId="6891CA5C" w14:textId="77777777" w:rsidR="006A5031" w:rsidRDefault="006A5031">
            <w:pPr>
              <w:rPr>
                <w:color w:val="854F0B"/>
                <w:sz w:val="19"/>
                <w:szCs w:val="19"/>
              </w:rPr>
            </w:pPr>
          </w:p>
          <w:p w14:paraId="467847EB" w14:textId="77777777" w:rsidR="006A5031" w:rsidRDefault="006A5031">
            <w:pPr>
              <w:rPr>
                <w:color w:val="854F0B"/>
                <w:sz w:val="19"/>
                <w:szCs w:val="19"/>
              </w:rPr>
            </w:pPr>
          </w:p>
          <w:p w14:paraId="2A0614BE" w14:textId="2473CCB3" w:rsidR="006A5031" w:rsidRDefault="006A5031"/>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46568DDF" w14:textId="77777777" w:rsidR="00D53077" w:rsidRDefault="00000000">
            <w:pPr>
              <w:jc w:val="center"/>
            </w:pPr>
            <w:r>
              <w:rPr>
                <w:color w:val="AAAAAA"/>
                <w:sz w:val="20"/>
                <w:szCs w:val="20"/>
              </w:rPr>
              <w:t>→</w:t>
            </w:r>
          </w:p>
        </w:tc>
        <w:tc>
          <w:tcPr>
            <w:tcW w:w="4560" w:type="dxa"/>
            <w:tcBorders>
              <w:top w:val="none" w:sz="0" w:space="0" w:color="FFFFFF"/>
              <w:left w:val="single" w:sz="3" w:space="0" w:color="BA7517"/>
              <w:bottom w:val="none" w:sz="0" w:space="0" w:color="FFFFFF"/>
              <w:right w:val="none" w:sz="0" w:space="0" w:color="FFFFFF"/>
            </w:tcBorders>
            <w:shd w:val="clear" w:color="auto" w:fill="FFFBF0"/>
            <w:tcMar>
              <w:top w:w="80" w:type="dxa"/>
              <w:left w:w="160" w:type="dxa"/>
              <w:bottom w:w="80" w:type="dxa"/>
              <w:right w:w="120" w:type="dxa"/>
            </w:tcMar>
          </w:tcPr>
          <w:p w14:paraId="018D7D7B" w14:textId="49E94368" w:rsidR="00D53077" w:rsidRDefault="00000000">
            <w:r>
              <w:rPr>
                <w:b/>
                <w:bCs/>
                <w:color w:val="633806"/>
              </w:rPr>
              <w:t xml:space="preserve">Shared </w:t>
            </w:r>
            <w:r w:rsidR="00D374E4">
              <w:rPr>
                <w:b/>
                <w:bCs/>
                <w:color w:val="633806"/>
              </w:rPr>
              <w:t>A</w:t>
            </w:r>
            <w:r>
              <w:rPr>
                <w:b/>
                <w:bCs/>
                <w:color w:val="633806"/>
              </w:rPr>
              <w:t xml:space="preserve">ctions </w:t>
            </w:r>
            <w:r w:rsidR="00EF0D7B">
              <w:rPr>
                <w:b/>
                <w:bCs/>
                <w:color w:val="633806"/>
              </w:rPr>
              <w:t>L</w:t>
            </w:r>
            <w:r>
              <w:rPr>
                <w:b/>
                <w:bCs/>
                <w:color w:val="633806"/>
              </w:rPr>
              <w:t>ayer</w:t>
            </w:r>
          </w:p>
          <w:p w14:paraId="2C138684" w14:textId="77777777" w:rsidR="00D53077" w:rsidRDefault="00000000">
            <w:pPr>
              <w:spacing w:before="40"/>
            </w:pPr>
            <w:r>
              <w:rPr>
                <w:color w:val="BA7517"/>
                <w:sz w:val="18"/>
                <w:szCs w:val="18"/>
              </w:rPr>
              <w:t>Register · Move · Query · Extract — available in both catalogs</w:t>
            </w:r>
          </w:p>
        </w:tc>
      </w:tr>
      <w:tr w:rsidR="006A5031" w14:paraId="091C5825" w14:textId="77777777" w:rsidTr="004A613B">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3E0"/>
            <w:tcMar>
              <w:top w:w="80" w:type="dxa"/>
              <w:left w:w="120" w:type="dxa"/>
              <w:bottom w:w="80" w:type="dxa"/>
              <w:right w:w="120" w:type="dxa"/>
            </w:tcMar>
          </w:tcPr>
          <w:p w14:paraId="6130EB97" w14:textId="77777777" w:rsidR="006A5031" w:rsidRDefault="006A5031" w:rsidP="004A613B">
            <w:pPr>
              <w:rPr>
                <w:color w:val="854F0B"/>
                <w:sz w:val="19"/>
                <w:szCs w:val="19"/>
              </w:rPr>
            </w:pPr>
            <w:r>
              <w:rPr>
                <w:color w:val="854F0B"/>
                <w:sz w:val="19"/>
                <w:szCs w:val="19"/>
              </w:rPr>
              <w:t>Shared Profile</w:t>
            </w:r>
          </w:p>
          <w:p w14:paraId="55B547A4" w14:textId="11B5A89C" w:rsidR="006A5031" w:rsidRDefault="006A5031" w:rsidP="004A613B">
            <w:pPr>
              <w:rPr>
                <w:color w:val="854F0B"/>
                <w:sz w:val="19"/>
                <w:szCs w:val="19"/>
              </w:rPr>
            </w:pPr>
            <w:r>
              <w:rPr>
                <w:color w:val="854F0B"/>
                <w:sz w:val="19"/>
                <w:szCs w:val="19"/>
              </w:rPr>
              <w:t>Shared Feedback gathering</w:t>
            </w:r>
          </w:p>
          <w:p w14:paraId="120FB357" w14:textId="79981C50" w:rsidR="006A5031" w:rsidRDefault="006A5031" w:rsidP="004A613B">
            <w:pPr>
              <w:rPr>
                <w:color w:val="854F0B"/>
                <w:sz w:val="19"/>
                <w:szCs w:val="19"/>
              </w:rPr>
            </w:pPr>
            <w:r>
              <w:rPr>
                <w:color w:val="854F0B"/>
                <w:sz w:val="19"/>
                <w:szCs w:val="19"/>
              </w:rPr>
              <w:t>Shared Header</w:t>
            </w:r>
          </w:p>
          <w:p w14:paraId="4E1B722E" w14:textId="2D3D7624" w:rsidR="006A5031" w:rsidRDefault="006A5031" w:rsidP="004A613B">
            <w:pPr>
              <w:rPr>
                <w:color w:val="854F0B"/>
                <w:sz w:val="19"/>
                <w:szCs w:val="19"/>
              </w:rPr>
            </w:pPr>
            <w:r>
              <w:rPr>
                <w:color w:val="854F0B"/>
                <w:sz w:val="19"/>
                <w:szCs w:val="19"/>
              </w:rPr>
              <w:t>Shared Search</w:t>
            </w:r>
          </w:p>
          <w:p w14:paraId="115F3A59" w14:textId="25D9C185" w:rsidR="006A5031" w:rsidRDefault="006A5031" w:rsidP="004A613B">
            <w:pPr>
              <w:rPr>
                <w:color w:val="854F0B"/>
                <w:sz w:val="19"/>
                <w:szCs w:val="19"/>
              </w:rPr>
            </w:pPr>
            <w:r>
              <w:rPr>
                <w:color w:val="854F0B"/>
                <w:sz w:val="19"/>
                <w:szCs w:val="19"/>
              </w:rPr>
              <w:t>Regex Search</w:t>
            </w:r>
          </w:p>
          <w:p w14:paraId="2CCAE191" w14:textId="77777777" w:rsidR="006A5031" w:rsidRDefault="006A5031" w:rsidP="004A613B">
            <w:pPr>
              <w:rPr>
                <w:color w:val="854F0B"/>
                <w:sz w:val="19"/>
                <w:szCs w:val="19"/>
              </w:rPr>
            </w:pPr>
          </w:p>
          <w:p w14:paraId="7E3C3CC2" w14:textId="77777777" w:rsidR="006A5031" w:rsidRDefault="006A5031" w:rsidP="004A613B"/>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67F3CA72" w14:textId="77777777" w:rsidR="006A5031" w:rsidRDefault="006A5031" w:rsidP="004A613B">
            <w:pPr>
              <w:jc w:val="center"/>
            </w:pPr>
            <w:r>
              <w:rPr>
                <w:color w:val="AAAAAA"/>
                <w:sz w:val="20"/>
                <w:szCs w:val="20"/>
              </w:rPr>
              <w:t>→</w:t>
            </w:r>
          </w:p>
        </w:tc>
        <w:tc>
          <w:tcPr>
            <w:tcW w:w="4560" w:type="dxa"/>
            <w:tcBorders>
              <w:top w:val="none" w:sz="0" w:space="0" w:color="FFFFFF"/>
              <w:left w:val="single" w:sz="3" w:space="0" w:color="BA7517"/>
              <w:bottom w:val="none" w:sz="0" w:space="0" w:color="FFFFFF"/>
              <w:right w:val="none" w:sz="0" w:space="0" w:color="FFFFFF"/>
            </w:tcBorders>
            <w:shd w:val="clear" w:color="auto" w:fill="FFFBF0"/>
            <w:tcMar>
              <w:top w:w="80" w:type="dxa"/>
              <w:left w:w="160" w:type="dxa"/>
              <w:bottom w:w="80" w:type="dxa"/>
              <w:right w:w="120" w:type="dxa"/>
            </w:tcMar>
          </w:tcPr>
          <w:p w14:paraId="0EAA6DE1" w14:textId="006E0693" w:rsidR="006A5031" w:rsidRDefault="006A5031" w:rsidP="004A613B">
            <w:r>
              <w:rPr>
                <w:b/>
                <w:bCs/>
                <w:color w:val="633806"/>
              </w:rPr>
              <w:t xml:space="preserve">Shared </w:t>
            </w:r>
            <w:r>
              <w:rPr>
                <w:b/>
                <w:bCs/>
                <w:color w:val="633806"/>
              </w:rPr>
              <w:t>Components</w:t>
            </w:r>
          </w:p>
          <w:p w14:paraId="3B460AE2" w14:textId="17FED4CD" w:rsidR="006A5031" w:rsidRDefault="006A5031" w:rsidP="004A613B">
            <w:pPr>
              <w:spacing w:before="40"/>
            </w:pPr>
          </w:p>
        </w:tc>
      </w:tr>
      <w:tr w:rsidR="006A5031" w14:paraId="14BDB5F4"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shd w:val="clear" w:color="auto" w:fill="FFF3E0"/>
            <w:tcMar>
              <w:top w:w="80" w:type="dxa"/>
              <w:left w:w="120" w:type="dxa"/>
              <w:bottom w:w="80" w:type="dxa"/>
              <w:right w:w="120" w:type="dxa"/>
            </w:tcMar>
          </w:tcPr>
          <w:p w14:paraId="586F735C" w14:textId="77777777" w:rsidR="006A5031" w:rsidRDefault="006A5031">
            <w:pPr>
              <w:rPr>
                <w:color w:val="854F0B"/>
                <w:sz w:val="19"/>
                <w:szCs w:val="19"/>
              </w:rPr>
            </w:pPr>
          </w:p>
        </w:tc>
        <w:tc>
          <w:tcPr>
            <w:tcW w:w="600" w:type="dxa"/>
            <w:tcBorders>
              <w:top w:val="none" w:sz="0" w:space="0" w:color="FFFFFF"/>
              <w:left w:val="none" w:sz="0" w:space="0" w:color="FFFFFF"/>
              <w:bottom w:val="none" w:sz="0" w:space="0" w:color="FFFFFF"/>
              <w:right w:val="none" w:sz="0" w:space="0" w:color="FFFFFF"/>
            </w:tcBorders>
            <w:shd w:val="clear" w:color="auto" w:fill="F8F8F8"/>
            <w:vAlign w:val="center"/>
          </w:tcPr>
          <w:p w14:paraId="46A9701B" w14:textId="77777777" w:rsidR="006A5031" w:rsidRDefault="006A5031">
            <w:pPr>
              <w:jc w:val="center"/>
              <w:rPr>
                <w:color w:val="AAAAAA"/>
                <w:sz w:val="20"/>
                <w:szCs w:val="20"/>
              </w:rPr>
            </w:pPr>
          </w:p>
        </w:tc>
        <w:tc>
          <w:tcPr>
            <w:tcW w:w="4560" w:type="dxa"/>
            <w:tcBorders>
              <w:top w:val="none" w:sz="0" w:space="0" w:color="FFFFFF"/>
              <w:left w:val="single" w:sz="3" w:space="0" w:color="BA7517"/>
              <w:bottom w:val="none" w:sz="0" w:space="0" w:color="FFFFFF"/>
              <w:right w:val="none" w:sz="0" w:space="0" w:color="FFFFFF"/>
            </w:tcBorders>
            <w:shd w:val="clear" w:color="auto" w:fill="FFFBF0"/>
            <w:tcMar>
              <w:top w:w="80" w:type="dxa"/>
              <w:left w:w="160" w:type="dxa"/>
              <w:bottom w:w="80" w:type="dxa"/>
              <w:right w:w="120" w:type="dxa"/>
            </w:tcMar>
          </w:tcPr>
          <w:p w14:paraId="6D3E93EC" w14:textId="77777777" w:rsidR="006A5031" w:rsidRDefault="006A5031">
            <w:pPr>
              <w:rPr>
                <w:b/>
                <w:bCs/>
                <w:color w:val="633806"/>
              </w:rPr>
            </w:pPr>
          </w:p>
        </w:tc>
      </w:tr>
    </w:tbl>
    <w:p w14:paraId="4A737B58" w14:textId="77777777" w:rsidR="00D53077" w:rsidRDefault="00D53077">
      <w:pPr>
        <w:spacing w:before="200"/>
      </w:pPr>
    </w:p>
    <w:p w14:paraId="4B4FCAFA" w14:textId="77777777" w:rsidR="00D53077" w:rsidRDefault="00000000">
      <w:pPr>
        <w:pStyle w:val="Heading2"/>
      </w:pPr>
      <w:r>
        <w:t>The Catalog</w:t>
      </w:r>
    </w:p>
    <w:p w14:paraId="34A7BDC3" w14:textId="2DE1CDB4" w:rsidR="00D53077" w:rsidRDefault="00000000" w:rsidP="006A5031">
      <w:pPr>
        <w:spacing w:before="80" w:after="120"/>
      </w:pPr>
      <w:r>
        <w:rPr>
          <w:color w:val="333333"/>
        </w:rPr>
        <w:t xml:space="preserve">The Catalog is the primary surface for analysts, stakeholders, and business users. Its purpose is discovery and understanding. Users come here to find datasets, read </w:t>
      </w:r>
      <w:r w:rsidR="00C37CA3">
        <w:rPr>
          <w:color w:val="333333"/>
        </w:rPr>
        <w:t>descriptions</w:t>
      </w:r>
      <w:r>
        <w:rPr>
          <w:color w:val="333333"/>
        </w:rPr>
        <w:t>, understand what</w:t>
      </w:r>
      <w:r w:rsidR="00C37CA3">
        <w:rPr>
          <w:color w:val="333333"/>
        </w:rPr>
        <w:t xml:space="preserve"> and why the</w:t>
      </w:r>
      <w:r>
        <w:rPr>
          <w:color w:val="333333"/>
        </w:rPr>
        <w:t xml:space="preserve"> data exists</w:t>
      </w:r>
      <w:r w:rsidR="00C37CA3">
        <w:rPr>
          <w:color w:val="333333"/>
        </w:rPr>
        <w:t xml:space="preserve">. The catalog also supports Data Governance by </w:t>
      </w:r>
      <w:r w:rsidR="00C37CA3">
        <w:rPr>
          <w:color w:val="333333"/>
        </w:rPr>
        <w:lastRenderedPageBreak/>
        <w:t>highlighting POCs and stakeholders</w:t>
      </w:r>
      <w:r>
        <w:rPr>
          <w:color w:val="333333"/>
        </w:rPr>
        <w:t xml:space="preserve">. The interface is optimized for search, browsing, and clarity — not for </w:t>
      </w:r>
      <w:r w:rsidR="00C37CA3">
        <w:rPr>
          <w:color w:val="333333"/>
        </w:rPr>
        <w:t>content discovery</w:t>
      </w:r>
      <w:r>
        <w:rPr>
          <w:color w:val="333333"/>
        </w:rPr>
        <w:t>.</w:t>
      </w:r>
    </w:p>
    <w:p w14:paraId="2227A3C7" w14:textId="77777777" w:rsidR="00D53077" w:rsidRDefault="00000000">
      <w:pPr>
        <w:pStyle w:val="Heading2"/>
      </w:pPr>
      <w:r>
        <w:t>The Technical Catalog</w:t>
      </w:r>
    </w:p>
    <w:p w14:paraId="47E5E551" w14:textId="58BF03E6" w:rsidR="00D53077" w:rsidRDefault="00000000" w:rsidP="00D720D1">
      <w:pPr>
        <w:spacing w:before="80" w:after="120"/>
      </w:pPr>
      <w:r>
        <w:rPr>
          <w:color w:val="333333"/>
        </w:rPr>
        <w:t>The Technical Catalog is the same catalog — the same datasets, the same actions, the same URL structure — but viewed through</w:t>
      </w:r>
      <w:r w:rsidR="006A5031">
        <w:rPr>
          <w:color w:val="333333"/>
        </w:rPr>
        <w:t xml:space="preserve"> the </w:t>
      </w:r>
      <w:r>
        <w:rPr>
          <w:color w:val="333333"/>
        </w:rPr>
        <w:t>lens</w:t>
      </w:r>
      <w:r w:rsidR="006A5031">
        <w:rPr>
          <w:color w:val="333333"/>
        </w:rPr>
        <w:t xml:space="preserve"> of content</w:t>
      </w:r>
      <w:r>
        <w:rPr>
          <w:color w:val="333333"/>
        </w:rPr>
        <w:t xml:space="preserve">. When a </w:t>
      </w:r>
      <w:r w:rsidR="00685EA8">
        <w:rPr>
          <w:color w:val="333333"/>
        </w:rPr>
        <w:t>user</w:t>
      </w:r>
      <w:r>
        <w:rPr>
          <w:color w:val="333333"/>
        </w:rPr>
        <w:t xml:space="preserve"> switches to the technical catalog, they see </w:t>
      </w:r>
      <w:r w:rsidR="00D720D1">
        <w:rPr>
          <w:color w:val="333333"/>
        </w:rPr>
        <w:t>Content search, data product</w:t>
      </w:r>
      <w:r w:rsidR="00685EA8">
        <w:rPr>
          <w:color w:val="333333"/>
        </w:rPr>
        <w:t xml:space="preserve"> </w:t>
      </w:r>
      <w:r w:rsidR="00D720D1">
        <w:rPr>
          <w:color w:val="333333"/>
        </w:rPr>
        <w:t>query</w:t>
      </w:r>
      <w:r>
        <w:rPr>
          <w:color w:val="333333"/>
        </w:rPr>
        <w:t xml:space="preserve">, schema details, </w:t>
      </w:r>
      <w:r w:rsidR="00685EA8">
        <w:rPr>
          <w:color w:val="333333"/>
        </w:rPr>
        <w:t>tooling</w:t>
      </w:r>
      <w:r>
        <w:rPr>
          <w:color w:val="333333"/>
        </w:rPr>
        <w:t xml:space="preserve">. </w:t>
      </w:r>
      <w:r w:rsidR="00D720D1">
        <w:rPr>
          <w:color w:val="333333"/>
        </w:rPr>
        <w:t>This is the metadata layer for the data lake.</w:t>
      </w:r>
    </w:p>
    <w:p w14:paraId="599B2B1E" w14:textId="77777777" w:rsidR="00D53077" w:rsidRDefault="00000000">
      <w:pPr>
        <w:pStyle w:val="Heading2"/>
      </w:pPr>
      <w:r>
        <w:t>The shared actions layer</w:t>
      </w:r>
    </w:p>
    <w:p w14:paraId="30D1FDCF" w14:textId="7CB23D77" w:rsidR="00D53077" w:rsidRDefault="00000000">
      <w:pPr>
        <w:spacing w:before="80" w:after="120"/>
      </w:pPr>
      <w:r>
        <w:rPr>
          <w:color w:val="333333"/>
        </w:rPr>
        <w:t xml:space="preserve">Register, Move, Query, and Extract are not separate applications. They are actions that can be taken on any dataset, from either catalog. They appear in two places: as global actions in the header (to start a new operation without a dataset pre-selected) and as </w:t>
      </w:r>
      <w:r w:rsidR="00D720D1">
        <w:rPr>
          <w:color w:val="333333"/>
        </w:rPr>
        <w:t>dataset</w:t>
      </w:r>
      <w:r>
        <w:rPr>
          <w:color w:val="333333"/>
        </w:rPr>
        <w:t xml:space="preserve"> actions on each dataset card (to immediately scope the action to a specific dataset).</w:t>
      </w:r>
    </w:p>
    <w:p w14:paraId="19E11A6A" w14:textId="77777777" w:rsidR="00D53077" w:rsidRDefault="00D53077">
      <w:pPr>
        <w:pBdr>
          <w:bottom w:val="single" w:sz="4" w:space="1" w:color="DDDDDD"/>
        </w:pBdr>
        <w:spacing w:before="200" w:after="200"/>
      </w:pPr>
    </w:p>
    <w:p w14:paraId="6BBF1AB7" w14:textId="77777777" w:rsidR="00D53077" w:rsidRDefault="00000000">
      <w:pPr>
        <w:pStyle w:val="Heading1"/>
      </w:pPr>
      <w:r>
        <w:t>4. What is preserved</w:t>
      </w:r>
    </w:p>
    <w:p w14:paraId="1D70D6E5" w14:textId="77777777" w:rsidR="00D53077" w:rsidRDefault="00000000">
      <w:pPr>
        <w:spacing w:before="80" w:after="120"/>
      </w:pPr>
      <w:r>
        <w:rPr>
          <w:color w:val="333333"/>
        </w:rPr>
        <w:t>Every capability that exists today will exist in the new experience. Nothing is being removed. The table below maps current capabilities to their new home.</w:t>
      </w:r>
    </w:p>
    <w:p w14:paraId="0CF0BEC6" w14:textId="77777777" w:rsidR="00D53077" w:rsidRDefault="00D530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D53077" w14:paraId="7A675665"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AD37285" w14:textId="77777777" w:rsidR="00D53077" w:rsidRDefault="00000000">
            <w:r>
              <w:rPr>
                <w:b/>
                <w:bCs/>
                <w:color w:val="FFFFFF"/>
                <w:sz w:val="19"/>
                <w:szCs w:val="19"/>
              </w:rPr>
              <w:t>Capability</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DD21D2" w14:textId="77777777" w:rsidR="00D53077" w:rsidRDefault="00000000">
            <w:r>
              <w:rPr>
                <w:b/>
                <w:bCs/>
                <w:color w:val="FFFFFF"/>
                <w:sz w:val="19"/>
                <w:szCs w:val="19"/>
              </w:rPr>
              <w:t>Where it lives</w:t>
            </w:r>
          </w:p>
        </w:tc>
      </w:tr>
      <w:tr w:rsidR="00D53077" w14:paraId="7423D2C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6A4A1D" w14:textId="77777777" w:rsidR="00D53077" w:rsidRDefault="00000000">
            <w:r>
              <w:rPr>
                <w:color w:val="333333"/>
                <w:sz w:val="19"/>
                <w:szCs w:val="19"/>
              </w:rPr>
              <w:t>Data lake browsing &amp; dataset discovery</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AA2A41" w14:textId="77777777" w:rsidR="00D53077" w:rsidRDefault="00000000">
            <w:r>
              <w:rPr>
                <w:color w:val="333333"/>
                <w:sz w:val="19"/>
                <w:szCs w:val="19"/>
              </w:rPr>
              <w:t>Catalog + Technical catalog</w:t>
            </w:r>
          </w:p>
        </w:tc>
      </w:tr>
      <w:tr w:rsidR="00D53077" w14:paraId="21DA18B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A3453" w14:textId="77777777" w:rsidR="00D53077" w:rsidRDefault="00000000">
            <w:r>
              <w:rPr>
                <w:color w:val="333333"/>
                <w:sz w:val="19"/>
                <w:szCs w:val="19"/>
              </w:rPr>
              <w:t>Dataset search &amp; filtering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61CC2" w14:textId="77777777" w:rsidR="00D53077" w:rsidRDefault="00000000">
            <w:r>
              <w:rPr>
                <w:color w:val="333333"/>
                <w:sz w:val="19"/>
                <w:szCs w:val="19"/>
              </w:rPr>
              <w:t>Both catalogs (view adapts per audience)</w:t>
            </w:r>
          </w:p>
        </w:tc>
      </w:tr>
      <w:tr w:rsidR="00D53077" w14:paraId="49AF8E32"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F20C73" w14:textId="77777777" w:rsidR="00D53077" w:rsidRDefault="00000000">
            <w:r>
              <w:rPr>
                <w:color w:val="333333"/>
                <w:sz w:val="19"/>
                <w:szCs w:val="19"/>
              </w:rPr>
              <w:t>Dataset registration flow</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D482ED" w14:textId="77777777" w:rsidR="00D53077" w:rsidRDefault="00000000">
            <w:r>
              <w:rPr>
                <w:color w:val="333333"/>
                <w:sz w:val="19"/>
                <w:szCs w:val="19"/>
              </w:rPr>
              <w:t>Shared actions layer (header + row level)</w:t>
            </w:r>
          </w:p>
        </w:tc>
      </w:tr>
      <w:tr w:rsidR="00D53077" w14:paraId="435DF90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F4AB" w14:textId="77777777" w:rsidR="00D53077" w:rsidRDefault="00000000">
            <w:r>
              <w:rPr>
                <w:color w:val="333333"/>
                <w:sz w:val="19"/>
                <w:szCs w:val="19"/>
              </w:rPr>
              <w:t>Data movement configuration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4286" w14:textId="77777777" w:rsidR="00D53077" w:rsidRDefault="00000000">
            <w:r>
              <w:rPr>
                <w:color w:val="333333"/>
                <w:sz w:val="19"/>
                <w:szCs w:val="19"/>
              </w:rPr>
              <w:t>Shared actions layer</w:t>
            </w:r>
          </w:p>
        </w:tc>
      </w:tr>
      <w:tr w:rsidR="00D53077" w14:paraId="3BDE9ACF"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266B8A" w14:textId="77777777" w:rsidR="00D53077" w:rsidRDefault="00000000">
            <w:r>
              <w:rPr>
                <w:color w:val="333333"/>
                <w:sz w:val="19"/>
                <w:szCs w:val="19"/>
              </w:rPr>
              <w:t>Entity extraction pipeline</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F84E3E" w14:textId="77777777" w:rsidR="00D53077" w:rsidRDefault="00000000">
            <w:r>
              <w:rPr>
                <w:color w:val="333333"/>
                <w:sz w:val="19"/>
                <w:szCs w:val="19"/>
              </w:rPr>
              <w:t>Shared actions layer (technical view)</w:t>
            </w:r>
          </w:p>
        </w:tc>
      </w:tr>
      <w:tr w:rsidR="00D53077" w14:paraId="1BD8EF3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5BB75" w14:textId="77777777" w:rsidR="00D53077" w:rsidRDefault="00000000">
            <w:r>
              <w:rPr>
                <w:color w:val="333333"/>
                <w:sz w:val="19"/>
                <w:szCs w:val="19"/>
              </w:rPr>
              <w:t>Query builder &amp; index search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638D" w14:textId="77777777" w:rsidR="00D53077" w:rsidRDefault="00000000">
            <w:r>
              <w:rPr>
                <w:color w:val="333333"/>
                <w:sz w:val="19"/>
                <w:szCs w:val="19"/>
              </w:rPr>
              <w:t>Shared actions layer</w:t>
            </w:r>
          </w:p>
        </w:tc>
      </w:tr>
      <w:tr w:rsidR="00D53077" w14:paraId="24628E49"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5DE665" w14:textId="77777777" w:rsidR="00D53077" w:rsidRDefault="00000000">
            <w:r>
              <w:rPr>
                <w:color w:val="333333"/>
                <w:sz w:val="19"/>
                <w:szCs w:val="19"/>
              </w:rPr>
              <w:t>Certification &amp; governance metadata</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5CB397" w14:textId="77777777" w:rsidR="00D53077" w:rsidRDefault="00000000">
            <w:r>
              <w:rPr>
                <w:color w:val="333333"/>
                <w:sz w:val="19"/>
                <w:szCs w:val="19"/>
              </w:rPr>
              <w:t>Both catalogs</w:t>
            </w:r>
          </w:p>
        </w:tc>
      </w:tr>
      <w:tr w:rsidR="00D53077" w14:paraId="69377637"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459B" w14:textId="77777777" w:rsidR="00D53077" w:rsidRDefault="00000000">
            <w:r>
              <w:rPr>
                <w:color w:val="333333"/>
                <w:sz w:val="19"/>
                <w:szCs w:val="19"/>
              </w:rPr>
              <w:t>Lineage &amp; schema information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4943" w14:textId="77777777" w:rsidR="00D53077" w:rsidRDefault="00000000">
            <w:r>
              <w:rPr>
                <w:color w:val="333333"/>
                <w:sz w:val="19"/>
                <w:szCs w:val="19"/>
              </w:rPr>
              <w:t>Technical catalog detail view</w:t>
            </w:r>
          </w:p>
        </w:tc>
      </w:tr>
    </w:tbl>
    <w:p w14:paraId="0FBF04E2" w14:textId="77777777" w:rsidR="00D53077" w:rsidRDefault="00D5307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8290"/>
      </w:tblGrid>
      <w:tr w:rsidR="00D53077" w14:paraId="5FF5117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80" w:type="dxa"/>
            </w:tcMar>
            <w:vAlign w:val="center"/>
          </w:tcPr>
          <w:p w14:paraId="2E2B10F8" w14:textId="77777777" w:rsidR="00D53077" w:rsidRDefault="00000000">
            <w:pPr>
              <w:jc w:val="center"/>
            </w:pPr>
            <w:r>
              <w:rPr>
                <w:b/>
                <w:bCs/>
                <w:color w:val="0F6E56"/>
                <w:sz w:val="18"/>
                <w:szCs w:val="18"/>
              </w:rPr>
              <w:t>Important</w:t>
            </w:r>
          </w:p>
        </w:tc>
        <w:tc>
          <w:tcPr>
            <w:tcW w:w="896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4536BCC8" w14:textId="77777777" w:rsidR="00D53077" w:rsidRDefault="00000000">
            <w:r>
              <w:rPr>
                <w:color w:val="333333"/>
                <w:sz w:val="20"/>
                <w:szCs w:val="20"/>
              </w:rPr>
              <w:t>The work that went into building these capabilities — the data models, the API integrations, the pipeline logic, the query infrastructure — is not going away. We are rebuilding the front door, not the house.</w:t>
            </w:r>
          </w:p>
        </w:tc>
      </w:tr>
    </w:tbl>
    <w:p w14:paraId="1ED926C6" w14:textId="77777777" w:rsidR="00D53077" w:rsidRDefault="00D53077">
      <w:pPr>
        <w:pBdr>
          <w:bottom w:val="single" w:sz="4" w:space="1" w:color="DDDDDD"/>
        </w:pBdr>
        <w:spacing w:before="200" w:after="200"/>
      </w:pPr>
    </w:p>
    <w:p w14:paraId="0BB14ED4" w14:textId="77777777" w:rsidR="00D53077" w:rsidRDefault="00000000">
      <w:pPr>
        <w:pStyle w:val="Heading1"/>
      </w:pPr>
      <w:r>
        <w:t>7. What this means for teams</w:t>
      </w:r>
    </w:p>
    <w:p w14:paraId="2C29C6C6" w14:textId="77777777" w:rsidR="00D53077" w:rsidRDefault="00000000">
      <w:pPr>
        <w:pStyle w:val="Heading2"/>
      </w:pPr>
      <w:r>
        <w:lastRenderedPageBreak/>
        <w:t>For teams who built the current UIs</w:t>
      </w:r>
    </w:p>
    <w:p w14:paraId="59BB76C4" w14:textId="77777777" w:rsidR="00D53077" w:rsidRDefault="00000000">
      <w:pPr>
        <w:spacing w:before="80" w:after="120"/>
      </w:pPr>
      <w:r>
        <w:rPr>
          <w:color w:val="333333"/>
        </w:rPr>
        <w:t>Your work is the foundation this is built on. The domain knowledge that went into each UI — the edge cases you handled, the user feedback you incorporated, the integrations you built — will directly inform the design of the consolidated experience. We will be engaging each team in the migration process, not working around them.</w:t>
      </w:r>
    </w:p>
    <w:p w14:paraId="07C81912" w14:textId="77777777" w:rsidR="00D53077" w:rsidRDefault="00000000">
      <w:pPr>
        <w:spacing w:before="80" w:after="120"/>
      </w:pPr>
      <w:r>
        <w:rPr>
          <w:color w:val="333333"/>
        </w:rPr>
        <w:t>In practical terms, this means:</w:t>
      </w:r>
    </w:p>
    <w:p w14:paraId="22766F2E" w14:textId="77777777" w:rsidR="00D53077" w:rsidRDefault="00000000">
      <w:pPr>
        <w:pStyle w:val="ListParagraph"/>
        <w:numPr>
          <w:ilvl w:val="0"/>
          <w:numId w:val="2"/>
        </w:numPr>
        <w:spacing w:before="40" w:after="60"/>
      </w:pPr>
      <w:r>
        <w:rPr>
          <w:color w:val="333333"/>
        </w:rPr>
        <w:t>UI components and design patterns from existing tools will be reviewed for inclusion in the consolidated catalog.</w:t>
      </w:r>
    </w:p>
    <w:p w14:paraId="3493EE8F" w14:textId="77777777" w:rsidR="00D53077" w:rsidRDefault="00000000">
      <w:pPr>
        <w:pStyle w:val="ListParagraph"/>
        <w:numPr>
          <w:ilvl w:val="0"/>
          <w:numId w:val="2"/>
        </w:numPr>
        <w:spacing w:before="40" w:after="60"/>
      </w:pPr>
      <w:r>
        <w:rPr>
          <w:color w:val="333333"/>
        </w:rPr>
        <w:t>Backend services and API integrations remain unchanged — we are not re-engineering the data infrastructure.</w:t>
      </w:r>
    </w:p>
    <w:p w14:paraId="2A33BC4B" w14:textId="77777777" w:rsidR="00D53077" w:rsidRDefault="00000000">
      <w:pPr>
        <w:pStyle w:val="ListParagraph"/>
        <w:numPr>
          <w:ilvl w:val="0"/>
          <w:numId w:val="2"/>
        </w:numPr>
        <w:spacing w:before="40" w:after="60"/>
      </w:pPr>
      <w:r>
        <w:rPr>
          <w:color w:val="333333"/>
        </w:rPr>
        <w:t>Team members who have deep context on specific capabilities will be involved in the design and implementation of those capabilities in the new experience.</w:t>
      </w:r>
    </w:p>
    <w:p w14:paraId="1DCB42A5" w14:textId="77777777" w:rsidR="00D53077" w:rsidRDefault="00D53077">
      <w:pPr>
        <w:spacing w:before="80"/>
      </w:pPr>
    </w:p>
    <w:p w14:paraId="19C86CAA" w14:textId="77777777" w:rsidR="00D53077" w:rsidRDefault="00000000">
      <w:pPr>
        <w:pStyle w:val="Heading2"/>
      </w:pPr>
      <w:r>
        <w:t>For users of the current UIs</w:t>
      </w:r>
    </w:p>
    <w:p w14:paraId="38FD7C7E" w14:textId="77777777" w:rsidR="00D53077" w:rsidRDefault="00000000">
      <w:pPr>
        <w:spacing w:before="80" w:after="120"/>
      </w:pPr>
      <w:r>
        <w:rPr>
          <w:color w:val="333333"/>
        </w:rPr>
        <w:t>In the transition period, existing UIs will remain available. We will not sunset any tool until its capability is fully available in the consolidated catalog and users have had time to migrate. We will provide clear documentation mapping old workflows to new ones.</w:t>
      </w:r>
    </w:p>
    <w:p w14:paraId="6F9DB33B" w14:textId="77777777" w:rsidR="00D53077" w:rsidRDefault="00D53077">
      <w:pPr>
        <w:spacing w:before="80"/>
      </w:pPr>
    </w:p>
    <w:p w14:paraId="0FF1C6E3" w14:textId="77777777" w:rsidR="00D53077" w:rsidRDefault="00000000">
      <w:pPr>
        <w:pStyle w:val="Heading2"/>
      </w:pPr>
      <w:r>
        <w:t>For the Data Office platform team</w:t>
      </w:r>
    </w:p>
    <w:p w14:paraId="4967ADE2" w14:textId="77777777" w:rsidR="00D53077" w:rsidRDefault="00000000">
      <w:pPr>
        <w:spacing w:before="80" w:after="120"/>
      </w:pPr>
      <w:r>
        <w:rPr>
          <w:color w:val="333333"/>
        </w:rPr>
        <w:t>The two-catalog architecture establishes a stable, long-term surface for the Data Office. New dataset types, new pipeline capabilities, and new metadata standards will extend within this structure rather than spawning new standalone UIs. The principle going forward: new capability ships as an extension of an existing catalog or as a new action in the shared actions layer, not as a new application.</w:t>
      </w:r>
    </w:p>
    <w:p w14:paraId="29869284" w14:textId="77777777" w:rsidR="00D53077" w:rsidRDefault="00D53077">
      <w:pPr>
        <w:pBdr>
          <w:bottom w:val="single" w:sz="4" w:space="1" w:color="DDDDDD"/>
        </w:pBdr>
        <w:spacing w:before="200" w:after="200"/>
      </w:pPr>
    </w:p>
    <w:p w14:paraId="2AAF9C82" w14:textId="77777777" w:rsidR="00D53077" w:rsidRDefault="00000000">
      <w:pPr>
        <w:pStyle w:val="Heading1"/>
      </w:pPr>
      <w:r>
        <w:t>8. The direction, plainly stated</w:t>
      </w:r>
    </w:p>
    <w:p w14:paraId="2E13F6CD" w14:textId="77777777" w:rsidR="00D53077" w:rsidRDefault="00D530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8339"/>
      </w:tblGrid>
      <w:tr w:rsidR="00D53077" w14:paraId="46929D2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EF4FF"/>
            <w:tcMar>
              <w:top w:w="120" w:type="dxa"/>
              <w:left w:w="160" w:type="dxa"/>
              <w:bottom w:w="120" w:type="dxa"/>
              <w:right w:w="80" w:type="dxa"/>
            </w:tcMar>
            <w:vAlign w:val="center"/>
          </w:tcPr>
          <w:p w14:paraId="4EEFEC91" w14:textId="77777777" w:rsidR="00D53077" w:rsidRDefault="00000000">
            <w:pPr>
              <w:jc w:val="center"/>
            </w:pPr>
            <w:r>
              <w:rPr>
                <w:b/>
                <w:bCs/>
                <w:color w:val="185FA5"/>
                <w:sz w:val="18"/>
                <w:szCs w:val="18"/>
              </w:rPr>
              <w:t>Direction</w:t>
            </w:r>
          </w:p>
        </w:tc>
        <w:tc>
          <w:tcPr>
            <w:tcW w:w="8960" w:type="dxa"/>
            <w:tcBorders>
              <w:top w:val="none" w:sz="0" w:space="0" w:color="FFFFFF"/>
              <w:left w:val="none" w:sz="0" w:space="0" w:color="FFFFFF"/>
              <w:bottom w:val="none" w:sz="0" w:space="0" w:color="FFFFFF"/>
              <w:right w:val="none" w:sz="0" w:space="0" w:color="FFFFFF"/>
            </w:tcBorders>
            <w:shd w:val="clear" w:color="auto" w:fill="EEF4FF"/>
            <w:tcMar>
              <w:top w:w="120" w:type="dxa"/>
              <w:left w:w="160" w:type="dxa"/>
              <w:bottom w:w="120" w:type="dxa"/>
              <w:right w:w="160" w:type="dxa"/>
            </w:tcMar>
          </w:tcPr>
          <w:p w14:paraId="65534533" w14:textId="77777777" w:rsidR="00D53077" w:rsidRDefault="00000000">
            <w:r>
              <w:rPr>
                <w:color w:val="333333"/>
                <w:sz w:val="20"/>
                <w:szCs w:val="20"/>
              </w:rPr>
              <w:t>We are building two catalogs — one for business users and one for technical users — that share a common dataset inventory and a common set of actions. All current UI capabilities will be preserved and consolidated into this structure. No new standalone data office UIs will be built outside of this framework.</w:t>
            </w:r>
          </w:p>
        </w:tc>
      </w:tr>
    </w:tbl>
    <w:p w14:paraId="01A3C307" w14:textId="77777777" w:rsidR="00D53077" w:rsidRDefault="00D53077">
      <w:pPr>
        <w:spacing w:before="160"/>
      </w:pPr>
    </w:p>
    <w:p w14:paraId="027D9F91" w14:textId="77777777" w:rsidR="00D53077" w:rsidRDefault="00000000">
      <w:pPr>
        <w:spacing w:before="80" w:after="120"/>
      </w:pPr>
      <w:r>
        <w:rPr>
          <w:color w:val="333333"/>
        </w:rPr>
        <w:t>This is the direction. It is not a proposal open for debate on the core structure, though we welcome input on implementation details, migration sequencing, and capability design. The decision has been made because the user experience evidence is clear: seven separate tools with seven separate front doors is not serving our users or our organization.</w:t>
      </w:r>
    </w:p>
    <w:p w14:paraId="285F1DBF" w14:textId="77777777" w:rsidR="00D53077" w:rsidRDefault="00000000">
      <w:pPr>
        <w:spacing w:before="80" w:after="120"/>
      </w:pPr>
      <w:r>
        <w:rPr>
          <w:color w:val="333333"/>
        </w:rPr>
        <w:t xml:space="preserve">What we are asking from every team is engagement, not agreement. Bring your domain knowledge, your user feedback, and your implementation expertise to the table. The </w:t>
      </w:r>
      <w:r>
        <w:rPr>
          <w:color w:val="333333"/>
        </w:rPr>
        <w:lastRenderedPageBreak/>
        <w:t>consolidated catalog will be better because of everything each team has learned building the tools it is replacing.</w:t>
      </w:r>
    </w:p>
    <w:p w14:paraId="640503D5" w14:textId="77777777" w:rsidR="00D53077" w:rsidRDefault="00D53077">
      <w:pPr>
        <w:pBdr>
          <w:bottom w:val="single" w:sz="4" w:space="1" w:color="DDDDDD"/>
        </w:pBdr>
        <w:spacing w:before="200" w:after="200"/>
      </w:pPr>
    </w:p>
    <w:p w14:paraId="2F70F2F6" w14:textId="77777777" w:rsidR="00D53077" w:rsidRDefault="00000000">
      <w:pPr>
        <w:pStyle w:val="Heading1"/>
      </w:pPr>
      <w:r>
        <w:t>9. Next steps</w:t>
      </w:r>
    </w:p>
    <w:p w14:paraId="1B258ACE" w14:textId="77777777" w:rsidR="00D53077" w:rsidRDefault="00000000">
      <w:pPr>
        <w:spacing w:before="80" w:after="120"/>
      </w:pPr>
      <w:r>
        <w:rPr>
          <w:color w:val="333333"/>
        </w:rPr>
        <w:t>The following sequence will guide the transition:</w:t>
      </w:r>
    </w:p>
    <w:p w14:paraId="0A4AC699" w14:textId="77777777" w:rsidR="00D53077" w:rsidRDefault="00D53077">
      <w:pPr>
        <w:spacing w:before="80"/>
      </w:pPr>
    </w:p>
    <w:p w14:paraId="44681D02" w14:textId="77777777" w:rsidR="00D53077" w:rsidRDefault="00000000">
      <w:pPr>
        <w:pStyle w:val="ListParagraph"/>
        <w:numPr>
          <w:ilvl w:val="0"/>
          <w:numId w:val="2"/>
        </w:numPr>
        <w:spacing w:before="40" w:after="60"/>
      </w:pPr>
      <w:r>
        <w:rPr>
          <w:b/>
          <w:bCs/>
          <w:color w:val="333333"/>
        </w:rPr>
        <w:t>Capability mapping</w:t>
      </w:r>
      <w:r>
        <w:rPr>
          <w:color w:val="333333"/>
        </w:rPr>
        <w:t xml:space="preserve"> — Each current feature will be formally mapped to its location in the new architecture. No capability will be declared migrated until it has been reviewed and accepted.</w:t>
      </w:r>
    </w:p>
    <w:p w14:paraId="692DB2B6" w14:textId="77777777" w:rsidR="00D53077" w:rsidRDefault="00000000">
      <w:pPr>
        <w:pStyle w:val="ListParagraph"/>
        <w:numPr>
          <w:ilvl w:val="0"/>
          <w:numId w:val="2"/>
        </w:numPr>
        <w:spacing w:before="40" w:after="60"/>
      </w:pPr>
      <w:r>
        <w:rPr>
          <w:b/>
          <w:bCs/>
          <w:color w:val="333333"/>
        </w:rPr>
        <w:t>Phased build</w:t>
      </w:r>
      <w:r>
        <w:rPr>
          <w:color w:val="333333"/>
        </w:rPr>
        <w:t xml:space="preserve"> — We will build the consolidated catalog incrementally, launching with core discovery and registration capabilities before expanding to the full actions layer.</w:t>
      </w:r>
    </w:p>
    <w:p w14:paraId="192DD9EB" w14:textId="77777777" w:rsidR="00D53077" w:rsidRDefault="00000000">
      <w:pPr>
        <w:pStyle w:val="ListParagraph"/>
        <w:numPr>
          <w:ilvl w:val="0"/>
          <w:numId w:val="2"/>
        </w:numPr>
        <w:spacing w:before="40" w:after="60"/>
      </w:pPr>
      <w:r>
        <w:rPr>
          <w:b/>
          <w:bCs/>
          <w:color w:val="333333"/>
        </w:rPr>
        <w:t>Parallel running</w:t>
      </w:r>
      <w:r>
        <w:rPr>
          <w:color w:val="333333"/>
        </w:rPr>
        <w:t xml:space="preserve"> — Existing UIs remain live alongside the new catalog during the transition. Sunsetting is gated on user migration, not build completion.</w:t>
      </w:r>
    </w:p>
    <w:p w14:paraId="0F0DD222" w14:textId="77777777" w:rsidR="00D53077" w:rsidRDefault="00000000">
      <w:pPr>
        <w:pStyle w:val="ListParagraph"/>
        <w:numPr>
          <w:ilvl w:val="0"/>
          <w:numId w:val="2"/>
        </w:numPr>
        <w:spacing w:before="40" w:after="60"/>
      </w:pPr>
      <w:r>
        <w:rPr>
          <w:b/>
          <w:bCs/>
          <w:color w:val="333333"/>
        </w:rPr>
        <w:t>Sunset</w:t>
      </w:r>
      <w:r>
        <w:rPr>
          <w:color w:val="333333"/>
        </w:rPr>
        <w:t xml:space="preserve"> — Each existing UI is retired only after its users have migrated, its capabilities are confirmed present in the new catalog, and a 30-day notice period has passed.</w:t>
      </w:r>
    </w:p>
    <w:p w14:paraId="204319F3" w14:textId="77777777" w:rsidR="00D53077" w:rsidRDefault="00D53077">
      <w:pPr>
        <w:spacing w:before="200"/>
      </w:pPr>
    </w:p>
    <w:p w14:paraId="49475093" w14:textId="77777777" w:rsidR="00D53077" w:rsidRDefault="00000000">
      <w:pPr>
        <w:pBdr>
          <w:left w:val="single" w:sz="6" w:space="8" w:color="534AB7"/>
        </w:pBdr>
        <w:ind w:left="360"/>
      </w:pPr>
      <w:r>
        <w:rPr>
          <w:i/>
          <w:iCs/>
          <w:color w:val="555555"/>
        </w:rPr>
        <w:t>Questions, concerns, and input are welcome. The goal of this document is not to end the conversation — it is to start the right one. Reach out to the Data Office platform team.</w:t>
      </w:r>
    </w:p>
    <w:sectPr w:rsidR="00D53077">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9576" w14:textId="77777777" w:rsidR="000555C8" w:rsidRDefault="000555C8">
      <w:r>
        <w:separator/>
      </w:r>
    </w:p>
  </w:endnote>
  <w:endnote w:type="continuationSeparator" w:id="0">
    <w:p w14:paraId="2C96F0CF" w14:textId="77777777" w:rsidR="000555C8" w:rsidRDefault="00055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1D28" w14:textId="77777777" w:rsidR="000555C8" w:rsidRDefault="000555C8">
      <w:r>
        <w:separator/>
      </w:r>
    </w:p>
  </w:footnote>
  <w:footnote w:type="continuationSeparator" w:id="0">
    <w:p w14:paraId="0FC0B5CF" w14:textId="77777777" w:rsidR="000555C8" w:rsidRDefault="00055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AF72" w14:textId="77777777" w:rsidR="00D53077" w:rsidRDefault="00000000">
    <w:pPr>
      <w:pBdr>
        <w:bottom w:val="single" w:sz="4" w:space="1" w:color="DDDDDD"/>
      </w:pBdr>
      <w:tabs>
        <w:tab w:val="right" w:pos="9026"/>
      </w:tabs>
      <w:spacing w:after="120"/>
    </w:pPr>
    <w:r>
      <w:rPr>
        <w:color w:val="999999"/>
        <w:sz w:val="18"/>
        <w:szCs w:val="18"/>
      </w:rPr>
      <w:t>Data Office</w:t>
    </w:r>
    <w:r>
      <w:rPr>
        <w:color w:val="BBBBBB"/>
        <w:sz w:val="18"/>
        <w:szCs w:val="18"/>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7030"/>
    <w:multiLevelType w:val="hybridMultilevel"/>
    <w:tmpl w:val="520E7DC0"/>
    <w:lvl w:ilvl="0" w:tplc="D252213C">
      <w:start w:val="1"/>
      <w:numFmt w:val="bullet"/>
      <w:lvlText w:val="•"/>
      <w:lvlJc w:val="left"/>
      <w:pPr>
        <w:ind w:left="720" w:hanging="360"/>
      </w:pPr>
    </w:lvl>
    <w:lvl w:ilvl="1" w:tplc="60F8725A">
      <w:numFmt w:val="decimal"/>
      <w:lvlText w:val=""/>
      <w:lvlJc w:val="left"/>
    </w:lvl>
    <w:lvl w:ilvl="2" w:tplc="5AF604B8">
      <w:numFmt w:val="decimal"/>
      <w:lvlText w:val=""/>
      <w:lvlJc w:val="left"/>
    </w:lvl>
    <w:lvl w:ilvl="3" w:tplc="68B0BBAE">
      <w:numFmt w:val="decimal"/>
      <w:lvlText w:val=""/>
      <w:lvlJc w:val="left"/>
    </w:lvl>
    <w:lvl w:ilvl="4" w:tplc="ADF401AA">
      <w:numFmt w:val="decimal"/>
      <w:lvlText w:val=""/>
      <w:lvlJc w:val="left"/>
    </w:lvl>
    <w:lvl w:ilvl="5" w:tplc="3C9EEBF6">
      <w:numFmt w:val="decimal"/>
      <w:lvlText w:val=""/>
      <w:lvlJc w:val="left"/>
    </w:lvl>
    <w:lvl w:ilvl="6" w:tplc="D1D800E0">
      <w:numFmt w:val="decimal"/>
      <w:lvlText w:val=""/>
      <w:lvlJc w:val="left"/>
    </w:lvl>
    <w:lvl w:ilvl="7" w:tplc="097EAC34">
      <w:numFmt w:val="decimal"/>
      <w:lvlText w:val=""/>
      <w:lvlJc w:val="left"/>
    </w:lvl>
    <w:lvl w:ilvl="8" w:tplc="B9D0F918">
      <w:numFmt w:val="decimal"/>
      <w:lvlText w:val=""/>
      <w:lvlJc w:val="left"/>
    </w:lvl>
  </w:abstractNum>
  <w:abstractNum w:abstractNumId="1" w15:restartNumberingAfterBreak="0">
    <w:nsid w:val="3CAA0607"/>
    <w:multiLevelType w:val="hybridMultilevel"/>
    <w:tmpl w:val="C9B6CF4C"/>
    <w:lvl w:ilvl="0" w:tplc="11320F4C">
      <w:start w:val="1"/>
      <w:numFmt w:val="bullet"/>
      <w:lvlText w:val="●"/>
      <w:lvlJc w:val="left"/>
      <w:pPr>
        <w:ind w:left="720" w:hanging="360"/>
      </w:pPr>
    </w:lvl>
    <w:lvl w:ilvl="1" w:tplc="466E5002">
      <w:start w:val="1"/>
      <w:numFmt w:val="bullet"/>
      <w:lvlText w:val="○"/>
      <w:lvlJc w:val="left"/>
      <w:pPr>
        <w:ind w:left="1440" w:hanging="360"/>
      </w:pPr>
    </w:lvl>
    <w:lvl w:ilvl="2" w:tplc="D6669FB2">
      <w:start w:val="1"/>
      <w:numFmt w:val="bullet"/>
      <w:lvlText w:val="■"/>
      <w:lvlJc w:val="left"/>
      <w:pPr>
        <w:ind w:left="2160" w:hanging="360"/>
      </w:pPr>
    </w:lvl>
    <w:lvl w:ilvl="3" w:tplc="F372F348">
      <w:start w:val="1"/>
      <w:numFmt w:val="bullet"/>
      <w:lvlText w:val="●"/>
      <w:lvlJc w:val="left"/>
      <w:pPr>
        <w:ind w:left="2880" w:hanging="360"/>
      </w:pPr>
    </w:lvl>
    <w:lvl w:ilvl="4" w:tplc="AFF01CBC">
      <w:start w:val="1"/>
      <w:numFmt w:val="bullet"/>
      <w:lvlText w:val="○"/>
      <w:lvlJc w:val="left"/>
      <w:pPr>
        <w:ind w:left="3600" w:hanging="360"/>
      </w:pPr>
    </w:lvl>
    <w:lvl w:ilvl="5" w:tplc="9B9C4E56">
      <w:start w:val="1"/>
      <w:numFmt w:val="bullet"/>
      <w:lvlText w:val="■"/>
      <w:lvlJc w:val="left"/>
      <w:pPr>
        <w:ind w:left="4320" w:hanging="360"/>
      </w:pPr>
    </w:lvl>
    <w:lvl w:ilvl="6" w:tplc="BA54E162">
      <w:start w:val="1"/>
      <w:numFmt w:val="bullet"/>
      <w:lvlText w:val="●"/>
      <w:lvlJc w:val="left"/>
      <w:pPr>
        <w:ind w:left="5040" w:hanging="360"/>
      </w:pPr>
    </w:lvl>
    <w:lvl w:ilvl="7" w:tplc="24982310">
      <w:start w:val="1"/>
      <w:numFmt w:val="bullet"/>
      <w:lvlText w:val="●"/>
      <w:lvlJc w:val="left"/>
      <w:pPr>
        <w:ind w:left="5760" w:hanging="360"/>
      </w:pPr>
    </w:lvl>
    <w:lvl w:ilvl="8" w:tplc="87E4A088">
      <w:start w:val="1"/>
      <w:numFmt w:val="bullet"/>
      <w:lvlText w:val="●"/>
      <w:lvlJc w:val="left"/>
      <w:pPr>
        <w:ind w:left="6480" w:hanging="360"/>
      </w:pPr>
    </w:lvl>
  </w:abstractNum>
  <w:num w:numId="1" w16cid:durableId="296647132">
    <w:abstractNumId w:val="1"/>
    <w:lvlOverride w:ilvl="0">
      <w:startOverride w:val="1"/>
    </w:lvlOverride>
  </w:num>
  <w:num w:numId="2" w16cid:durableId="514349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077"/>
    <w:rsid w:val="000555C8"/>
    <w:rsid w:val="000A1990"/>
    <w:rsid w:val="00330185"/>
    <w:rsid w:val="003E4B77"/>
    <w:rsid w:val="0056121C"/>
    <w:rsid w:val="005E294F"/>
    <w:rsid w:val="005F12DE"/>
    <w:rsid w:val="00685EA8"/>
    <w:rsid w:val="006A5031"/>
    <w:rsid w:val="006E04F1"/>
    <w:rsid w:val="00862114"/>
    <w:rsid w:val="008C51C8"/>
    <w:rsid w:val="00996551"/>
    <w:rsid w:val="009A3BB8"/>
    <w:rsid w:val="00C37CA3"/>
    <w:rsid w:val="00D374E4"/>
    <w:rsid w:val="00D53077"/>
    <w:rsid w:val="00D720D1"/>
    <w:rsid w:val="00ED6A7E"/>
    <w:rsid w:val="00EF0D7B"/>
    <w:rsid w:val="00F3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A0EDCC"/>
  <w15:docId w15:val="{843E8777-947B-7C43-9D1D-637B36C7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1621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1378</Words>
  <Characters>7332</Characters>
  <Application>Microsoft Office Word</Application>
  <DocSecurity>0</DocSecurity>
  <Lines>188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W</cp:lastModifiedBy>
  <cp:revision>20</cp:revision>
  <dcterms:created xsi:type="dcterms:W3CDTF">2026-06-15T00:08:00Z</dcterms:created>
  <dcterms:modified xsi:type="dcterms:W3CDTF">2026-06-15T00:43:00Z</dcterms:modified>
</cp:coreProperties>
</file>