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6B70"/>
        </w:rPr>
        <w:t>DESIGN DEVELOPMENT  /  SDP</w:t>
      </w:r>
    </w:p>
    <w:p>
      <w:pPr>
        <w:pStyle w:val="Title"/>
      </w:pPr>
      <w:r>
        <w:t>Service Design and Architecture Decisions</w:t>
      </w:r>
    </w:p>
    <w:p>
      <w:pPr>
        <w:pStyle w:val="Subtitle"/>
      </w:pPr>
      <w:r>
        <w:t>Develop a service offer that engineering can translate into a bounded infrastructure design.</w:t>
      </w:r>
    </w:p>
    <w:p>
      <w:r>
        <w:t>Kit release v1.1 • 17 September 2026 • Parent architecture v1.4 retained</w:t>
      </w:r>
    </w:p>
    <w:p>
      <w:pPr>
        <w:keepLines/>
        <w:spacing w:before="120"/>
        <w:shd w:fill="EEF5F7" w:val="clear"/>
        <w:pBdr>
          <w:left w:val="single" w:sz="12" w:space="8" w:color="0B6B70"/>
        </w:pBdr>
      </w:pPr>
      <w:r>
        <w:rPr>
          <w:b/>
        </w:rPr>
        <w:t>Proposed engineering development. Reference examples, site decisions, actual observations and approval remain separate.</w:t>
      </w:r>
    </w:p>
    <w:p>
      <w:r>
        <w:t>This supplement develops the decisions behind AK-01–AK-08. It supplies worked alternatives, a service-envelope method and an engineering handoff. It does not replace the HLD template or pre-approve any site. Use the existing architecture register as the project record; the examples here explain how to complete it.</w:t>
      </w:r>
    </w:p>
    <w:p>
      <w:pPr>
        <w:pStyle w:val="Heading2"/>
      </w:pPr>
      <w:r>
        <w:t>Section navigation</w:t>
      </w:r>
    </w:p>
    <w:p>
      <w:pPr>
        <w:spacing w:after="60"/>
      </w:pPr>
      <w:hyperlink w:anchor="SDP_01">
        <w:r>
          <w:rPr>
            <w:color w:val="0B6B70"/>
            <w:u w:val="single"/>
          </w:rPr>
          <w:t>1. Define the offered service before choosing the build</w:t>
        </w:r>
      </w:hyperlink>
    </w:p>
    <w:p>
      <w:pPr>
        <w:spacing w:after="60"/>
      </w:pPr>
      <w:hyperlink w:anchor="SDP_02">
        <w:r>
          <w:rPr>
            <w:color w:val="0B6B70"/>
            <w:u w:val="single"/>
          </w:rPr>
          <w:t>2. Choose sharing at each infrastructure layer</w:t>
        </w:r>
      </w:hyperlink>
    </w:p>
    <w:p>
      <w:pPr>
        <w:spacing w:after="60"/>
      </w:pPr>
      <w:hyperlink w:anchor="SDP_03">
        <w:r>
          <w:rPr>
            <w:color w:val="0B6B70"/>
            <w:u w:val="single"/>
          </w:rPr>
          <w:t>3. Develop a boundary architecture decision</w:t>
        </w:r>
      </w:hyperlink>
    </w:p>
    <w:p>
      <w:pPr>
        <w:spacing w:after="60"/>
      </w:pPr>
      <w:hyperlink w:anchor="SDP_04">
        <w:r>
          <w:rPr>
            <w:color w:val="0B6B70"/>
            <w:u w:val="single"/>
          </w:rPr>
          <w:t>4. Turn dependencies into explicit service interfaces</w:t>
        </w:r>
      </w:hyperlink>
    </w:p>
    <w:p>
      <w:pPr>
        <w:spacing w:after="60"/>
      </w:pPr>
      <w:hyperlink w:anchor="SDP_05">
        <w:r>
          <w:rPr>
            <w:color w:val="0B6B70"/>
            <w:u w:val="single"/>
          </w:rPr>
          <w:t>5. Make capacity-on-demand and exit economically explainable</w:t>
        </w:r>
      </w:hyperlink>
    </w:p>
    <w:p>
      <w:pPr>
        <w:spacing w:after="60"/>
      </w:pPr>
      <w:hyperlink w:anchor="SDP_06">
        <w:r>
          <w:rPr>
            <w:color w:val="0B6B70"/>
            <w:u w:val="single"/>
          </w:rPr>
          <w:t>6. Release the architecture as an accountable engineering contract</w:t>
        </w:r>
      </w:hyperlink>
    </w:p>
    <w:p>
      <w:pPr>
        <w:pStyle w:val="Caption"/>
      </w:pPr>
      <w:r>
        <w:t>Basis: linked RA/WD and role-kit sections retain their original authority. The elaborations, record formats and calculations in this supplement are local proposals, not new government requirements. D-source references identify freshly checked public mechanisms, not installed compatibility. Exact source locators are in 04_Shared/development/source_reviews.csv.</w:t>
      </w:r>
    </w:p>
    <w:p>
      <w:r>
        <w:br w:type="page"/>
      </w:r>
    </w:p>
    <w:p>
      <w:pPr>
        <w:pStyle w:val="Heading1"/>
      </w:pPr>
      <w:r>
        <w:t>1. Define the offered service before choosing the build</w:t>
      </w:r>
      <w:bookmarkStart w:id="100" w:name="SDP_01"/>
      <w:bookmarkEnd w:id="100"/>
    </w:p>
    <w:p>
      <w:r>
        <w:t>An offer is a bounded combination of resources, connectivity, operating responsibility and recoverability—not the name of a hypervisor.</w:t>
      </w:r>
    </w:p>
    <w:p>
      <w:pPr>
        <w:pStyle w:val="Caption"/>
      </w:pPr>
      <w:r>
        <w:t xml:space="preserve">Design basis and related records: </w:t>
      </w:r>
      <w:hyperlink r:id="rId11">
        <w:r>
          <w:rPr>
            <w:color w:val="0B6B70"/>
            <w:u w:val="single"/>
          </w:rPr>
          <w:t>RA §2</w:t>
        </w:r>
      </w:hyperlink>
      <w:r>
        <w:t xml:space="preserve">  •  </w:t>
      </w:r>
      <w:hyperlink r:id="rId12">
        <w:r>
          <w:rPr>
            <w:color w:val="0B6B70"/>
            <w:u w:val="single"/>
          </w:rPr>
          <w:t>RA §14</w:t>
        </w:r>
      </w:hyperlink>
      <w:r>
        <w:t xml:space="preserve">  •  </w:t>
      </w:r>
      <w:hyperlink r:id="rId13">
        <w:r>
          <w:rPr>
            <w:color w:val="0B6B70"/>
            <w:u w:val="single"/>
          </w:rPr>
          <w:t>AK §2</w:t>
        </w:r>
      </w:hyperlink>
    </w:p>
    <w:p>
      <w:r>
        <w:t>Develop the initial offer around an internal VM environment with independent tenant OZ/RZ domains, declared shared-service consumption and no implicit public access. Describe the smallest unit that can be accepted: the WSD, its networks and data, the provider dependencies, and the agreed operating boundary. The same description becomes the input to each vendor realization.</w:t>
      </w:r>
    </w:p>
    <w:tbl>
      <w:tblPr>
        <w:tblW w:type="auto" w:w="0"/>
        <w:jc w:val="center"/>
        <w:tblLayout w:type="fixed"/>
        <w:tblLook w:firstColumn="1" w:firstRow="1" w:lastColumn="0" w:lastRow="0" w:noHBand="0" w:noVBand="1" w:val="04A0"/>
      </w:tblPr>
      <w:tblGrid>
        <w:gridCol w:w="1757"/>
        <w:gridCol w:w="4262"/>
        <w:gridCol w:w="4262"/>
      </w:tblGrid>
      <w:tr>
        <w:trPr>
          <w:tblHeader/>
        </w:trPr>
        <w:tc>
          <w:tcPr>
            <w:tcW w:type="dxa" w:w="1757"/>
            <w:tcMar>
              <w:top w:w="85" w:type="dxa"/>
              <w:bottom w:w="85" w:type="dxa"/>
              <w:start w:w="90" w:type="dxa"/>
              <w:end w:w="90" w:type="dxa"/>
            </w:tcMar>
            <w:vAlign w:val="top"/>
            <w:shd w:fill="15384A" w:val="clear"/>
          </w:tcPr>
          <w:p>
            <w:pPr>
              <w:spacing w:after="30" w:line="247" w:lineRule="auto"/>
            </w:pPr>
            <w:r>
              <w:rPr>
                <w:b/>
                <w:color w:val="FFFFFF"/>
                <w:sz w:val="18"/>
              </w:rPr>
              <w:t>Offer decision</w:t>
            </w:r>
          </w:p>
        </w:tc>
        <w:tc>
          <w:tcPr>
            <w:tcW w:type="dxa" w:w="4262"/>
            <w:tcMar>
              <w:top w:w="85" w:type="dxa"/>
              <w:bottom w:w="85" w:type="dxa"/>
              <w:start w:w="90" w:type="dxa"/>
              <w:end w:w="90" w:type="dxa"/>
            </w:tcMar>
            <w:vAlign w:val="top"/>
            <w:shd w:fill="15384A" w:val="clear"/>
          </w:tcPr>
          <w:p>
            <w:pPr>
              <w:spacing w:after="30" w:line="247" w:lineRule="auto"/>
            </w:pPr>
            <w:r>
              <w:rPr>
                <w:b/>
                <w:color w:val="FFFFFF"/>
                <w:sz w:val="18"/>
              </w:rPr>
              <w:t>Proposed internal baseline</w:t>
            </w:r>
          </w:p>
        </w:tc>
        <w:tc>
          <w:tcPr>
            <w:tcW w:type="dxa" w:w="4262"/>
            <w:tcMar>
              <w:top w:w="85" w:type="dxa"/>
              <w:bottom w:w="85" w:type="dxa"/>
              <w:start w:w="90" w:type="dxa"/>
              <w:end w:w="90" w:type="dxa"/>
            </w:tcMar>
            <w:vAlign w:val="top"/>
            <w:shd w:fill="15384A" w:val="clear"/>
          </w:tcPr>
          <w:p>
            <w:pPr>
              <w:spacing w:after="30" w:line="247" w:lineRule="auto"/>
            </w:pPr>
            <w:r>
              <w:rPr>
                <w:b/>
                <w:color w:val="FFFFFF"/>
                <w:sz w:val="18"/>
              </w:rPr>
              <w:t>Explicit additional decision</w:t>
            </w:r>
          </w:p>
        </w:tc>
      </w:tr>
      <w:tr>
        <w:trPr>
          <w:cantSplit/>
        </w:trPr>
        <w:tc>
          <w:tcPr>
            <w:tcW w:type="dxa" w:w="1757"/>
            <w:tcMar>
              <w:top w:w="85" w:type="dxa"/>
              <w:bottom w:w="85" w:type="dxa"/>
              <w:start w:w="90" w:type="dxa"/>
              <w:end w:w="90" w:type="dxa"/>
            </w:tcMar>
            <w:vAlign w:val="top"/>
          </w:tcPr>
          <w:p>
            <w:pPr>
              <w:spacing w:after="30" w:line="247" w:lineRule="auto"/>
            </w:pPr>
            <w:r>
              <w:rPr>
                <w:b w:val="0"/>
                <w:sz w:val="18"/>
              </w:rPr>
              <w:t>Resources</w:t>
            </w:r>
          </w:p>
        </w:tc>
        <w:tc>
          <w:tcPr>
            <w:tcW w:type="dxa" w:w="4262"/>
            <w:tcMar>
              <w:top w:w="85" w:type="dxa"/>
              <w:bottom w:w="85" w:type="dxa"/>
              <w:start w:w="90" w:type="dxa"/>
              <w:end w:w="90" w:type="dxa"/>
            </w:tcMar>
            <w:vAlign w:val="top"/>
          </w:tcPr>
          <w:p>
            <w:pPr>
              <w:spacing w:after="30" w:line="247" w:lineRule="auto"/>
            </w:pPr>
            <w:r>
              <w:rPr>
                <w:b w:val="0"/>
                <w:sz w:val="18"/>
              </w:rPr>
              <w:t>Eligible VM and storage classes; capacity is allocated from accepted pools.</w:t>
            </w:r>
          </w:p>
        </w:tc>
        <w:tc>
          <w:tcPr>
            <w:tcW w:type="dxa" w:w="4262"/>
            <w:tcMar>
              <w:top w:w="85" w:type="dxa"/>
              <w:bottom w:w="85" w:type="dxa"/>
              <w:start w:w="90" w:type="dxa"/>
              <w:end w:w="90" w:type="dxa"/>
            </w:tcMar>
            <w:vAlign w:val="top"/>
          </w:tcPr>
          <w:p>
            <w:pPr>
              <w:spacing w:after="30" w:line="247" w:lineRule="auto"/>
            </w:pPr>
            <w:r>
              <w:rPr>
                <w:b w:val="0"/>
                <w:sz w:val="18"/>
              </w:rPr>
              <w:t>Accelerators, unusual virtual devices or bare-metal attachment require a separate service design.</w:t>
            </w:r>
          </w:p>
        </w:tc>
      </w:tr>
      <w:tr>
        <w:trPr>
          <w:cantSplit/>
        </w:trPr>
        <w:tc>
          <w:tcPr>
            <w:tcW w:type="dxa" w:w="1757"/>
            <w:tcMar>
              <w:top w:w="85" w:type="dxa"/>
              <w:bottom w:w="85" w:type="dxa"/>
              <w:start w:w="90" w:type="dxa"/>
              <w:end w:w="90" w:type="dxa"/>
            </w:tcMar>
            <w:vAlign w:val="top"/>
            <w:shd w:fill="EEF5F7" w:val="clear"/>
          </w:tcPr>
          <w:p>
            <w:pPr>
              <w:spacing w:after="30" w:line="247" w:lineRule="auto"/>
            </w:pPr>
            <w:r>
              <w:rPr>
                <w:b w:val="0"/>
                <w:sz w:val="18"/>
              </w:rPr>
              <w:t>Connectivity</w:t>
            </w:r>
          </w:p>
        </w:tc>
        <w:tc>
          <w:tcPr>
            <w:tcW w:type="dxa" w:w="4262"/>
            <w:tcMar>
              <w:top w:w="85" w:type="dxa"/>
              <w:bottom w:w="85" w:type="dxa"/>
              <w:start w:w="90" w:type="dxa"/>
              <w:end w:w="90" w:type="dxa"/>
            </w:tcMar>
            <w:vAlign w:val="top"/>
            <w:shd w:fill="EEF5F7" w:val="clear"/>
          </w:tcPr>
          <w:p>
            <w:pPr>
              <w:spacing w:after="30" w:line="247" w:lineRule="auto"/>
            </w:pPr>
            <w:r>
              <w:rPr>
                <w:b w:val="0"/>
                <w:sz w:val="18"/>
              </w:rPr>
              <w:t>Named intra-domain and ZIP-mediated inter-domain flows; scoped service endpoints.</w:t>
            </w:r>
          </w:p>
        </w:tc>
        <w:tc>
          <w:tcPr>
            <w:tcW w:type="dxa" w:w="4262"/>
            <w:tcMar>
              <w:top w:w="85" w:type="dxa"/>
              <w:bottom w:w="85" w:type="dxa"/>
              <w:start w:w="90" w:type="dxa"/>
              <w:end w:w="90" w:type="dxa"/>
            </w:tcMar>
            <w:vAlign w:val="top"/>
            <w:shd w:fill="EEF5F7" w:val="clear"/>
          </w:tcPr>
          <w:p>
            <w:pPr>
              <w:spacing w:after="30" w:line="247" w:lineRule="auto"/>
            </w:pPr>
            <w:r>
              <w:rPr>
                <w:b w:val="0"/>
                <w:sz w:val="18"/>
              </w:rPr>
              <w:t>Public ingress, partner access or Internet egress requires its own boundary and operational acceptance.</w:t>
            </w:r>
          </w:p>
        </w:tc>
      </w:tr>
      <w:tr>
        <w:trPr>
          <w:cantSplit/>
        </w:trPr>
        <w:tc>
          <w:tcPr>
            <w:tcW w:type="dxa" w:w="1757"/>
            <w:tcMar>
              <w:top w:w="85" w:type="dxa"/>
              <w:bottom w:w="85" w:type="dxa"/>
              <w:start w:w="90" w:type="dxa"/>
              <w:end w:w="90" w:type="dxa"/>
            </w:tcMar>
            <w:vAlign w:val="top"/>
          </w:tcPr>
          <w:p>
            <w:pPr>
              <w:spacing w:after="30" w:line="247" w:lineRule="auto"/>
            </w:pPr>
            <w:r>
              <w:rPr>
                <w:b w:val="0"/>
                <w:sz w:val="18"/>
              </w:rPr>
              <w:t>Continuity</w:t>
            </w:r>
          </w:p>
        </w:tc>
        <w:tc>
          <w:tcPr>
            <w:tcW w:type="dxa" w:w="4262"/>
            <w:tcMar>
              <w:top w:w="85" w:type="dxa"/>
              <w:bottom w:w="85" w:type="dxa"/>
              <w:start w:w="90" w:type="dxa"/>
              <w:end w:w="90" w:type="dxa"/>
            </w:tcMar>
            <w:vAlign w:val="top"/>
          </w:tcPr>
          <w:p>
            <w:pPr>
              <w:spacing w:after="30" w:line="247" w:lineRule="auto"/>
            </w:pPr>
            <w:r>
              <w:rPr>
                <w:b w:val="0"/>
                <w:sz w:val="18"/>
              </w:rPr>
              <w:t>A named local failure model and protection/restore method.</w:t>
            </w:r>
          </w:p>
        </w:tc>
        <w:tc>
          <w:tcPr>
            <w:tcW w:type="dxa" w:w="4262"/>
            <w:tcMar>
              <w:top w:w="85" w:type="dxa"/>
              <w:bottom w:w="85" w:type="dxa"/>
              <w:start w:w="90" w:type="dxa"/>
              <w:end w:w="90" w:type="dxa"/>
            </w:tcMar>
            <w:vAlign w:val="top"/>
          </w:tcPr>
          <w:p>
            <w:pPr>
              <w:spacing w:after="30" w:line="247" w:lineRule="auto"/>
            </w:pPr>
            <w:r>
              <w:rPr>
                <w:b w:val="0"/>
                <w:sz w:val="18"/>
              </w:rPr>
              <w:t>Site recovery is offered only with an eligible target, independent dependencies and measured recovery evidence.</w:t>
            </w:r>
          </w:p>
        </w:tc>
      </w:tr>
      <w:tr>
        <w:trPr>
          <w:cantSplit/>
        </w:trPr>
        <w:tc>
          <w:tcPr>
            <w:tcW w:type="dxa" w:w="1757"/>
            <w:tcMar>
              <w:top w:w="85" w:type="dxa"/>
              <w:bottom w:w="85" w:type="dxa"/>
              <w:start w:w="90" w:type="dxa"/>
              <w:end w:w="90" w:type="dxa"/>
            </w:tcMar>
            <w:vAlign w:val="top"/>
            <w:shd w:fill="EEF5F7" w:val="clear"/>
          </w:tcPr>
          <w:p>
            <w:pPr>
              <w:spacing w:after="30" w:line="247" w:lineRule="auto"/>
            </w:pPr>
            <w:r>
              <w:rPr>
                <w:b w:val="0"/>
                <w:sz w:val="18"/>
              </w:rPr>
              <w:t>Operations</w:t>
            </w:r>
          </w:p>
        </w:tc>
        <w:tc>
          <w:tcPr>
            <w:tcW w:type="dxa" w:w="4262"/>
            <w:tcMar>
              <w:top w:w="85" w:type="dxa"/>
              <w:bottom w:w="85" w:type="dxa"/>
              <w:start w:w="90" w:type="dxa"/>
              <w:end w:w="90" w:type="dxa"/>
            </w:tcMar>
            <w:vAlign w:val="top"/>
            <w:shd w:fill="EEF5F7" w:val="clear"/>
          </w:tcPr>
          <w:p>
            <w:pPr>
              <w:spacing w:after="30" w:line="247" w:lineRule="auto"/>
            </w:pPr>
            <w:r>
              <w:rPr>
                <w:b w:val="0"/>
                <w:sz w:val="18"/>
              </w:rPr>
              <w:t>Named infrastructure, guest, application and data owners.</w:t>
            </w:r>
          </w:p>
        </w:tc>
        <w:tc>
          <w:tcPr>
            <w:tcW w:type="dxa" w:w="4262"/>
            <w:tcMar>
              <w:top w:w="85" w:type="dxa"/>
              <w:bottom w:w="85" w:type="dxa"/>
              <w:start w:w="90" w:type="dxa"/>
              <w:end w:w="90" w:type="dxa"/>
            </w:tcMar>
            <w:vAlign w:val="top"/>
            <w:shd w:fill="EEF5F7" w:val="clear"/>
          </w:tcPr>
          <w:p>
            <w:pPr>
              <w:spacing w:after="30" w:line="247" w:lineRule="auto"/>
            </w:pPr>
            <w:r>
              <w:rPr>
                <w:b w:val="0"/>
                <w:sz w:val="18"/>
              </w:rPr>
              <w:t>Managed guest services change responsibility only when explicitly agreed.</w:t>
            </w:r>
          </w:p>
        </w:tc>
      </w:tr>
    </w:tbl>
    <w:p>
      <w:pPr>
        <w:spacing w:after="0" w:before="0" w:line="120"/>
      </w:pPr>
    </w:p>
    <w:p>
      <w:r>
        <w:t>For every offered item record a measurement boundary and an exclusion. “Resilient” must identify the failed resources and the service that continues. A security availability-impact label cannot supply an uptime target. A backup schedule cannot supply an RPO until its recoverable consistency point and failure behaviour are understood.</w:t>
      </w:r>
    </w:p>
    <w:p>
      <w:pPr>
        <w:keepLines/>
        <w:spacing w:before="120"/>
        <w:shd w:fill="EEF5F7" w:val="clear"/>
        <w:pBdr>
          <w:left w:val="single" w:sz="12" w:space="8" w:color="0B6B70"/>
        </w:pBdr>
      </w:pPr>
      <w:r>
        <w:rPr>
          <w:b/>
        </w:rPr>
        <w:t>Output: a proposed service envelope and explicit exclusions. No hardware order, provider selection or production activation follows solely from this record.</w:t>
      </w:r>
    </w:p>
    <w:p>
      <w:pPr>
        <w:pStyle w:val="Caption"/>
      </w:pPr>
      <w:r>
        <w:t xml:space="preserve">Continue with: </w:t>
      </w:r>
      <w:hyperlink r:id="rId14">
        <w:r>
          <w:rPr>
            <w:color w:val="0B6B70"/>
            <w:u w:val="single"/>
          </w:rPr>
          <w:t>SDP §5</w:t>
        </w:r>
      </w:hyperlink>
      <w:r>
        <w:t xml:space="preserve">  •  </w:t>
      </w:r>
      <w:hyperlink r:id="rId15">
        <w:r>
          <w:rPr>
            <w:color w:val="0B6B70"/>
            <w:u w:val="single"/>
          </w:rPr>
          <w:t>AT §1</w:t>
        </w:r>
      </w:hyperlink>
    </w:p>
    <w:p>
      <w:r>
        <w:br w:type="page"/>
      </w:r>
    </w:p>
    <w:p>
      <w:pPr>
        <w:pStyle w:val="Heading1"/>
      </w:pPr>
      <w:r>
        <w:t>2. Choose sharing at each infrastructure layer</w:t>
      </w:r>
      <w:bookmarkStart w:id="101" w:name="SDP_02"/>
      <w:bookmarkEnd w:id="101"/>
    </w:p>
    <w:p>
      <w:r>
        <w:t>The sharing decision changes security exposure, eligible capacity, operating authority and the failure model simultaneously.</w:t>
      </w:r>
    </w:p>
    <w:p>
      <w:pPr>
        <w:pStyle w:val="Caption"/>
      </w:pPr>
      <w:r>
        <w:t xml:space="preserve">Design basis and related records: </w:t>
      </w:r>
      <w:hyperlink r:id="rId16">
        <w:r>
          <w:rPr>
            <w:color w:val="0B6B70"/>
            <w:u w:val="single"/>
          </w:rPr>
          <w:t>RA §7</w:t>
        </w:r>
      </w:hyperlink>
      <w:r>
        <w:t xml:space="preserve">  •  </w:t>
      </w:r>
      <w:hyperlink r:id="rId17">
        <w:r>
          <w:rPr>
            <w:color w:val="0B6B70"/>
            <w:u w:val="single"/>
          </w:rPr>
          <w:t>RA §11</w:t>
        </w:r>
      </w:hyperlink>
      <w:r>
        <w:t xml:space="preserve">  •  </w:t>
      </w:r>
      <w:hyperlink r:id="rId18">
        <w:r>
          <w:rPr>
            <w:color w:val="0B6B70"/>
            <w:u w:val="single"/>
          </w:rPr>
          <w:t>AK §4</w:t>
        </w:r>
      </w:hyperlink>
    </w:p>
    <w:p>
      <w:r>
        <w:t>Retain the parent’s zone-aware host-pool baseline. Do not infer that independent domains may share a host merely because both carry an RZ label. Where an alternative is proposed, evaluate the actual host, HCI controllers, storage, management and recovery placement together. Record the variation rather than silently relaxing the baseline.</w:t>
      </w:r>
    </w:p>
    <w:tbl>
      <w:tblPr>
        <w:tblW w:type="auto" w:w="0"/>
        <w:jc w:val="center"/>
        <w:tblLayout w:type="fixed"/>
        <w:tblLook w:firstColumn="1" w:firstRow="1" w:lastColumn="0" w:lastRow="0" w:noHBand="0" w:noVBand="1" w:val="04A0"/>
      </w:tblPr>
      <w:tblGrid>
        <w:gridCol w:w="2275"/>
        <w:gridCol w:w="4003"/>
        <w:gridCol w:w="4003"/>
      </w:tblGrid>
      <w:tr>
        <w:trPr>
          <w:tblHeader/>
        </w:trPr>
        <w:tc>
          <w:tcPr>
            <w:tcW w:type="dxa" w:w="2275"/>
            <w:tcMar>
              <w:top w:w="85" w:type="dxa"/>
              <w:bottom w:w="85" w:type="dxa"/>
              <w:start w:w="90" w:type="dxa"/>
              <w:end w:w="90" w:type="dxa"/>
            </w:tcMar>
            <w:vAlign w:val="top"/>
            <w:shd w:fill="15384A" w:val="clear"/>
          </w:tcPr>
          <w:p>
            <w:pPr>
              <w:spacing w:after="30" w:line="247" w:lineRule="auto"/>
            </w:pPr>
            <w:r>
              <w:rPr>
                <w:b/>
                <w:color w:val="FFFFFF"/>
                <w:sz w:val="18"/>
              </w:rPr>
              <w:t>Design alternative</w:t>
            </w:r>
          </w:p>
        </w:tc>
        <w:tc>
          <w:tcPr>
            <w:tcW w:type="dxa" w:w="4003"/>
            <w:tcMar>
              <w:top w:w="85" w:type="dxa"/>
              <w:bottom w:w="85" w:type="dxa"/>
              <w:start w:w="90" w:type="dxa"/>
              <w:end w:w="90" w:type="dxa"/>
            </w:tcMar>
            <w:vAlign w:val="top"/>
            <w:shd w:fill="15384A" w:val="clear"/>
          </w:tcPr>
          <w:p>
            <w:pPr>
              <w:spacing w:after="30" w:line="247" w:lineRule="auto"/>
            </w:pPr>
            <w:r>
              <w:rPr>
                <w:b/>
                <w:color w:val="FFFFFF"/>
                <w:sz w:val="18"/>
              </w:rPr>
              <w:t>What remains shared</w:t>
            </w:r>
          </w:p>
        </w:tc>
        <w:tc>
          <w:tcPr>
            <w:tcW w:type="dxa" w:w="4003"/>
            <w:tcMar>
              <w:top w:w="85" w:type="dxa"/>
              <w:bottom w:w="85" w:type="dxa"/>
              <w:start w:w="90" w:type="dxa"/>
              <w:end w:w="90" w:type="dxa"/>
            </w:tcMar>
            <w:vAlign w:val="top"/>
            <w:shd w:fill="15384A" w:val="clear"/>
          </w:tcPr>
          <w:p>
            <w:pPr>
              <w:spacing w:after="30" w:line="247" w:lineRule="auto"/>
            </w:pPr>
            <w:r>
              <w:rPr>
                <w:b/>
                <w:color w:val="FFFFFF"/>
                <w:sz w:val="18"/>
              </w:rPr>
              <w:t>Consequence to evaluate</w:t>
            </w:r>
          </w:p>
        </w:tc>
      </w:tr>
      <w:tr>
        <w:trPr>
          <w:cantSplit/>
        </w:trPr>
        <w:tc>
          <w:tcPr>
            <w:tcW w:type="dxa" w:w="2275"/>
            <w:tcMar>
              <w:top w:w="85" w:type="dxa"/>
              <w:bottom w:w="85" w:type="dxa"/>
              <w:start w:w="90" w:type="dxa"/>
              <w:end w:w="90" w:type="dxa"/>
            </w:tcMar>
            <w:vAlign w:val="top"/>
          </w:tcPr>
          <w:p>
            <w:pPr>
              <w:spacing w:after="30" w:line="247" w:lineRule="auto"/>
            </w:pPr>
            <w:r>
              <w:rPr>
                <w:b w:val="0"/>
                <w:sz w:val="18"/>
              </w:rPr>
              <w:t>Compatible-domain pooled capacity</w:t>
            </w:r>
          </w:p>
        </w:tc>
        <w:tc>
          <w:tcPr>
            <w:tcW w:type="dxa" w:w="4003"/>
            <w:tcMar>
              <w:top w:w="85" w:type="dxa"/>
              <w:bottom w:w="85" w:type="dxa"/>
              <w:start w:w="90" w:type="dxa"/>
              <w:end w:w="90" w:type="dxa"/>
            </w:tcMar>
            <w:vAlign w:val="top"/>
          </w:tcPr>
          <w:p>
            <w:pPr>
              <w:spacing w:after="30" w:line="247" w:lineRule="auto"/>
            </w:pPr>
            <w:r>
              <w:rPr>
                <w:b w:val="0"/>
                <w:sz w:val="18"/>
              </w:rPr>
              <w:t>Only layers permitted by the adopted sharing decision. Routing and policy authority remain distinct.</w:t>
            </w:r>
          </w:p>
        </w:tc>
        <w:tc>
          <w:tcPr>
            <w:tcW w:type="dxa" w:w="4003"/>
            <w:tcMar>
              <w:top w:w="85" w:type="dxa"/>
              <w:bottom w:w="85" w:type="dxa"/>
              <w:start w:w="90" w:type="dxa"/>
              <w:end w:w="90" w:type="dxa"/>
            </w:tcMar>
            <w:vAlign w:val="top"/>
          </w:tcPr>
          <w:p>
            <w:pPr>
              <w:spacing w:after="30" w:line="247" w:lineRule="auto"/>
            </w:pPr>
            <w:r>
              <w:rPr>
                <w:b w:val="0"/>
                <w:sz w:val="18"/>
              </w:rPr>
              <w:t>Higher utilization may be possible, but host/controller compromise and correlated failure remain assessed dependencies.</w:t>
            </w:r>
          </w:p>
        </w:tc>
      </w:tr>
      <w:tr>
        <w:trPr>
          <w:cantSplit/>
        </w:trPr>
        <w:tc>
          <w:tcPr>
            <w:tcW w:type="dxa" w:w="2275"/>
            <w:tcMar>
              <w:top w:w="85" w:type="dxa"/>
              <w:bottom w:w="85" w:type="dxa"/>
              <w:start w:w="90" w:type="dxa"/>
              <w:end w:w="90" w:type="dxa"/>
            </w:tcMar>
            <w:vAlign w:val="top"/>
            <w:shd w:fill="EEF5F7" w:val="clear"/>
          </w:tcPr>
          <w:p>
            <w:pPr>
              <w:spacing w:after="30" w:line="247" w:lineRule="auto"/>
            </w:pPr>
            <w:r>
              <w:rPr>
                <w:b w:val="0"/>
                <w:sz w:val="18"/>
              </w:rPr>
              <w:t>Dedicated workload host pool</w:t>
            </w:r>
          </w:p>
        </w:tc>
        <w:tc>
          <w:tcPr>
            <w:tcW w:type="dxa" w:w="4003"/>
            <w:tcMar>
              <w:top w:w="85" w:type="dxa"/>
              <w:bottom w:w="85" w:type="dxa"/>
              <w:start w:w="90" w:type="dxa"/>
              <w:end w:w="90" w:type="dxa"/>
            </w:tcMar>
            <w:vAlign w:val="top"/>
            <w:shd w:fill="EEF5F7" w:val="clear"/>
          </w:tcPr>
          <w:p>
            <w:pPr>
              <w:spacing w:after="30" w:line="247" w:lineRule="auto"/>
            </w:pPr>
            <w:r>
              <w:rPr>
                <w:b w:val="0"/>
                <w:sz w:val="18"/>
              </w:rPr>
              <w:t>Potentially storage, edge, management, backup and key services.</w:t>
            </w:r>
          </w:p>
        </w:tc>
        <w:tc>
          <w:tcPr>
            <w:tcW w:type="dxa" w:w="4003"/>
            <w:tcMar>
              <w:top w:w="85" w:type="dxa"/>
              <w:bottom w:w="85" w:type="dxa"/>
              <w:start w:w="90" w:type="dxa"/>
              <w:end w:w="90" w:type="dxa"/>
            </w:tcMar>
            <w:vAlign w:val="top"/>
            <w:shd w:fill="EEF5F7" w:val="clear"/>
          </w:tcPr>
          <w:p>
            <w:pPr>
              <w:spacing w:after="30" w:line="247" w:lineRule="auto"/>
            </w:pPr>
            <w:r>
              <w:rPr>
                <w:b w:val="0"/>
                <w:sz w:val="18"/>
              </w:rPr>
              <w:t>Host dedication does not create an independently administered service. Reserve replacement and evacuation capacity in eligible pools.</w:t>
            </w:r>
          </w:p>
        </w:tc>
      </w:tr>
      <w:tr>
        <w:trPr>
          <w:cantSplit/>
        </w:trPr>
        <w:tc>
          <w:tcPr>
            <w:tcW w:type="dxa" w:w="2275"/>
            <w:tcMar>
              <w:top w:w="85" w:type="dxa"/>
              <w:bottom w:w="85" w:type="dxa"/>
              <w:start w:w="90" w:type="dxa"/>
              <w:end w:w="90" w:type="dxa"/>
            </w:tcMar>
            <w:vAlign w:val="top"/>
          </w:tcPr>
          <w:p>
            <w:pPr>
              <w:spacing w:after="30" w:line="247" w:lineRule="auto"/>
            </w:pPr>
            <w:r>
              <w:rPr>
                <w:b w:val="0"/>
                <w:sz w:val="18"/>
              </w:rPr>
              <w:t>Dedicated wider service scope</w:t>
            </w:r>
          </w:p>
        </w:tc>
        <w:tc>
          <w:tcPr>
            <w:tcW w:type="dxa" w:w="4003"/>
            <w:tcMar>
              <w:top w:w="85" w:type="dxa"/>
              <w:bottom w:w="85" w:type="dxa"/>
              <w:start w:w="90" w:type="dxa"/>
              <w:end w:w="90" w:type="dxa"/>
            </w:tcMar>
            <w:vAlign w:val="top"/>
          </w:tcPr>
          <w:p>
            <w:pPr>
              <w:spacing w:after="30" w:line="247" w:lineRule="auto"/>
            </w:pPr>
            <w:r>
              <w:rPr>
                <w:b w:val="0"/>
                <w:sz w:val="18"/>
              </w:rPr>
              <w:t>Only specifically accepted external dependencies.</w:t>
            </w:r>
          </w:p>
        </w:tc>
        <w:tc>
          <w:tcPr>
            <w:tcW w:type="dxa" w:w="4003"/>
            <w:tcMar>
              <w:top w:w="85" w:type="dxa"/>
              <w:bottom w:w="85" w:type="dxa"/>
              <w:start w:w="90" w:type="dxa"/>
              <w:end w:w="90" w:type="dxa"/>
            </w:tcMar>
            <w:vAlign w:val="top"/>
          </w:tcPr>
          <w:p>
            <w:pPr>
              <w:spacing w:after="30" w:line="247" w:lineRule="auto"/>
            </w:pPr>
            <w:r>
              <w:rPr>
                <w:b w:val="0"/>
                <w:sz w:val="18"/>
              </w:rPr>
              <w:t>More independent capacity, management and recovery may be needed; define exactly what is dedicated and why.</w:t>
            </w:r>
          </w:p>
        </w:tc>
      </w:tr>
    </w:tbl>
    <w:p>
      <w:pPr>
        <w:spacing w:after="0" w:before="0" w:line="120"/>
      </w:pPr>
    </w:p>
    <w:p>
      <w:pPr>
        <w:pStyle w:val="Heading2"/>
      </w:pPr>
      <w:r>
        <w:t>Worked decision boundary</w:t>
      </w:r>
    </w:p>
    <w:p>
      <w:r>
        <w:t>Suppose a workload requires dedicated hosts but accepts the provider’s separately controlled backup service. Record hosts as dedicated, backup infrastructure as shared with isolated authority, and retained-copy/key controls as mandatory. A later host failure cannot move the VM into an unrelated shared pool simply because a scheduler finds free memory. If eligible capacity is exhausted, the declared service degrades or uses another already approved pool.</w:t>
      </w:r>
    </w:p>
    <w:p>
      <w:r>
        <w:t>The engineering handoff names the rule the scheduler must enforce, the components it does not isolate, the reserve needed during maintenance, and the test demonstrating restart and restore eligibility. Do not represent this as a single “dedicated=true” checkbox.</w:t>
      </w:r>
    </w:p>
    <w:p>
      <w:pPr>
        <w:pStyle w:val="Caption"/>
      </w:pPr>
      <w:r>
        <w:t xml:space="preserve">Continue with: </w:t>
      </w:r>
      <w:hyperlink r:id="rId19">
        <w:r>
          <w:rPr>
            <w:color w:val="0B6B70"/>
            <w:u w:val="single"/>
          </w:rPr>
          <w:t>PBS §1</w:t>
        </w:r>
      </w:hyperlink>
      <w:r>
        <w:t xml:space="preserve">  •  </w:t>
      </w:r>
      <w:hyperlink r:id="rId20">
        <w:r>
          <w:rPr>
            <w:color w:val="0B6B70"/>
            <w:u w:val="single"/>
          </w:rPr>
          <w:t>QCP §4</w:t>
        </w:r>
      </w:hyperlink>
    </w:p>
    <w:p>
      <w:r>
        <w:br w:type="page"/>
      </w:r>
    </w:p>
    <w:p>
      <w:pPr>
        <w:pStyle w:val="Heading1"/>
      </w:pPr>
      <w:r>
        <w:t>3. Develop a boundary architecture decision</w:t>
      </w:r>
      <w:bookmarkStart w:id="102" w:name="SDP_03"/>
      <w:bookmarkEnd w:id="102"/>
    </w:p>
    <w:p>
      <w:r>
        <w:t>Use an explicit option record when choosing where inter-domain enforcement occurs. This worked decision is proposed, not accepted.</w:t>
      </w:r>
    </w:p>
    <w:p>
      <w:pPr>
        <w:pStyle w:val="Caption"/>
      </w:pPr>
      <w:r>
        <w:t xml:space="preserve">Design basis and related records: </w:t>
      </w:r>
      <w:hyperlink r:id="rId21">
        <w:r>
          <w:rPr>
            <w:color w:val="0B6B70"/>
            <w:u w:val="single"/>
          </w:rPr>
          <w:t>RA §8</w:t>
        </w:r>
      </w:hyperlink>
      <w:r>
        <w:t xml:space="preserve">  •  </w:t>
      </w:r>
      <w:hyperlink r:id="rId22">
        <w:r>
          <w:rPr>
            <w:color w:val="0B6B70"/>
            <w:u w:val="single"/>
          </w:rPr>
          <w:t>RA §29</w:t>
        </w:r>
      </w:hyperlink>
      <w:r>
        <w:t xml:space="preserve">  •  </w:t>
      </w:r>
      <w:hyperlink r:id="rId23">
        <w:r>
          <w:rPr>
            <w:color w:val="0B6B70"/>
            <w:u w:val="single"/>
          </w:rPr>
          <w:t>AT §6</w:t>
        </w:r>
      </w:hyperlink>
    </w:p>
    <w:p>
      <w:r>
        <w:t>Decision DEV-ADR-01 concerns OZ-to-RZ communication for the common internal fixture. The required outcome is an attributable, jointly governed trust transition with controlled forward and reply paths, required inspection and safe failure behaviour. One useful criterion is whether another team can identify every enforcement function and every route that could avoid it.</w:t>
      </w:r>
    </w:p>
    <w:tbl>
      <w:tblPr>
        <w:tblW w:type="auto" w:w="0"/>
        <w:jc w:val="center"/>
        <w:tblLayout w:type="fixed"/>
        <w:tblLook w:firstColumn="1" w:firstRow="1" w:lastColumn="0" w:lastRow="0" w:noHBand="0" w:noVBand="1" w:val="04A0"/>
      </w:tblPr>
      <w:tblGrid>
        <w:gridCol w:w="2232"/>
        <w:gridCol w:w="3816"/>
        <w:gridCol w:w="4234"/>
      </w:tblGrid>
      <w:tr>
        <w:trPr>
          <w:tblHeader/>
        </w:trPr>
        <w:tc>
          <w:tcPr>
            <w:tcW w:type="dxa" w:w="2232"/>
            <w:tcMar>
              <w:top w:w="85" w:type="dxa"/>
              <w:bottom w:w="85" w:type="dxa"/>
              <w:start w:w="90" w:type="dxa"/>
              <w:end w:w="90" w:type="dxa"/>
            </w:tcMar>
            <w:vAlign w:val="top"/>
            <w:shd w:fill="15384A" w:val="clear"/>
          </w:tcPr>
          <w:p>
            <w:pPr>
              <w:spacing w:after="30" w:line="247" w:lineRule="auto"/>
            </w:pPr>
            <w:r>
              <w:rPr>
                <w:b/>
                <w:color w:val="FFFFFF"/>
                <w:sz w:val="18"/>
              </w:rPr>
              <w:t>Option</w:t>
            </w:r>
          </w:p>
        </w:tc>
        <w:tc>
          <w:tcPr>
            <w:tcW w:type="dxa" w:w="3816"/>
            <w:tcMar>
              <w:top w:w="85" w:type="dxa"/>
              <w:bottom w:w="85" w:type="dxa"/>
              <w:start w:w="90" w:type="dxa"/>
              <w:end w:w="90" w:type="dxa"/>
            </w:tcMar>
            <w:vAlign w:val="top"/>
            <w:shd w:fill="15384A" w:val="clear"/>
          </w:tcPr>
          <w:p>
            <w:pPr>
              <w:spacing w:after="30" w:line="247" w:lineRule="auto"/>
            </w:pPr>
            <w:r>
              <w:rPr>
                <w:b/>
                <w:color w:val="FFFFFF"/>
                <w:sz w:val="18"/>
              </w:rPr>
              <w:t>Architectural benefit</w:t>
            </w:r>
          </w:p>
        </w:tc>
        <w:tc>
          <w:tcPr>
            <w:tcW w:type="dxa" w:w="4234"/>
            <w:tcMar>
              <w:top w:w="85" w:type="dxa"/>
              <w:bottom w:w="85" w:type="dxa"/>
              <w:start w:w="90" w:type="dxa"/>
              <w:end w:w="90" w:type="dxa"/>
            </w:tcMar>
            <w:vAlign w:val="top"/>
            <w:shd w:fill="15384A" w:val="clear"/>
          </w:tcPr>
          <w:p>
            <w:pPr>
              <w:spacing w:after="30" w:line="247" w:lineRule="auto"/>
            </w:pPr>
            <w:r>
              <w:rPr>
                <w:b/>
                <w:color w:val="FFFFFF"/>
                <w:sz w:val="18"/>
              </w:rPr>
              <w:t>Conditions and cost of acceptance</w:t>
            </w:r>
          </w:p>
        </w:tc>
      </w:tr>
      <w:tr>
        <w:trPr>
          <w:cantSplit/>
        </w:trPr>
        <w:tc>
          <w:tcPr>
            <w:tcW w:type="dxa" w:w="2232"/>
            <w:tcMar>
              <w:top w:w="85" w:type="dxa"/>
              <w:bottom w:w="85" w:type="dxa"/>
              <w:start w:w="90" w:type="dxa"/>
              <w:end w:w="90" w:type="dxa"/>
            </w:tcMar>
            <w:vAlign w:val="top"/>
          </w:tcPr>
          <w:p>
            <w:pPr>
              <w:spacing w:after="30" w:line="247" w:lineRule="auto"/>
            </w:pPr>
            <w:r>
              <w:rPr>
                <w:b w:val="0"/>
                <w:sz w:val="18"/>
              </w:rPr>
              <w:t>Provider routed security edge</w:t>
            </w:r>
          </w:p>
        </w:tc>
        <w:tc>
          <w:tcPr>
            <w:tcW w:type="dxa" w:w="3816"/>
            <w:tcMar>
              <w:top w:w="85" w:type="dxa"/>
              <w:bottom w:w="85" w:type="dxa"/>
              <w:start w:w="90" w:type="dxa"/>
              <w:end w:w="90" w:type="dxa"/>
            </w:tcMar>
            <w:vAlign w:val="top"/>
          </w:tcPr>
          <w:p>
            <w:pPr>
              <w:spacing w:after="30" w:line="247" w:lineRule="auto"/>
            </w:pPr>
            <w:r>
              <w:rPr>
                <w:b w:val="0"/>
                <w:sz w:val="18"/>
              </w:rPr>
              <w:t>One explicit boundary service separates vendor-native domain routing from approved trust transitions.</w:t>
            </w:r>
          </w:p>
        </w:tc>
        <w:tc>
          <w:tcPr>
            <w:tcW w:type="dxa" w:w="4234"/>
            <w:tcMar>
              <w:top w:w="85" w:type="dxa"/>
              <w:bottom w:w="85" w:type="dxa"/>
              <w:start w:w="90" w:type="dxa"/>
              <w:end w:w="90" w:type="dxa"/>
            </w:tcMar>
            <w:vAlign w:val="top"/>
          </w:tcPr>
          <w:p>
            <w:pPr>
              <w:spacing w:after="30" w:line="247" w:lineRule="auto"/>
            </w:pPr>
            <w:r>
              <w:rPr>
                <w:b w:val="0"/>
                <w:sz w:val="18"/>
              </w:rPr>
              <w:t>Requires isolated attachments, sufficient inspection/session capacity and no connected-route or return-path bypass.</w:t>
            </w:r>
          </w:p>
        </w:tc>
      </w:tr>
      <w:tr>
        <w:trPr>
          <w:cantSplit/>
        </w:trPr>
        <w:tc>
          <w:tcPr>
            <w:tcW w:type="dxa" w:w="2232"/>
            <w:tcMar>
              <w:top w:w="85" w:type="dxa"/>
              <w:bottom w:w="85" w:type="dxa"/>
              <w:start w:w="90" w:type="dxa"/>
              <w:end w:w="90" w:type="dxa"/>
            </w:tcMar>
            <w:vAlign w:val="top"/>
            <w:shd w:fill="EEF5F7" w:val="clear"/>
          </w:tcPr>
          <w:p>
            <w:pPr>
              <w:spacing w:after="30" w:line="247" w:lineRule="auto"/>
            </w:pPr>
            <w:r>
              <w:rPr>
                <w:b w:val="0"/>
                <w:sz w:val="18"/>
              </w:rPr>
              <w:t>Qualified native or distributed boundary</w:t>
            </w:r>
          </w:p>
        </w:tc>
        <w:tc>
          <w:tcPr>
            <w:tcW w:type="dxa" w:w="3816"/>
            <w:tcMar>
              <w:top w:w="85" w:type="dxa"/>
              <w:bottom w:w="85" w:type="dxa"/>
              <w:start w:w="90" w:type="dxa"/>
              <w:end w:w="90" w:type="dxa"/>
            </w:tcMar>
            <w:vAlign w:val="top"/>
            <w:shd w:fill="EEF5F7" w:val="clear"/>
          </w:tcPr>
          <w:p>
            <w:pPr>
              <w:spacing w:after="30" w:line="247" w:lineRule="auto"/>
            </w:pPr>
            <w:r>
              <w:rPr>
                <w:b w:val="0"/>
                <w:sz w:val="18"/>
              </w:rPr>
              <w:t>May avoid additional centralized hops for some paths.</w:t>
            </w:r>
          </w:p>
        </w:tc>
        <w:tc>
          <w:tcPr>
            <w:tcW w:type="dxa" w:w="4234"/>
            <w:tcMar>
              <w:top w:w="85" w:type="dxa"/>
              <w:bottom w:w="85" w:type="dxa"/>
              <w:start w:w="90" w:type="dxa"/>
              <w:end w:w="90" w:type="dxa"/>
            </w:tcMar>
            <w:vAlign w:val="top"/>
            <w:shd w:fill="EEF5F7" w:val="clear"/>
          </w:tcPr>
          <w:p>
            <w:pPr>
              <w:spacing w:after="30" w:line="247" w:lineRule="auto"/>
            </w:pPr>
            <w:r>
              <w:rPr>
                <w:b w:val="0"/>
                <w:sz w:val="18"/>
              </w:rPr>
              <w:t>Must locate all required ZIP functions, protect provider authority and prove same-host, failure and inspection behaviour. A distributed firewall alone is not the complete argument.</w:t>
            </w:r>
          </w:p>
        </w:tc>
      </w:tr>
      <w:tr>
        <w:trPr>
          <w:cantSplit/>
        </w:trPr>
        <w:tc>
          <w:tcPr>
            <w:tcW w:type="dxa" w:w="2232"/>
            <w:tcMar>
              <w:top w:w="85" w:type="dxa"/>
              <w:bottom w:w="85" w:type="dxa"/>
              <w:start w:w="90" w:type="dxa"/>
              <w:end w:w="90" w:type="dxa"/>
            </w:tcMar>
            <w:vAlign w:val="top"/>
          </w:tcPr>
          <w:p>
            <w:pPr>
              <w:spacing w:after="30" w:line="247" w:lineRule="auto"/>
            </w:pPr>
            <w:r>
              <w:rPr>
                <w:b w:val="0"/>
                <w:sz w:val="18"/>
              </w:rPr>
              <w:t>Common unrestricted transit</w:t>
            </w:r>
          </w:p>
        </w:tc>
        <w:tc>
          <w:tcPr>
            <w:tcW w:type="dxa" w:w="3816"/>
            <w:tcMar>
              <w:top w:w="85" w:type="dxa"/>
              <w:bottom w:w="85" w:type="dxa"/>
              <w:start w:w="90" w:type="dxa"/>
              <w:end w:w="90" w:type="dxa"/>
            </w:tcMar>
            <w:vAlign w:val="top"/>
          </w:tcPr>
          <w:p>
            <w:pPr>
              <w:spacing w:after="30" w:line="247" w:lineRule="auto"/>
            </w:pPr>
            <w:r>
              <w:rPr>
                <w:b w:val="0"/>
                <w:sz w:val="18"/>
              </w:rPr>
              <w:t>Simple connectivity and fewer visible contexts.</w:t>
            </w:r>
          </w:p>
        </w:tc>
        <w:tc>
          <w:tcPr>
            <w:tcW w:type="dxa" w:w="4234"/>
            <w:tcMar>
              <w:top w:w="85" w:type="dxa"/>
              <w:bottom w:w="85" w:type="dxa"/>
              <w:start w:w="90" w:type="dxa"/>
              <w:end w:w="90" w:type="dxa"/>
            </w:tcMar>
            <w:vAlign w:val="top"/>
          </w:tcPr>
          <w:p>
            <w:pPr>
              <w:spacing w:after="30" w:line="247" w:lineRule="auto"/>
            </w:pPr>
            <w:r>
              <w:rPr>
                <w:b w:val="0"/>
                <w:sz w:val="18"/>
              </w:rPr>
              <w:t>Rejected for the base service: it introduces reachability without the required boundary authority and can bypass downstream enforcement.</w:t>
            </w:r>
          </w:p>
        </w:tc>
      </w:tr>
    </w:tbl>
    <w:p>
      <w:pPr>
        <w:spacing w:after="0" w:before="0" w:line="120"/>
      </w:pPr>
    </w:p>
    <w:p>
      <w:r>
        <w:t>Proposed disposition: retain the parent’s explicit edge pattern for the first qualification campaign. Evaluate a native/distributed alternative as a separately scoped variation only where it delivers the required functions. This is not a vendor ranking; the site’s supported release, traffic and assurance requirements determine feasibility.</w:t>
      </w:r>
    </w:p>
    <w:p>
      <w:r>
        <w:t>Record consequences in the LLD: domain and edge context identities, service-facing attachments, permitted prefixes, return routing, policy ownership, failure load and qualification observations. Any new variation must also change the relevant build and test records; an ADR title alone does not change the architecture.</w:t>
      </w:r>
    </w:p>
    <w:p>
      <w:pPr>
        <w:pStyle w:val="Caption"/>
      </w:pPr>
      <w:r>
        <w:t xml:space="preserve">Continue with: </w:t>
      </w:r>
      <w:hyperlink r:id="rId24">
        <w:r>
          <w:rPr>
            <w:color w:val="0B6B70"/>
            <w:u w:val="single"/>
          </w:rPr>
          <w:t>NBD §1</w:t>
        </w:r>
      </w:hyperlink>
      <w:r>
        <w:t xml:space="preserve">  •  </w:t>
      </w:r>
      <w:hyperlink r:id="rId25">
        <w:r>
          <w:rPr>
            <w:color w:val="0B6B70"/>
            <w:u w:val="single"/>
          </w:rPr>
          <w:t>NBD §2</w:t>
        </w:r>
      </w:hyperlink>
      <w:r>
        <w:t xml:space="preserve">  •  </w:t>
      </w:r>
      <w:hyperlink r:id="rId26">
        <w:r>
          <w:rPr>
            <w:color w:val="0B6B70"/>
            <w:u w:val="single"/>
          </w:rPr>
          <w:t>QCP §3</w:t>
        </w:r>
      </w:hyperlink>
    </w:p>
    <w:p>
      <w:r>
        <w:br w:type="page"/>
      </w:r>
    </w:p>
    <w:p>
      <w:pPr>
        <w:pStyle w:val="Heading1"/>
      </w:pPr>
      <w:r>
        <w:t>4. Turn dependencies into explicit service interfaces</w:t>
      </w:r>
      <w:bookmarkStart w:id="103" w:name="SDP_04"/>
      <w:bookmarkEnd w:id="103"/>
    </w:p>
    <w:p>
      <w:r>
        <w:t>A dependency is not complete until its consumer, producer, permitted operation, failure effect and recovery owner are identified.</w:t>
      </w:r>
    </w:p>
    <w:p>
      <w:pPr>
        <w:pStyle w:val="Caption"/>
      </w:pPr>
      <w:r>
        <w:t xml:space="preserve">Design basis and related records: </w:t>
      </w:r>
      <w:hyperlink r:id="rId27">
        <w:r>
          <w:rPr>
            <w:color w:val="0B6B70"/>
            <w:u w:val="single"/>
          </w:rPr>
          <w:t>RA §9</w:t>
        </w:r>
      </w:hyperlink>
      <w:r>
        <w:t xml:space="preserve">  •  </w:t>
      </w:r>
      <w:hyperlink r:id="rId28">
        <w:r>
          <w:rPr>
            <w:color w:val="0B6B70"/>
            <w:u w:val="single"/>
          </w:rPr>
          <w:t>RA §13</w:t>
        </w:r>
      </w:hyperlink>
      <w:r>
        <w:t xml:space="preserve">  •  </w:t>
      </w:r>
      <w:hyperlink r:id="rId29">
        <w:r>
          <w:rPr>
            <w:color w:val="0B6B70"/>
            <w:u w:val="single"/>
          </w:rPr>
          <w:t>SVC §1</w:t>
        </w:r>
      </w:hyperlink>
      <w:r>
        <w:t xml:space="preserve">  •  </w:t>
      </w:r>
      <w:hyperlink r:id="rId30">
        <w:r>
          <w:rPr>
            <w:color w:val="0B6B70"/>
            <w:u w:val="single"/>
          </w:rPr>
          <w:t>EK §5</w:t>
        </w:r>
      </w:hyperlink>
    </w:p>
    <w:tbl>
      <w:tblPr>
        <w:tblW w:type="auto" w:w="0"/>
        <w:jc w:val="center"/>
        <w:tblLayout w:type="fixed"/>
        <w:tblLook w:firstColumn="1" w:firstRow="1" w:lastColumn="0" w:lastRow="0" w:noHBand="0" w:noVBand="1" w:val="04A0"/>
      </w:tblPr>
      <w:tblGrid>
        <w:gridCol w:w="2160"/>
        <w:gridCol w:w="3686"/>
        <w:gridCol w:w="4435"/>
      </w:tblGrid>
      <w:tr>
        <w:trPr>
          <w:tblHeader/>
        </w:trPr>
        <w:tc>
          <w:tcPr>
            <w:tcW w:type="dxa" w:w="2160"/>
            <w:tcMar>
              <w:top w:w="85" w:type="dxa"/>
              <w:bottom w:w="85" w:type="dxa"/>
              <w:start w:w="90" w:type="dxa"/>
              <w:end w:w="90" w:type="dxa"/>
            </w:tcMar>
            <w:vAlign w:val="top"/>
            <w:shd w:fill="15384A" w:val="clear"/>
          </w:tcPr>
          <w:p>
            <w:pPr>
              <w:spacing w:after="30" w:line="247" w:lineRule="auto"/>
            </w:pPr>
            <w:r>
              <w:rPr>
                <w:b/>
                <w:color w:val="FFFFFF"/>
                <w:sz w:val="18"/>
              </w:rPr>
              <w:t>Actual consumer</w:t>
            </w:r>
          </w:p>
        </w:tc>
        <w:tc>
          <w:tcPr>
            <w:tcW w:type="dxa" w:w="3686"/>
            <w:tcMar>
              <w:top w:w="85" w:type="dxa"/>
              <w:bottom w:w="85" w:type="dxa"/>
              <w:start w:w="90" w:type="dxa"/>
              <w:end w:w="90" w:type="dxa"/>
            </w:tcMar>
            <w:vAlign w:val="top"/>
            <w:shd w:fill="15384A" w:val="clear"/>
          </w:tcPr>
          <w:p>
            <w:pPr>
              <w:spacing w:after="30" w:line="247" w:lineRule="auto"/>
            </w:pPr>
            <w:r>
              <w:rPr>
                <w:b/>
                <w:color w:val="FFFFFF"/>
                <w:sz w:val="18"/>
              </w:rPr>
              <w:t>Consumed function</w:t>
            </w:r>
          </w:p>
        </w:tc>
        <w:tc>
          <w:tcPr>
            <w:tcW w:type="dxa" w:w="4435"/>
            <w:tcMar>
              <w:top w:w="85" w:type="dxa"/>
              <w:bottom w:w="85" w:type="dxa"/>
              <w:start w:w="90" w:type="dxa"/>
              <w:end w:w="90" w:type="dxa"/>
            </w:tcMar>
            <w:vAlign w:val="top"/>
            <w:shd w:fill="15384A" w:val="clear"/>
          </w:tcPr>
          <w:p>
            <w:pPr>
              <w:spacing w:after="30" w:line="247" w:lineRule="auto"/>
            </w:pPr>
            <w:r>
              <w:rPr>
                <w:b/>
                <w:color w:val="FFFFFF"/>
                <w:sz w:val="18"/>
              </w:rPr>
              <w:t>Separate authority / failure question</w:t>
            </w:r>
          </w:p>
        </w:tc>
      </w:tr>
      <w:tr>
        <w:trPr>
          <w:cantSplit/>
        </w:trPr>
        <w:tc>
          <w:tcPr>
            <w:tcW w:type="dxa" w:w="2160"/>
            <w:tcMar>
              <w:top w:w="85" w:type="dxa"/>
              <w:bottom w:w="85" w:type="dxa"/>
              <w:start w:w="90" w:type="dxa"/>
              <w:end w:w="90" w:type="dxa"/>
            </w:tcMar>
            <w:vAlign w:val="top"/>
          </w:tcPr>
          <w:p>
            <w:pPr>
              <w:spacing w:after="30" w:line="247" w:lineRule="auto"/>
            </w:pPr>
            <w:r>
              <w:rPr>
                <w:b w:val="0"/>
                <w:sz w:val="18"/>
              </w:rPr>
              <w:t>Guest resolver client</w:t>
            </w:r>
          </w:p>
        </w:tc>
        <w:tc>
          <w:tcPr>
            <w:tcW w:type="dxa" w:w="3686"/>
            <w:tcMar>
              <w:top w:w="85" w:type="dxa"/>
              <w:bottom w:w="85" w:type="dxa"/>
              <w:start w:w="90" w:type="dxa"/>
              <w:end w:w="90" w:type="dxa"/>
            </w:tcMar>
            <w:vAlign w:val="top"/>
          </w:tcPr>
          <w:p>
            <w:pPr>
              <w:spacing w:after="30" w:line="247" w:lineRule="auto"/>
            </w:pPr>
            <w:r>
              <w:rPr>
                <w:b w:val="0"/>
                <w:sz w:val="18"/>
              </w:rPr>
              <w:t>Approved DNS endpoint and required transports.</w:t>
            </w:r>
          </w:p>
        </w:tc>
        <w:tc>
          <w:tcPr>
            <w:tcW w:type="dxa" w:w="4435"/>
            <w:tcMar>
              <w:top w:w="85" w:type="dxa"/>
              <w:bottom w:w="85" w:type="dxa"/>
              <w:start w:w="90" w:type="dxa"/>
              <w:end w:w="90" w:type="dxa"/>
            </w:tcMar>
            <w:vAlign w:val="top"/>
          </w:tcPr>
          <w:p>
            <w:pPr>
              <w:spacing w:after="30" w:line="247" w:lineRule="auto"/>
            </w:pPr>
            <w:r>
              <w:rPr>
                <w:b w:val="0"/>
                <w:sz w:val="18"/>
              </w:rPr>
              <w:t>Who administers resolver policy, supplies the reply path and recovers name service?</w:t>
            </w:r>
          </w:p>
        </w:tc>
      </w:tr>
      <w:tr>
        <w:trPr>
          <w:cantSplit/>
        </w:trPr>
        <w:tc>
          <w:tcPr>
            <w:tcW w:type="dxa" w:w="2160"/>
            <w:tcMar>
              <w:top w:w="85" w:type="dxa"/>
              <w:bottom w:w="85" w:type="dxa"/>
              <w:start w:w="90" w:type="dxa"/>
              <w:end w:w="90" w:type="dxa"/>
            </w:tcMar>
            <w:vAlign w:val="top"/>
            <w:shd w:fill="EEF5F7" w:val="clear"/>
          </w:tcPr>
          <w:p>
            <w:pPr>
              <w:spacing w:after="30" w:line="247" w:lineRule="auto"/>
            </w:pPr>
            <w:r>
              <w:rPr>
                <w:b w:val="0"/>
                <w:sz w:val="18"/>
              </w:rPr>
              <w:t>Host or storage service</w:t>
            </w:r>
          </w:p>
        </w:tc>
        <w:tc>
          <w:tcPr>
            <w:tcW w:type="dxa" w:w="3686"/>
            <w:tcMar>
              <w:top w:w="85" w:type="dxa"/>
              <w:bottom w:w="85" w:type="dxa"/>
              <w:start w:w="90" w:type="dxa"/>
              <w:end w:w="90" w:type="dxa"/>
            </w:tcMar>
            <w:vAlign w:val="top"/>
            <w:shd w:fill="EEF5F7" w:val="clear"/>
          </w:tcPr>
          <w:p>
            <w:pPr>
              <w:spacing w:after="30" w:line="247" w:lineRule="auto"/>
            </w:pPr>
            <w:r>
              <w:rPr>
                <w:b w:val="0"/>
                <w:sz w:val="18"/>
              </w:rPr>
              <w:t>Key use needed for encrypted storage or restart.</w:t>
            </w:r>
          </w:p>
        </w:tc>
        <w:tc>
          <w:tcPr>
            <w:tcW w:type="dxa" w:w="4435"/>
            <w:tcMar>
              <w:top w:w="85" w:type="dxa"/>
              <w:bottom w:w="85" w:type="dxa"/>
              <w:start w:w="90" w:type="dxa"/>
              <w:end w:w="90" w:type="dxa"/>
            </w:tcMar>
            <w:vAlign w:val="top"/>
            <w:shd w:fill="EEF5F7" w:val="clear"/>
          </w:tcPr>
          <w:p>
            <w:pPr>
              <w:spacing w:after="30" w:line="247" w:lineRule="auto"/>
            </w:pPr>
            <w:r>
              <w:rPr>
                <w:b w:val="0"/>
                <w:sz w:val="18"/>
              </w:rPr>
              <w:t>Is key recovery independent of the encrypted resources it must unlock? Do not invent a guest KMS flow.</w:t>
            </w:r>
          </w:p>
        </w:tc>
      </w:tr>
      <w:tr>
        <w:trPr>
          <w:cantSplit/>
        </w:trPr>
        <w:tc>
          <w:tcPr>
            <w:tcW w:type="dxa" w:w="2160"/>
            <w:tcMar>
              <w:top w:w="85" w:type="dxa"/>
              <w:bottom w:w="85" w:type="dxa"/>
              <w:start w:w="90" w:type="dxa"/>
              <w:end w:w="90" w:type="dxa"/>
            </w:tcMar>
            <w:vAlign w:val="top"/>
          </w:tcPr>
          <w:p>
            <w:pPr>
              <w:spacing w:after="30" w:line="247" w:lineRule="auto"/>
            </w:pPr>
            <w:r>
              <w:rPr>
                <w:b w:val="0"/>
                <w:sz w:val="18"/>
              </w:rPr>
              <w:t>Backup executor / data mover</w:t>
            </w:r>
          </w:p>
        </w:tc>
        <w:tc>
          <w:tcPr>
            <w:tcW w:type="dxa" w:w="3686"/>
            <w:tcMar>
              <w:top w:w="85" w:type="dxa"/>
              <w:bottom w:w="85" w:type="dxa"/>
              <w:start w:w="90" w:type="dxa"/>
              <w:end w:w="90" w:type="dxa"/>
            </w:tcMar>
            <w:vAlign w:val="top"/>
          </w:tcPr>
          <w:p>
            <w:pPr>
              <w:spacing w:after="30" w:line="247" w:lineRule="auto"/>
            </w:pPr>
            <w:r>
              <w:rPr>
                <w:b w:val="0"/>
                <w:sz w:val="18"/>
              </w:rPr>
              <w:t>Scoped capture API and the selected data-transfer path.</w:t>
            </w:r>
          </w:p>
        </w:tc>
        <w:tc>
          <w:tcPr>
            <w:tcW w:type="dxa" w:w="4435"/>
            <w:tcMar>
              <w:top w:w="85" w:type="dxa"/>
              <w:bottom w:w="85" w:type="dxa"/>
              <w:start w:w="90" w:type="dxa"/>
              <w:end w:w="90" w:type="dxa"/>
            </w:tcMar>
            <w:vAlign w:val="top"/>
          </w:tcPr>
          <w:p>
            <w:pPr>
              <w:spacing w:after="30" w:line="247" w:lineRule="auto"/>
            </w:pPr>
            <w:r>
              <w:rPr>
                <w:b w:val="0"/>
                <w:sz w:val="18"/>
              </w:rPr>
              <w:t>Which identity can delete retained copies or reduce protection? Which catalogue and keys survive a primary loss?</w:t>
            </w:r>
          </w:p>
        </w:tc>
      </w:tr>
      <w:tr>
        <w:trPr>
          <w:cantSplit/>
        </w:trPr>
        <w:tc>
          <w:tcPr>
            <w:tcW w:type="dxa" w:w="2160"/>
            <w:tcMar>
              <w:top w:w="85" w:type="dxa"/>
              <w:bottom w:w="85" w:type="dxa"/>
              <w:start w:w="90" w:type="dxa"/>
              <w:end w:w="90" w:type="dxa"/>
            </w:tcMar>
            <w:vAlign w:val="top"/>
            <w:shd w:fill="EEF5F7" w:val="clear"/>
          </w:tcPr>
          <w:p>
            <w:pPr>
              <w:spacing w:after="30" w:line="247" w:lineRule="auto"/>
            </w:pPr>
            <w:r>
              <w:rPr>
                <w:b w:val="0"/>
                <w:sz w:val="18"/>
              </w:rPr>
              <w:t>Infrastructure administrator</w:t>
            </w:r>
          </w:p>
        </w:tc>
        <w:tc>
          <w:tcPr>
            <w:tcW w:type="dxa" w:w="3686"/>
            <w:tcMar>
              <w:top w:w="85" w:type="dxa"/>
              <w:bottom w:w="85" w:type="dxa"/>
              <w:start w:w="90" w:type="dxa"/>
              <w:end w:w="90" w:type="dxa"/>
            </w:tcMar>
            <w:vAlign w:val="top"/>
            <w:shd w:fill="EEF5F7" w:val="clear"/>
          </w:tcPr>
          <w:p>
            <w:pPr>
              <w:spacing w:after="30" w:line="247" w:lineRule="auto"/>
            </w:pPr>
            <w:r>
              <w:rPr>
                <w:b w:val="0"/>
                <w:sz w:val="18"/>
              </w:rPr>
              <w:t>Management API or controlled hardware recovery.</w:t>
            </w:r>
          </w:p>
        </w:tc>
        <w:tc>
          <w:tcPr>
            <w:tcW w:type="dxa" w:w="4435"/>
            <w:tcMar>
              <w:top w:w="85" w:type="dxa"/>
              <w:bottom w:w="85" w:type="dxa"/>
              <w:start w:w="90" w:type="dxa"/>
              <w:end w:w="90" w:type="dxa"/>
            </w:tcMar>
            <w:vAlign w:val="top"/>
            <w:shd w:fill="EEF5F7" w:val="clear"/>
          </w:tcPr>
          <w:p>
            <w:pPr>
              <w:spacing w:after="30" w:line="247" w:lineRule="auto"/>
            </w:pPr>
            <w:r>
              <w:rPr>
                <w:b w:val="0"/>
                <w:sz w:val="18"/>
              </w:rPr>
              <w:t>Which protected origin, target scope and emergency authority apply? Workload reachability does not grant this authority.</w:t>
            </w:r>
          </w:p>
        </w:tc>
      </w:tr>
    </w:tbl>
    <w:p>
      <w:pPr>
        <w:spacing w:after="0" w:before="0" w:line="120"/>
      </w:pPr>
    </w:p>
    <w:p>
      <w:r>
        <w:t>For each row supply the producer’s accepted service statement: endpoint identity, consumed resource scope, protocol/authentication profile, capacity and limits, loss behaviour, supported versions, change notification, recovery ownership and acceptance evidence. The consumer receives the facts it needs, not the producer’s administrator credential or full state file.</w:t>
      </w:r>
    </w:p>
    <w:p>
      <w:r>
        <w:t>Record location constraints separately for live data, copies, telemetry, diagnostics, management, support access and keys. The architecture enforces decisions supplied by the responsible authorities; a site name or private circuit is not a substitute for those decisions. Shared endpoint addresses also do not prove independent service backends.</w:t>
      </w:r>
    </w:p>
    <w:p>
      <w:pPr>
        <w:keepLines/>
        <w:spacing w:before="120"/>
        <w:shd w:fill="EEF5F7" w:val="clear"/>
        <w:pBdr>
          <w:left w:val="single" w:sz="12" w:space="8" w:color="0B6B70"/>
        </w:pBdr>
      </w:pPr>
      <w:r>
        <w:rPr>
          <w:b/>
        </w:rPr>
        <w:t>Handoff quality test: the dependent team can explain what stops, what continues and who can restore the service when this producer is unavailable.</w:t>
      </w:r>
    </w:p>
    <w:p>
      <w:pPr>
        <w:pStyle w:val="Caption"/>
      </w:pPr>
      <w:r>
        <w:t xml:space="preserve">Continue with: </w:t>
      </w:r>
      <w:hyperlink r:id="rId31">
        <w:r>
          <w:rPr>
            <w:color w:val="0B6B70"/>
            <w:u w:val="single"/>
          </w:rPr>
          <w:t>PBS §8</w:t>
        </w:r>
      </w:hyperlink>
      <w:r>
        <w:t xml:space="preserve">  •  </w:t>
      </w:r>
      <w:hyperlink r:id="rId32">
        <w:r>
          <w:rPr>
            <w:color w:val="0B6B70"/>
            <w:u w:val="single"/>
          </w:rPr>
          <w:t>OPS §2</w:t>
        </w:r>
      </w:hyperlink>
    </w:p>
    <w:p>
      <w:r>
        <w:br w:type="page"/>
      </w:r>
    </w:p>
    <w:p>
      <w:pPr>
        <w:pStyle w:val="Heading1"/>
      </w:pPr>
      <w:r>
        <w:t>5. Make capacity-on-demand and exit economically explainable</w:t>
      </w:r>
      <w:bookmarkStart w:id="104" w:name="SDP_05"/>
      <w:bookmarkEnd w:id="104"/>
    </w:p>
    <w:p>
      <w:r>
        <w:t>Capacity is consumable only when the whole offered service can be delivered inside its failure and security constraints.</w:t>
      </w:r>
    </w:p>
    <w:p>
      <w:pPr>
        <w:pStyle w:val="Caption"/>
      </w:pPr>
      <w:r>
        <w:t xml:space="preserve">Design basis and related records: </w:t>
      </w:r>
      <w:hyperlink r:id="rId33">
        <w:r>
          <w:rPr>
            <w:color w:val="0B6B70"/>
            <w:u w:val="single"/>
          </w:rPr>
          <w:t>RA §4</w:t>
        </w:r>
      </w:hyperlink>
      <w:r>
        <w:t xml:space="preserve">  •  </w:t>
      </w:r>
      <w:hyperlink r:id="rId34">
        <w:r>
          <w:rPr>
            <w:color w:val="0B6B70"/>
            <w:u w:val="single"/>
          </w:rPr>
          <w:t>RA §26</w:t>
        </w:r>
      </w:hyperlink>
      <w:r>
        <w:t xml:space="preserve">  •  </w:t>
      </w:r>
      <w:hyperlink r:id="rId35">
        <w:r>
          <w:rPr>
            <w:color w:val="0B6B70"/>
            <w:u w:val="single"/>
          </w:rPr>
          <w:t>QUAL §3</w:t>
        </w:r>
      </w:hyperlink>
      <w:r>
        <w:t xml:space="preserve">  •  </w:t>
      </w:r>
      <w:hyperlink r:id="rId36">
        <w:r>
          <w:rPr>
            <w:color w:val="0B6B70"/>
            <w:u w:val="single"/>
          </w:rPr>
          <w:t>AK §5</w:t>
        </w:r>
      </w:hyperlink>
    </w:p>
    <w:p>
      <w:r>
        <w:t>Keep ordered, received, staged, commissioned, available, reserved, consumed and retiring capacity distinct. A purchased server without accepted transport, storage, edge slots, entitlement or operating ownership is not service-ready capacity. A tenant quota limits consumption rights; it is not proof that the provider can honour every concurrent request.</w:t>
      </w:r>
    </w:p>
    <w:tbl>
      <w:tblPr>
        <w:tblW w:type="auto" w:w="0"/>
        <w:jc w:val="center"/>
        <w:tblLayout w:type="fixed"/>
        <w:tblLook w:firstColumn="1" w:firstRow="1" w:lastColumn="0" w:lastRow="0" w:noHBand="0" w:noVBand="1" w:val="04A0"/>
      </w:tblPr>
      <w:tblGrid>
        <w:gridCol w:w="2160"/>
        <w:gridCol w:w="4104"/>
        <w:gridCol w:w="4018"/>
      </w:tblGrid>
      <w:tr>
        <w:trPr>
          <w:tblHeader/>
        </w:trPr>
        <w:tc>
          <w:tcPr>
            <w:tcW w:type="dxa" w:w="2160"/>
            <w:tcMar>
              <w:top w:w="85" w:type="dxa"/>
              <w:bottom w:w="85" w:type="dxa"/>
              <w:start w:w="90" w:type="dxa"/>
              <w:end w:w="90" w:type="dxa"/>
            </w:tcMar>
            <w:vAlign w:val="top"/>
            <w:shd w:fill="15384A" w:val="clear"/>
          </w:tcPr>
          <w:p>
            <w:pPr>
              <w:spacing w:after="30" w:line="247" w:lineRule="auto"/>
            </w:pPr>
            <w:r>
              <w:rPr>
                <w:b/>
                <w:color w:val="FFFFFF"/>
                <w:sz w:val="18"/>
              </w:rPr>
              <w:t>Decision</w:t>
            </w:r>
          </w:p>
        </w:tc>
        <w:tc>
          <w:tcPr>
            <w:tcW w:type="dxa" w:w="4104"/>
            <w:tcMar>
              <w:top w:w="85" w:type="dxa"/>
              <w:bottom w:w="85" w:type="dxa"/>
              <w:start w:w="90" w:type="dxa"/>
              <w:end w:w="90" w:type="dxa"/>
            </w:tcMar>
            <w:vAlign w:val="top"/>
            <w:shd w:fill="15384A" w:val="clear"/>
          </w:tcPr>
          <w:p>
            <w:pPr>
              <w:spacing w:after="30" w:line="247" w:lineRule="auto"/>
            </w:pPr>
            <w:r>
              <w:rPr>
                <w:b/>
                <w:color w:val="FFFFFF"/>
                <w:sz w:val="18"/>
              </w:rPr>
              <w:t>Engineering consequence</w:t>
            </w:r>
          </w:p>
        </w:tc>
        <w:tc>
          <w:tcPr>
            <w:tcW w:type="dxa" w:w="4018"/>
            <w:tcMar>
              <w:top w:w="85" w:type="dxa"/>
              <w:bottom w:w="85" w:type="dxa"/>
              <w:start w:w="90" w:type="dxa"/>
              <w:end w:w="90" w:type="dxa"/>
            </w:tcMar>
            <w:vAlign w:val="top"/>
            <w:shd w:fill="15384A" w:val="clear"/>
          </w:tcPr>
          <w:p>
            <w:pPr>
              <w:spacing w:after="30" w:line="247" w:lineRule="auto"/>
            </w:pPr>
            <w:r>
              <w:rPr>
                <w:b/>
                <w:color w:val="FFFFFF"/>
                <w:sz w:val="18"/>
              </w:rPr>
              <w:t>Operating record</w:t>
            </w:r>
          </w:p>
        </w:tc>
      </w:tr>
      <w:tr>
        <w:trPr>
          <w:cantSplit/>
        </w:trPr>
        <w:tc>
          <w:tcPr>
            <w:tcW w:type="dxa" w:w="2160"/>
            <w:tcMar>
              <w:top w:w="85" w:type="dxa"/>
              <w:bottom w:w="85" w:type="dxa"/>
              <w:start w:w="90" w:type="dxa"/>
              <w:end w:w="90" w:type="dxa"/>
            </w:tcMar>
            <w:vAlign w:val="top"/>
          </w:tcPr>
          <w:p>
            <w:pPr>
              <w:spacing w:after="30" w:line="247" w:lineRule="auto"/>
            </w:pPr>
            <w:r>
              <w:rPr>
                <w:b w:val="0"/>
                <w:sz w:val="18"/>
              </w:rPr>
              <w:t>Reserve for the covered failure</w:t>
            </w:r>
          </w:p>
        </w:tc>
        <w:tc>
          <w:tcPr>
            <w:tcW w:type="dxa" w:w="4104"/>
            <w:tcMar>
              <w:top w:w="85" w:type="dxa"/>
              <w:bottom w:w="85" w:type="dxa"/>
              <w:start w:w="90" w:type="dxa"/>
              <w:end w:w="90" w:type="dxa"/>
            </w:tcMar>
            <w:vAlign w:val="top"/>
          </w:tcPr>
          <w:p>
            <w:pPr>
              <w:spacing w:after="30" w:line="247" w:lineRule="auto"/>
            </w:pPr>
            <w:r>
              <w:rPr>
                <w:b w:val="0"/>
                <w:sz w:val="18"/>
              </w:rPr>
              <w:t>Calculate demand against surviving qualified capacity in each limiting unit.</w:t>
            </w:r>
          </w:p>
        </w:tc>
        <w:tc>
          <w:tcPr>
            <w:tcW w:type="dxa" w:w="4018"/>
            <w:tcMar>
              <w:top w:w="85" w:type="dxa"/>
              <w:bottom w:w="85" w:type="dxa"/>
              <w:start w:w="90" w:type="dxa"/>
              <w:end w:w="90" w:type="dxa"/>
            </w:tcMar>
            <w:vAlign w:val="top"/>
          </w:tcPr>
          <w:p>
            <w:pPr>
              <w:spacing w:after="30" w:line="247" w:lineRule="auto"/>
            </w:pPr>
            <w:r>
              <w:rPr>
                <w:b w:val="0"/>
                <w:sz w:val="18"/>
              </w:rPr>
              <w:t>Track compute, storage, sessions, inspected throughput, address pools and dependency limits separately.</w:t>
            </w:r>
          </w:p>
        </w:tc>
      </w:tr>
      <w:tr>
        <w:trPr>
          <w:cantSplit/>
        </w:trPr>
        <w:tc>
          <w:tcPr>
            <w:tcW w:type="dxa" w:w="2160"/>
            <w:tcMar>
              <w:top w:w="85" w:type="dxa"/>
              <w:bottom w:w="85" w:type="dxa"/>
              <w:start w:w="90" w:type="dxa"/>
              <w:end w:w="90" w:type="dxa"/>
            </w:tcMar>
            <w:vAlign w:val="top"/>
            <w:shd w:fill="EEF5F7" w:val="clear"/>
          </w:tcPr>
          <w:p>
            <w:pPr>
              <w:spacing w:after="30" w:line="247" w:lineRule="auto"/>
            </w:pPr>
            <w:r>
              <w:rPr>
                <w:b w:val="0"/>
                <w:sz w:val="18"/>
              </w:rPr>
              <w:t>Expand before exhaustion</w:t>
            </w:r>
          </w:p>
        </w:tc>
        <w:tc>
          <w:tcPr>
            <w:tcW w:type="dxa" w:w="4104"/>
            <w:tcMar>
              <w:top w:w="85" w:type="dxa"/>
              <w:bottom w:w="85" w:type="dxa"/>
              <w:start w:w="90" w:type="dxa"/>
              <w:end w:w="90" w:type="dxa"/>
            </w:tcMar>
            <w:vAlign w:val="top"/>
            <w:shd w:fill="EEF5F7" w:val="clear"/>
          </w:tcPr>
          <w:p>
            <w:pPr>
              <w:spacing w:after="30" w:line="247" w:lineRule="auto"/>
            </w:pPr>
            <w:r>
              <w:rPr>
                <w:b w:val="0"/>
                <w:sz w:val="18"/>
              </w:rPr>
              <w:t>Use actual procurement, staging, commissioning and qualification lead time.</w:t>
            </w:r>
          </w:p>
        </w:tc>
        <w:tc>
          <w:tcPr>
            <w:tcW w:type="dxa" w:w="4018"/>
            <w:tcMar>
              <w:top w:w="85" w:type="dxa"/>
              <w:bottom w:w="85" w:type="dxa"/>
              <w:start w:w="90" w:type="dxa"/>
              <w:end w:w="90" w:type="dxa"/>
            </w:tcMar>
            <w:vAlign w:val="top"/>
            <w:shd w:fill="EEF5F7" w:val="clear"/>
          </w:tcPr>
          <w:p>
            <w:pPr>
              <w:spacing w:after="30" w:line="247" w:lineRule="auto"/>
            </w:pPr>
            <w:r>
              <w:rPr>
                <w:b w:val="0"/>
                <w:sz w:val="18"/>
              </w:rPr>
              <w:t>Record the trigger, owner, forecast confidence and time to usable service—not only delivery date.</w:t>
            </w:r>
          </w:p>
        </w:tc>
      </w:tr>
      <w:tr>
        <w:trPr>
          <w:cantSplit/>
        </w:trPr>
        <w:tc>
          <w:tcPr>
            <w:tcW w:type="dxa" w:w="2160"/>
            <w:tcMar>
              <w:top w:w="85" w:type="dxa"/>
              <w:bottom w:w="85" w:type="dxa"/>
              <w:start w:w="90" w:type="dxa"/>
              <w:end w:w="90" w:type="dxa"/>
            </w:tcMar>
            <w:vAlign w:val="top"/>
          </w:tcPr>
          <w:p>
            <w:pPr>
              <w:spacing w:after="30" w:line="247" w:lineRule="auto"/>
            </w:pPr>
            <w:r>
              <w:rPr>
                <w:b w:val="0"/>
                <w:sz w:val="18"/>
              </w:rPr>
              <w:t>Charge or show service consumption</w:t>
            </w:r>
          </w:p>
        </w:tc>
        <w:tc>
          <w:tcPr>
            <w:tcW w:type="dxa" w:w="4104"/>
            <w:tcMar>
              <w:top w:w="85" w:type="dxa"/>
              <w:bottom w:w="85" w:type="dxa"/>
              <w:start w:w="90" w:type="dxa"/>
              <w:end w:w="90" w:type="dxa"/>
            </w:tcMar>
            <w:vAlign w:val="top"/>
          </w:tcPr>
          <w:p>
            <w:pPr>
              <w:spacing w:after="30" w:line="247" w:lineRule="auto"/>
            </w:pPr>
            <w:r>
              <w:rPr>
                <w:b w:val="0"/>
                <w:sz w:val="18"/>
              </w:rPr>
              <w:t>State the unit, period and boundary; separate dedicated scope and protection retention.</w:t>
            </w:r>
          </w:p>
        </w:tc>
        <w:tc>
          <w:tcPr>
            <w:tcW w:type="dxa" w:w="4018"/>
            <w:tcMar>
              <w:top w:w="85" w:type="dxa"/>
              <w:bottom w:w="85" w:type="dxa"/>
              <w:start w:w="90" w:type="dxa"/>
              <w:end w:w="90" w:type="dxa"/>
            </w:tcMar>
            <w:vAlign w:val="top"/>
          </w:tcPr>
          <w:p>
            <w:pPr>
              <w:spacing w:after="30" w:line="247" w:lineRule="auto"/>
            </w:pPr>
            <w:r>
              <w:rPr>
                <w:b w:val="0"/>
                <w:sz w:val="18"/>
              </w:rPr>
              <w:t>Do not disguise idle stock or duplicate reservations as consumed tenant capacity.</w:t>
            </w:r>
          </w:p>
        </w:tc>
      </w:tr>
      <w:tr>
        <w:trPr>
          <w:cantSplit/>
        </w:trPr>
        <w:tc>
          <w:tcPr>
            <w:tcW w:type="dxa" w:w="2160"/>
            <w:tcMar>
              <w:top w:w="85" w:type="dxa"/>
              <w:bottom w:w="85" w:type="dxa"/>
              <w:start w:w="90" w:type="dxa"/>
              <w:end w:w="90" w:type="dxa"/>
            </w:tcMar>
            <w:vAlign w:val="top"/>
            <w:shd w:fill="EEF5F7" w:val="clear"/>
          </w:tcPr>
          <w:p>
            <w:pPr>
              <w:spacing w:after="30" w:line="247" w:lineRule="auto"/>
            </w:pPr>
            <w:r>
              <w:rPr>
                <w:b w:val="0"/>
                <w:sz w:val="18"/>
              </w:rPr>
              <w:t>Maintain a viable exit</w:t>
            </w:r>
          </w:p>
        </w:tc>
        <w:tc>
          <w:tcPr>
            <w:tcW w:type="dxa" w:w="4104"/>
            <w:tcMar>
              <w:top w:w="85" w:type="dxa"/>
              <w:bottom w:w="85" w:type="dxa"/>
              <w:start w:w="90" w:type="dxa"/>
              <w:end w:w="90" w:type="dxa"/>
            </w:tcMar>
            <w:vAlign w:val="top"/>
            <w:shd w:fill="EEF5F7" w:val="clear"/>
          </w:tcPr>
          <w:p>
            <w:pPr>
              <w:spacing w:after="30" w:line="247" w:lineRule="auto"/>
            </w:pPr>
            <w:r>
              <w:rPr>
                <w:b w:val="0"/>
                <w:sz w:val="18"/>
              </w:rPr>
              <w:t>Include target capacity, copy volume, conversion, downtime, skills and retained obligations.</w:t>
            </w:r>
          </w:p>
        </w:tc>
        <w:tc>
          <w:tcPr>
            <w:tcW w:type="dxa" w:w="4018"/>
            <w:tcMar>
              <w:top w:w="85" w:type="dxa"/>
              <w:bottom w:w="85" w:type="dxa"/>
              <w:start w:w="90" w:type="dxa"/>
              <w:end w:w="90" w:type="dxa"/>
            </w:tcMar>
            <w:vAlign w:val="top"/>
            <w:shd w:fill="EEF5F7" w:val="clear"/>
          </w:tcPr>
          <w:p>
            <w:pPr>
              <w:spacing w:after="30" w:line="247" w:lineRule="auto"/>
            </w:pPr>
            <w:r>
              <w:rPr>
                <w:b w:val="0"/>
                <w:sz w:val="18"/>
              </w:rPr>
              <w:t>Rehearsal evidence distinguishes deployment portability from successful data/service recovery.</w:t>
            </w:r>
          </w:p>
        </w:tc>
      </w:tr>
    </w:tbl>
    <w:p>
      <w:pPr>
        <w:spacing w:after="0" w:before="0" w:line="120"/>
      </w:pPr>
    </w:p>
    <w:p>
      <w:r>
        <w:t>A local cost model can separate shared fixed service costs, metered resource consumption, retained-copy costs and dedicated isolation costs. No rates or savings are asserted here. Record assumptions and measurement periods before using the model to justify consolidation or replacement.</w:t>
      </w:r>
    </w:p>
    <w:p>
      <w:r>
        <w:t>The next commitment decision is therefore not “which stack has free CPU?” It is “which eligible service envelope has enough surviving capacity, current support, accepted dependencies and a usable exit path?”</w:t>
      </w:r>
    </w:p>
    <w:p>
      <w:pPr>
        <w:pStyle w:val="Caption"/>
      </w:pPr>
      <w:r>
        <w:t xml:space="preserve">Continue with: </w:t>
      </w:r>
      <w:hyperlink r:id="rId37">
        <w:r>
          <w:rPr>
            <w:color w:val="0B6B70"/>
            <w:u w:val="single"/>
          </w:rPr>
          <w:t>NBD §7</w:t>
        </w:r>
      </w:hyperlink>
      <w:r>
        <w:t xml:space="preserve">  •  </w:t>
      </w:r>
      <w:hyperlink r:id="rId38">
        <w:r>
          <w:rPr>
            <w:color w:val="0B6B70"/>
            <w:u w:val="single"/>
          </w:rPr>
          <w:t>OPS §5</w:t>
        </w:r>
      </w:hyperlink>
    </w:p>
    <w:p>
      <w:r>
        <w:br w:type="page"/>
      </w:r>
    </w:p>
    <w:p>
      <w:pPr>
        <w:pStyle w:val="Heading1"/>
      </w:pPr>
      <w:r>
        <w:t>6. Release the architecture as an accountable engineering contract</w:t>
      </w:r>
      <w:bookmarkStart w:id="105" w:name="SDP_06"/>
      <w:bookmarkEnd w:id="105"/>
    </w:p>
    <w:p>
      <w:r>
        <w:t>The HLD remains the project design record. Use this completion record to attach the developed decisions to that record, rather than creating another conflicting source of truth.</w:t>
      </w:r>
    </w:p>
    <w:p>
      <w:pPr>
        <w:pStyle w:val="Caption"/>
      </w:pPr>
      <w:r>
        <w:t xml:space="preserve">Design basis and related records: </w:t>
      </w:r>
      <w:hyperlink r:id="rId39">
        <w:r>
          <w:rPr>
            <w:color w:val="0B6B70"/>
            <w:u w:val="single"/>
          </w:rPr>
          <w:t>AK §8</w:t>
        </w:r>
      </w:hyperlink>
      <w:r>
        <w:t xml:space="preserve">  •  </w:t>
      </w:r>
      <w:hyperlink r:id="rId40">
        <w:r>
          <w:rPr>
            <w:color w:val="0B6B70"/>
            <w:u w:val="single"/>
          </w:rPr>
          <w:t>AT §10</w:t>
        </w:r>
      </w:hyperlink>
      <w:r>
        <w:t xml:space="preserve">  •  </w:t>
      </w:r>
      <w:hyperlink r:id="rId41">
        <w:r>
          <w:rPr>
            <w:color w:val="0B6B70"/>
            <w:u w:val="single"/>
          </w:rPr>
          <w:t>DEL §2</w:t>
        </w:r>
      </w:hyperlink>
    </w:p>
    <w:tbl>
      <w:tblPr>
        <w:tblW w:type="auto" w:w="0"/>
        <w:jc w:val="center"/>
        <w:tblLayout w:type="fixed"/>
        <w:tblLook w:firstColumn="1" w:firstRow="1" w:lastColumn="0" w:lastRow="0" w:noHBand="0" w:noVBand="1" w:val="04A0"/>
      </w:tblPr>
      <w:tblGrid>
        <w:gridCol w:w="1944"/>
        <w:gridCol w:w="5242"/>
        <w:gridCol w:w="3096"/>
      </w:tblGrid>
      <w:tr>
        <w:trPr>
          <w:tblHeader/>
        </w:trPr>
        <w:tc>
          <w:tcPr>
            <w:tcW w:type="dxa" w:w="1944"/>
            <w:tcMar>
              <w:top w:w="85" w:type="dxa"/>
              <w:bottom w:w="85" w:type="dxa"/>
              <w:start w:w="90" w:type="dxa"/>
              <w:end w:w="90" w:type="dxa"/>
            </w:tcMar>
            <w:vAlign w:val="top"/>
            <w:shd w:fill="15384A" w:val="clear"/>
          </w:tcPr>
          <w:p>
            <w:pPr>
              <w:spacing w:after="30" w:line="247" w:lineRule="auto"/>
            </w:pPr>
            <w:r>
              <w:rPr>
                <w:b/>
                <w:color w:val="FFFFFF"/>
                <w:sz w:val="18"/>
              </w:rPr>
              <w:t>Decision / response</w:t>
            </w:r>
          </w:p>
        </w:tc>
        <w:tc>
          <w:tcPr>
            <w:tcW w:type="dxa" w:w="5242"/>
            <w:tcMar>
              <w:top w:w="85" w:type="dxa"/>
              <w:bottom w:w="85" w:type="dxa"/>
              <w:start w:w="90" w:type="dxa"/>
              <w:end w:w="90" w:type="dxa"/>
            </w:tcMar>
            <w:vAlign w:val="top"/>
            <w:shd w:fill="15384A" w:val="clear"/>
          </w:tcPr>
          <w:p>
            <w:pPr>
              <w:spacing w:after="30" w:line="247" w:lineRule="auto"/>
            </w:pPr>
            <w:r>
              <w:rPr>
                <w:b/>
                <w:color w:val="FFFFFF"/>
                <w:sz w:val="18"/>
              </w:rPr>
              <w:t>What the architect hands over</w:t>
            </w:r>
          </w:p>
        </w:tc>
        <w:tc>
          <w:tcPr>
            <w:tcW w:type="dxa" w:w="3096"/>
            <w:tcMar>
              <w:top w:w="85" w:type="dxa"/>
              <w:bottom w:w="85" w:type="dxa"/>
              <w:start w:w="90" w:type="dxa"/>
              <w:end w:w="90" w:type="dxa"/>
            </w:tcMar>
            <w:vAlign w:val="top"/>
            <w:shd w:fill="15384A" w:val="clear"/>
          </w:tcPr>
          <w:p>
            <w:pPr>
              <w:spacing w:after="30" w:line="247" w:lineRule="auto"/>
            </w:pPr>
            <w:r>
              <w:rPr>
                <w:b/>
                <w:color w:val="FFFFFF"/>
                <w:sz w:val="18"/>
              </w:rPr>
              <w:t>Working reference</w:t>
            </w:r>
          </w:p>
        </w:tc>
      </w:tr>
      <w:tr>
        <w:trPr>
          <w:cantSplit/>
        </w:trPr>
        <w:tc>
          <w:tcPr>
            <w:tcW w:type="dxa" w:w="1944"/>
            <w:tcMar>
              <w:top w:w="85" w:type="dxa"/>
              <w:bottom w:w="85" w:type="dxa"/>
              <w:start w:w="90" w:type="dxa"/>
              <w:end w:w="90" w:type="dxa"/>
            </w:tcMar>
            <w:vAlign w:val="top"/>
          </w:tcPr>
          <w:p>
            <w:pPr>
              <w:spacing w:after="30" w:line="247" w:lineRule="auto"/>
            </w:pPr>
            <w:r>
              <w:rPr>
                <w:b w:val="0"/>
                <w:sz w:val="18"/>
              </w:rPr>
              <w:t>Offered scope</w:t>
            </w:r>
          </w:p>
        </w:tc>
        <w:tc>
          <w:tcPr>
            <w:tcW w:type="dxa" w:w="5242"/>
            <w:tcMar>
              <w:top w:w="85" w:type="dxa"/>
              <w:bottom w:w="85" w:type="dxa"/>
              <w:start w:w="90" w:type="dxa"/>
              <w:end w:w="90" w:type="dxa"/>
            </w:tcMar>
            <w:vAlign w:val="top"/>
          </w:tcPr>
          <w:p>
            <w:pPr>
              <w:spacing w:after="30" w:line="247" w:lineRule="auto"/>
            </w:pPr>
            <w:r>
              <w:rPr>
                <w:b w:val="0"/>
                <w:sz w:val="18"/>
              </w:rPr>
              <w:t>Service boundary, excluded extensions, categorization and actual responsibility split.</w:t>
            </w:r>
          </w:p>
        </w:tc>
        <w:tc>
          <w:tcPr>
            <w:tcW w:type="dxa" w:w="3096"/>
            <w:tcMar>
              <w:top w:w="85" w:type="dxa"/>
              <w:bottom w:w="85" w:type="dxa"/>
              <w:start w:w="90" w:type="dxa"/>
              <w:end w:w="90" w:type="dxa"/>
            </w:tcMar>
            <w:vAlign w:val="top"/>
            <w:shd w:fill="EEF5F7" w:val="clear"/>
          </w:tcPr>
          <w:p>
            <w:pPr>
              <w:spacing w:after="30" w:line="247" w:lineRule="auto"/>
            </w:pPr>
            <w:sdt>
              <w:sdtPr>
                <w:id w:val="10000"/>
                <w:tag w:val="SDP_SERVICE_SCOPE"/>
                <w:alias w:val="SDP SERVICE SCOPE"/>
                <w:text w:multiLine="1"/>
              </w:sdtPr>
              <w:sdtContent>
                <w:r>
                  <w:rPr>
                    <w:color w:val="0B6B70"/>
                  </w:rPr>
                  <w:t>[Enter sdp service scope]</w:t>
                </w:r>
              </w:sdtContent>
            </w:sdt>
          </w:p>
        </w:tc>
      </w:tr>
      <w:tr>
        <w:trPr>
          <w:cantSplit/>
        </w:trPr>
        <w:tc>
          <w:tcPr>
            <w:tcW w:type="dxa" w:w="1944"/>
            <w:tcMar>
              <w:top w:w="85" w:type="dxa"/>
              <w:bottom w:w="85" w:type="dxa"/>
              <w:start w:w="90" w:type="dxa"/>
              <w:end w:w="90" w:type="dxa"/>
            </w:tcMar>
            <w:vAlign w:val="top"/>
            <w:shd w:fill="EEF5F7" w:val="clear"/>
          </w:tcPr>
          <w:p>
            <w:pPr>
              <w:spacing w:after="30" w:line="247" w:lineRule="auto"/>
            </w:pPr>
            <w:r>
              <w:rPr>
                <w:b w:val="0"/>
                <w:sz w:val="18"/>
              </w:rPr>
              <w:t>Approved sharing</w:t>
            </w:r>
          </w:p>
        </w:tc>
        <w:tc>
          <w:tcPr>
            <w:tcW w:type="dxa" w:w="5242"/>
            <w:tcMar>
              <w:top w:w="85" w:type="dxa"/>
              <w:bottom w:w="85" w:type="dxa"/>
              <w:start w:w="90" w:type="dxa"/>
              <w:end w:w="90" w:type="dxa"/>
            </w:tcMar>
            <w:vAlign w:val="top"/>
            <w:shd w:fill="EEF5F7" w:val="clear"/>
          </w:tcPr>
          <w:p>
            <w:pPr>
              <w:spacing w:after="30" w:line="247" w:lineRule="auto"/>
            </w:pPr>
            <w:r>
              <w:rPr>
                <w:b w:val="0"/>
                <w:sz w:val="18"/>
              </w:rPr>
              <w:t>Per-layer dedicated/shared disposition, exceptions and eligible recovery placement.</w:t>
            </w:r>
          </w:p>
        </w:tc>
        <w:tc>
          <w:tcPr>
            <w:tcW w:type="dxa" w:w="3096"/>
            <w:tcMar>
              <w:top w:w="85" w:type="dxa"/>
              <w:bottom w:w="85" w:type="dxa"/>
              <w:start w:w="90" w:type="dxa"/>
              <w:end w:w="90" w:type="dxa"/>
            </w:tcMar>
            <w:vAlign w:val="top"/>
            <w:shd w:fill="EEF5F7" w:val="clear"/>
          </w:tcPr>
          <w:p>
            <w:pPr>
              <w:spacing w:after="30" w:line="247" w:lineRule="auto"/>
            </w:pPr>
            <w:sdt>
              <w:sdtPr>
                <w:id w:val="10001"/>
                <w:tag w:val="SDP_SHARING_DECISION"/>
                <w:alias w:val="SDP SHARING DECISION"/>
                <w:text w:multiLine="1"/>
              </w:sdtPr>
              <w:sdtContent>
                <w:r>
                  <w:rPr>
                    <w:color w:val="0B6B70"/>
                  </w:rPr>
                  <w:t>[Enter sdp sharing decision]</w:t>
                </w:r>
              </w:sdtContent>
            </w:sdt>
          </w:p>
        </w:tc>
      </w:tr>
      <w:tr>
        <w:trPr>
          <w:cantSplit/>
        </w:trPr>
        <w:tc>
          <w:tcPr>
            <w:tcW w:type="dxa" w:w="1944"/>
            <w:tcMar>
              <w:top w:w="85" w:type="dxa"/>
              <w:bottom w:w="85" w:type="dxa"/>
              <w:start w:w="90" w:type="dxa"/>
              <w:end w:w="90" w:type="dxa"/>
            </w:tcMar>
            <w:vAlign w:val="top"/>
          </w:tcPr>
          <w:p>
            <w:pPr>
              <w:spacing w:after="30" w:line="247" w:lineRule="auto"/>
            </w:pPr>
            <w:r>
              <w:rPr>
                <w:b w:val="0"/>
                <w:sz w:val="18"/>
              </w:rPr>
              <w:t>Boundary realization</w:t>
            </w:r>
          </w:p>
        </w:tc>
        <w:tc>
          <w:tcPr>
            <w:tcW w:type="dxa" w:w="5242"/>
            <w:tcMar>
              <w:top w:w="85" w:type="dxa"/>
              <w:bottom w:w="85" w:type="dxa"/>
              <w:start w:w="90" w:type="dxa"/>
              <w:end w:w="90" w:type="dxa"/>
            </w:tcMar>
            <w:vAlign w:val="top"/>
          </w:tcPr>
          <w:p>
            <w:pPr>
              <w:spacing w:after="30" w:line="247" w:lineRule="auto"/>
            </w:pPr>
            <w:r>
              <w:rPr>
                <w:b w:val="0"/>
                <w:sz w:val="18"/>
              </w:rPr>
              <w:t>Selected option, rejected alternatives and required forward/reply enforcement.</w:t>
            </w:r>
          </w:p>
        </w:tc>
        <w:tc>
          <w:tcPr>
            <w:tcW w:type="dxa" w:w="3096"/>
            <w:tcMar>
              <w:top w:w="85" w:type="dxa"/>
              <w:bottom w:w="85" w:type="dxa"/>
              <w:start w:w="90" w:type="dxa"/>
              <w:end w:w="90" w:type="dxa"/>
            </w:tcMar>
            <w:vAlign w:val="top"/>
            <w:shd w:fill="EEF5F7" w:val="clear"/>
          </w:tcPr>
          <w:p>
            <w:pPr>
              <w:spacing w:after="30" w:line="247" w:lineRule="auto"/>
            </w:pPr>
            <w:sdt>
              <w:sdtPr>
                <w:id w:val="10002"/>
                <w:tag w:val="SDP_BOUNDARY_DECISION"/>
                <w:alias w:val="SDP BOUNDARY DECISION"/>
                <w:text w:multiLine="1"/>
              </w:sdtPr>
              <w:sdtContent>
                <w:r>
                  <w:rPr>
                    <w:color w:val="0B6B70"/>
                  </w:rPr>
                  <w:t>[Enter sdp boundary decision]</w:t>
                </w:r>
              </w:sdtContent>
            </w:sdt>
          </w:p>
        </w:tc>
      </w:tr>
      <w:tr>
        <w:trPr>
          <w:cantSplit/>
        </w:trPr>
        <w:tc>
          <w:tcPr>
            <w:tcW w:type="dxa" w:w="1944"/>
            <w:tcMar>
              <w:top w:w="85" w:type="dxa"/>
              <w:bottom w:w="85" w:type="dxa"/>
              <w:start w:w="90" w:type="dxa"/>
              <w:end w:w="90" w:type="dxa"/>
            </w:tcMar>
            <w:vAlign w:val="top"/>
            <w:shd w:fill="EEF5F7" w:val="clear"/>
          </w:tcPr>
          <w:p>
            <w:pPr>
              <w:spacing w:after="30" w:line="247" w:lineRule="auto"/>
            </w:pPr>
            <w:r>
              <w:rPr>
                <w:b w:val="0"/>
                <w:sz w:val="18"/>
              </w:rPr>
              <w:t>Required dependencies</w:t>
            </w:r>
          </w:p>
        </w:tc>
        <w:tc>
          <w:tcPr>
            <w:tcW w:type="dxa" w:w="5242"/>
            <w:tcMar>
              <w:top w:w="85" w:type="dxa"/>
              <w:bottom w:w="85" w:type="dxa"/>
              <w:start w:w="90" w:type="dxa"/>
              <w:end w:w="90" w:type="dxa"/>
            </w:tcMar>
            <w:vAlign w:val="top"/>
            <w:shd w:fill="EEF5F7" w:val="clear"/>
          </w:tcPr>
          <w:p>
            <w:pPr>
              <w:spacing w:after="30" w:line="247" w:lineRule="auto"/>
            </w:pPr>
            <w:r>
              <w:rPr>
                <w:b w:val="0"/>
                <w:sz w:val="18"/>
              </w:rPr>
              <w:t>Producer acceptance, client scope, recovery and location constraints.</w:t>
            </w:r>
          </w:p>
        </w:tc>
        <w:tc>
          <w:tcPr>
            <w:tcW w:type="dxa" w:w="3096"/>
            <w:tcMar>
              <w:top w:w="85" w:type="dxa"/>
              <w:bottom w:w="85" w:type="dxa"/>
              <w:start w:w="90" w:type="dxa"/>
              <w:end w:w="90" w:type="dxa"/>
            </w:tcMar>
            <w:vAlign w:val="top"/>
            <w:shd w:fill="EEF5F7" w:val="clear"/>
          </w:tcPr>
          <w:p>
            <w:pPr>
              <w:spacing w:after="30" w:line="247" w:lineRule="auto"/>
            </w:pPr>
            <w:sdt>
              <w:sdtPr>
                <w:id w:val="10003"/>
                <w:tag w:val="SDP_DEPENDENCIES"/>
                <w:alias w:val="SDP DEPENDENCIES"/>
                <w:text w:multiLine="1"/>
              </w:sdtPr>
              <w:sdtContent>
                <w:r>
                  <w:rPr>
                    <w:color w:val="0B6B70"/>
                  </w:rPr>
                  <w:t>[Enter sdp dependencies]</w:t>
                </w:r>
              </w:sdtContent>
            </w:sdt>
          </w:p>
        </w:tc>
      </w:tr>
      <w:tr>
        <w:trPr>
          <w:cantSplit/>
        </w:trPr>
        <w:tc>
          <w:tcPr>
            <w:tcW w:type="dxa" w:w="1944"/>
            <w:tcMar>
              <w:top w:w="85" w:type="dxa"/>
              <w:bottom w:w="85" w:type="dxa"/>
              <w:start w:w="90" w:type="dxa"/>
              <w:end w:w="90" w:type="dxa"/>
            </w:tcMar>
            <w:vAlign w:val="top"/>
          </w:tcPr>
          <w:p>
            <w:pPr>
              <w:spacing w:after="30" w:line="247" w:lineRule="auto"/>
            </w:pPr>
            <w:r>
              <w:rPr>
                <w:b w:val="0"/>
                <w:sz w:val="18"/>
              </w:rPr>
              <w:t>Acceptance allocation</w:t>
            </w:r>
          </w:p>
        </w:tc>
        <w:tc>
          <w:tcPr>
            <w:tcW w:type="dxa" w:w="5242"/>
            <w:tcMar>
              <w:top w:w="85" w:type="dxa"/>
              <w:bottom w:w="85" w:type="dxa"/>
              <w:start w:w="90" w:type="dxa"/>
              <w:end w:w="90" w:type="dxa"/>
            </w:tcMar>
            <w:vAlign w:val="top"/>
          </w:tcPr>
          <w:p>
            <w:pPr>
              <w:spacing w:after="30" w:line="247" w:lineRule="auto"/>
            </w:pPr>
            <w:r>
              <w:rPr>
                <w:b w:val="0"/>
                <w:sz w:val="18"/>
              </w:rPr>
              <w:t>Assertions, qualification stage, evidence owner and appropriate decision authority.</w:t>
            </w:r>
          </w:p>
        </w:tc>
        <w:tc>
          <w:tcPr>
            <w:tcW w:type="dxa" w:w="3096"/>
            <w:tcMar>
              <w:top w:w="85" w:type="dxa"/>
              <w:bottom w:w="85" w:type="dxa"/>
              <w:start w:w="90" w:type="dxa"/>
              <w:end w:w="90" w:type="dxa"/>
            </w:tcMar>
            <w:vAlign w:val="top"/>
            <w:shd w:fill="EEF5F7" w:val="clear"/>
          </w:tcPr>
          <w:p>
            <w:pPr>
              <w:spacing w:after="30" w:line="247" w:lineRule="auto"/>
            </w:pPr>
            <w:sdt>
              <w:sdtPr>
                <w:id w:val="10004"/>
                <w:tag w:val="SDP_ACCEPTANCE_ALLOCATION"/>
                <w:alias w:val="SDP ACCEPTANCE ALLOCATION"/>
                <w:text w:multiLine="1"/>
              </w:sdtPr>
              <w:sdtContent>
                <w:r>
                  <w:rPr>
                    <w:color w:val="0B6B70"/>
                  </w:rPr>
                  <w:t>[Enter sdp acceptance allocation]</w:t>
                </w:r>
              </w:sdtContent>
            </w:sdt>
          </w:p>
        </w:tc>
      </w:tr>
      <w:tr>
        <w:trPr>
          <w:cantSplit/>
        </w:trPr>
        <w:tc>
          <w:tcPr>
            <w:tcW w:type="dxa" w:w="1944"/>
            <w:tcMar>
              <w:top w:w="85" w:type="dxa"/>
              <w:bottom w:w="85" w:type="dxa"/>
              <w:start w:w="90" w:type="dxa"/>
              <w:end w:w="90" w:type="dxa"/>
            </w:tcMar>
            <w:vAlign w:val="top"/>
            <w:shd w:fill="EEF5F7" w:val="clear"/>
          </w:tcPr>
          <w:p>
            <w:pPr>
              <w:spacing w:after="30" w:line="247" w:lineRule="auto"/>
            </w:pPr>
            <w:r>
              <w:rPr>
                <w:b w:val="0"/>
                <w:sz w:val="18"/>
              </w:rPr>
              <w:t>Open decisions</w:t>
            </w:r>
          </w:p>
        </w:tc>
        <w:tc>
          <w:tcPr>
            <w:tcW w:type="dxa" w:w="5242"/>
            <w:tcMar>
              <w:top w:w="85" w:type="dxa"/>
              <w:bottom w:w="85" w:type="dxa"/>
              <w:start w:w="90" w:type="dxa"/>
              <w:end w:w="90" w:type="dxa"/>
            </w:tcMar>
            <w:vAlign w:val="top"/>
            <w:shd w:fill="EEF5F7" w:val="clear"/>
          </w:tcPr>
          <w:p>
            <w:pPr>
              <w:spacing w:after="30" w:line="247" w:lineRule="auto"/>
            </w:pPr>
            <w:r>
              <w:rPr>
                <w:b w:val="0"/>
                <w:sz w:val="18"/>
              </w:rPr>
              <w:t>Named owner, blocking gate, due/review trigger and evidence needed to close.</w:t>
            </w:r>
          </w:p>
        </w:tc>
        <w:tc>
          <w:tcPr>
            <w:tcW w:type="dxa" w:w="3096"/>
            <w:tcMar>
              <w:top w:w="85" w:type="dxa"/>
              <w:bottom w:w="85" w:type="dxa"/>
              <w:start w:w="90" w:type="dxa"/>
              <w:end w:w="90" w:type="dxa"/>
            </w:tcMar>
            <w:vAlign w:val="top"/>
            <w:shd w:fill="EEF5F7" w:val="clear"/>
          </w:tcPr>
          <w:p>
            <w:pPr>
              <w:spacing w:after="30" w:line="247" w:lineRule="auto"/>
            </w:pPr>
            <w:sdt>
              <w:sdtPr>
                <w:id w:val="10005"/>
                <w:tag w:val="SDP_OPEN_DECISIONS"/>
                <w:alias w:val="SDP OPEN DECISIONS"/>
                <w:text w:multiLine="1"/>
              </w:sdtPr>
              <w:sdtContent>
                <w:r>
                  <w:rPr>
                    <w:color w:val="0B6B70"/>
                  </w:rPr>
                  <w:t>[Enter sdp open decisions]</w:t>
                </w:r>
              </w:sdtContent>
            </w:sdt>
          </w:p>
        </w:tc>
      </w:tr>
    </w:tbl>
    <w:p>
      <w:pPr>
        <w:spacing w:after="0" w:before="0" w:line="120"/>
      </w:pPr>
    </w:p>
    <w:p>
      <w:r>
        <w:t>At the walkthrough, trace one approved application path, one denied cross-tenant path, one virtual-disk attachment, one privileged management action and one recovery dependency. Use consistent identities across views and schedules. Differences become tracked dispositions, not explanatory comments lost inside a drawing.</w:t>
      </w:r>
    </w:p>
    <w:p>
      <w:r>
        <w:t>A changed address normally belongs to detailed engineering. Changed zone sharing, inspection obligations, administrative authority, recovery promise or external exposure can change the architecture. The architecture owner determines which records and deployed services must be re-evaluated.</w:t>
      </w:r>
    </w:p>
    <w:p>
      <w:pPr>
        <w:keepLines/>
        <w:spacing w:before="120"/>
        <w:shd w:fill="EEF5F7" w:val="clear"/>
        <w:pBdr>
          <w:left w:val="single" w:sz="12" w:space="8" w:color="0B6B70"/>
        </w:pBdr>
      </w:pPr>
      <w:r>
        <w:rPr>
          <w:b/>
        </w:rPr>
        <w:t>Actual status for this release: developed reference method supplied; project scope, approving authorities and engineering acceptance remain unassigned.</w:t>
      </w:r>
    </w:p>
    <w:p>
      <w:pPr>
        <w:pStyle w:val="Caption"/>
      </w:pPr>
      <w:r>
        <w:t xml:space="preserve">Continue with: </w:t>
      </w:r>
      <w:hyperlink r:id="rId42">
        <w:r>
          <w:rPr>
            <w:color w:val="0B6B70"/>
            <w:u w:val="single"/>
          </w:rPr>
          <w:t>NBD §6</w:t>
        </w:r>
      </w:hyperlink>
      <w:r>
        <w:t xml:space="preserve">  •  </w:t>
      </w:r>
      <w:hyperlink r:id="rId43">
        <w:r>
          <w:rPr>
            <w:color w:val="0B6B70"/>
            <w:u w:val="single"/>
          </w:rPr>
          <w:t>PBS §9</w:t>
        </w:r>
      </w:hyperlink>
    </w:p>
    <w:sectPr w:rsidR="00FC693F" w:rsidRPr="0006063C" w:rsidSect="00034616">
      <w:headerReference w:type="default" r:id="rId9"/>
      <w:footerReference w:type="default" r:id="rId10"/>
      <w:pgSz w:w="12240" w:h="15840"/>
      <w:pgMar w:top="936" w:right="979" w:bottom="936"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 xml:space="preserve">Delivery kits v1.1  •  Reference architecture v1.4  •  Proposed   |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PORTABLE MULTI-TENANT SECURE HOSTING  |  SDP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7" w:lineRule="auto"/>
    </w:pPr>
    <w:rPr>
      <w:rFonts w:ascii="Calibri" w:hAnsi="Calibri"/>
      <w:color w:val="2133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Calibri" w:hAnsi="Calibri"/>
      <w:b/>
      <w:bCs/>
      <w:color w:val="15384A"/>
      <w:sz w:val="34"/>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0B6B70"/>
      <w:sz w:val="23"/>
      <w:szCs w:val="26"/>
    </w:rPr>
  </w:style>
  <w:style w:type="paragraph" w:styleId="Heading3">
    <w:name w:val="heading 3"/>
    <w:basedOn w:val="Normal"/>
    <w:next w:val="Normal"/>
    <w:link w:val="Heading3Char"/>
    <w:uiPriority w:val="9"/>
    <w:unhideWhenUsed/>
    <w:qFormat/>
    <w:rsid w:val="00FC693F"/>
    <w:pPr>
      <w:keepNext/>
      <w:keepLines/>
      <w:spacing w:before="160" w:after="140"/>
      <w:outlineLvl w:val="2"/>
    </w:pPr>
    <w:rPr>
      <w:rFonts w:asciiTheme="majorHAnsi" w:eastAsiaTheme="majorEastAsia" w:hAnsiTheme="majorHAnsi" w:cstheme="majorBidi" w:ascii="Calibri" w:hAnsi="Calibri"/>
      <w:b/>
      <w:bCs/>
      <w:color w:val="1538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160"/>
      <w:contextualSpacing/>
    </w:pPr>
    <w:rPr>
      <w:rFonts w:asciiTheme="majorHAnsi" w:eastAsiaTheme="majorEastAsia" w:hAnsiTheme="majorHAnsi" w:cstheme="majorBidi" w:ascii="Calibri" w:hAnsi="Calibri"/>
      <w:b/>
      <w:color w:val="1538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40"/>
    </w:pPr>
    <w:rPr>
      <w:rFonts w:asciiTheme="majorHAnsi" w:eastAsiaTheme="majorEastAsia" w:hAnsiTheme="majorHAnsi" w:cstheme="majorBidi" w:ascii="Calibri" w:hAnsi="Calibri"/>
      <w:b w:val="0"/>
      <w:i/>
      <w:iCs/>
      <w:color w:val="0B6B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257" w:lineRule="auto"/>
    </w:pPr>
    <w:rPr>
      <w:rFonts w:ascii="Calibri" w:hAnsi="Calibri"/>
      <w:color w:val="21333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57" w:lineRule="auto"/>
      <w:contextualSpacing/>
    </w:pPr>
    <w:rPr>
      <w:rFonts w:ascii="Calibri" w:hAnsi="Calibri"/>
      <w:color w:val="21333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57" w:lineRule="auto"/>
      <w:contextualSpacing/>
    </w:pPr>
    <w:rPr>
      <w:rFonts w:ascii="Calibri" w:hAnsi="Calibri"/>
      <w:color w:val="21333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52636D"/>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05_Reference_v1_4/00_Reference_Architecture_v1_4.docx#RA_s_002" TargetMode="External"/><Relationship Id="rId12" Type="http://schemas.openxmlformats.org/officeDocument/2006/relationships/hyperlink" Target="../05_Reference_v1_4/00_Reference_Architecture_v1_4.docx#RA_s_014" TargetMode="External"/><Relationship Id="rId13" Type="http://schemas.openxmlformats.org/officeDocument/2006/relationships/hyperlink" Target="Architecture_Kit.docx#AK_02" TargetMode="External"/><Relationship Id="rId14" Type="http://schemas.openxmlformats.org/officeDocument/2006/relationships/hyperlink" Target="Service_Design_and_Decision_Development.docx#SDP_05" TargetMode="External"/><Relationship Id="rId15" Type="http://schemas.openxmlformats.org/officeDocument/2006/relationships/hyperlink" Target="HLD_and_Architecture_Review_Template.docx#AT_01" TargetMode="External"/><Relationship Id="rId16" Type="http://schemas.openxmlformats.org/officeDocument/2006/relationships/hyperlink" Target="../05_Reference_v1_4/00_Reference_Architecture_v1_4.docx#RA_s_007" TargetMode="External"/><Relationship Id="rId17" Type="http://schemas.openxmlformats.org/officeDocument/2006/relationships/hyperlink" Target="../05_Reference_v1_4/00_Reference_Architecture_v1_4.docx#RA_s_011" TargetMode="External"/><Relationship Id="rId18" Type="http://schemas.openxmlformats.org/officeDocument/2006/relationships/hyperlink" Target="Architecture_Kit.docx#AK_04" TargetMode="External"/><Relationship Id="rId19" Type="http://schemas.openxmlformats.org/officeDocument/2006/relationships/hyperlink" Target="../02_Engineering/Platform_Engineering_and_Build_Specifications.docx#PBS_01" TargetMode="External"/><Relationship Id="rId20" Type="http://schemas.openxmlformats.org/officeDocument/2006/relationships/hyperlink" Target="../03_Implementation/Qualification_Campaign_and_Evidence_Procedures.docx#QCP_04" TargetMode="External"/><Relationship Id="rId21" Type="http://schemas.openxmlformats.org/officeDocument/2006/relationships/hyperlink" Target="../05_Reference_v1_4/00_Reference_Architecture_v1_4.docx#RA_s_008" TargetMode="External"/><Relationship Id="rId22" Type="http://schemas.openxmlformats.org/officeDocument/2006/relationships/hyperlink" Target="../05_Reference_v1_4/00_Reference_Architecture_v1_4.docx#RA_s_029" TargetMode="External"/><Relationship Id="rId23" Type="http://schemas.openxmlformats.org/officeDocument/2006/relationships/hyperlink" Target="HLD_and_Architecture_Review_Template.docx#AT_06" TargetMode="External"/><Relationship Id="rId24" Type="http://schemas.openxmlformats.org/officeDocument/2006/relationships/hyperlink" Target="../02_Engineering/Network_and_Boundary_Detailed_Engineering.docx#NBD_01" TargetMode="External"/><Relationship Id="rId25" Type="http://schemas.openxmlformats.org/officeDocument/2006/relationships/hyperlink" Target="../02_Engineering/Network_and_Boundary_Detailed_Engineering.docx#NBD_02" TargetMode="External"/><Relationship Id="rId26" Type="http://schemas.openxmlformats.org/officeDocument/2006/relationships/hyperlink" Target="../03_Implementation/Qualification_Campaign_and_Evidence_Procedures.docx#QCP_03" TargetMode="External"/><Relationship Id="rId27" Type="http://schemas.openxmlformats.org/officeDocument/2006/relationships/hyperlink" Target="../05_Reference_v1_4/00_Reference_Architecture_v1_4.docx#RA_s_009" TargetMode="External"/><Relationship Id="rId28" Type="http://schemas.openxmlformats.org/officeDocument/2006/relationships/hyperlink" Target="../05_Reference_v1_4/00_Reference_Architecture_v1_4.docx#RA_s_013" TargetMode="External"/><Relationship Id="rId29" Type="http://schemas.openxmlformats.org/officeDocument/2006/relationships/hyperlink" Target="../05_Reference_v1_4/05_Shared_Services_Data_and_Recovery_v1_4.docx#SVC_s_001" TargetMode="External"/><Relationship Id="rId30" Type="http://schemas.openxmlformats.org/officeDocument/2006/relationships/hyperlink" Target="../02_Engineering/Engineering_Kit.docx#EK_05" TargetMode="External"/><Relationship Id="rId31" Type="http://schemas.openxmlformats.org/officeDocument/2006/relationships/hyperlink" Target="../02_Engineering/Platform_Engineering_and_Build_Specifications.docx#PBS_08" TargetMode="External"/><Relationship Id="rId32" Type="http://schemas.openxmlformats.org/officeDocument/2006/relationships/hyperlink" Target="../03_Implementation/Operations_Recovery_and_Transition_Playbook.docx#OPS_02" TargetMode="External"/><Relationship Id="rId33" Type="http://schemas.openxmlformats.org/officeDocument/2006/relationships/hyperlink" Target="../05_Reference_v1_4/00_Reference_Architecture_v1_4.docx#RA_s_004" TargetMode="External"/><Relationship Id="rId34" Type="http://schemas.openxmlformats.org/officeDocument/2006/relationships/hyperlink" Target="../05_Reference_v1_4/00_Reference_Architecture_v1_4.docx#RA_s_026" TargetMode="External"/><Relationship Id="rId35" Type="http://schemas.openxmlformats.org/officeDocument/2006/relationships/hyperlink" Target="../05_Reference_v1_4/06_Site_Design_Qualification_and_Operations_v1_4.docx#QUAL_s_003" TargetMode="External"/><Relationship Id="rId36" Type="http://schemas.openxmlformats.org/officeDocument/2006/relationships/hyperlink" Target="Architecture_Kit.docx#AK_05" TargetMode="External"/><Relationship Id="rId37" Type="http://schemas.openxmlformats.org/officeDocument/2006/relationships/hyperlink" Target="../02_Engineering/Network_and_Boundary_Detailed_Engineering.docx#NBD_07" TargetMode="External"/><Relationship Id="rId38" Type="http://schemas.openxmlformats.org/officeDocument/2006/relationships/hyperlink" Target="../03_Implementation/Operations_Recovery_and_Transition_Playbook.docx#OPS_05" TargetMode="External"/><Relationship Id="rId39" Type="http://schemas.openxmlformats.org/officeDocument/2006/relationships/hyperlink" Target="Architecture_Kit.docx#AK_08" TargetMode="External"/><Relationship Id="rId40" Type="http://schemas.openxmlformats.org/officeDocument/2006/relationships/hyperlink" Target="HLD_and_Architecture_Review_Template.docx#AT_10" TargetMode="External"/><Relationship Id="rId41" Type="http://schemas.openxmlformats.org/officeDocument/2006/relationships/hyperlink" Target="../00_Delivery_Map.docx#DEL_02" TargetMode="External"/><Relationship Id="rId42" Type="http://schemas.openxmlformats.org/officeDocument/2006/relationships/hyperlink" Target="../02_Engineering/Network_and_Boundary_Detailed_Engineering.docx#NBD_06" TargetMode="External"/><Relationship Id="rId43" Type="http://schemas.openxmlformats.org/officeDocument/2006/relationships/hyperlink" Target="../02_Engineering/Platform_Engineering_and_Build_Specifications.docx#PBS_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Design and Architecture Decisions</dc:title>
  <dc:subject>Infrastructure architecture and delivery development</dc:subject>
  <dc:creator/>
  <cp:keywords/>
  <dc:description/>
  <cp:lastModifiedBy/>
  <cp:revision>1</cp:revision>
  <dcterms:created xsi:type="dcterms:W3CDTF">2013-12-23T23:15:00Z</dcterms:created>
  <dcterms:modified xsi:type="dcterms:W3CDTF">2013-12-23T23:15:00Z</dcterms:modified>
  <cp:category/>
  <cp:version>1.1</cp:version>
</cp:coreProperties>
</file>