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DESIGN DEVELOPMENT  /  NBD</w:t>
      </w:r>
    </w:p>
    <w:p>
      <w:pPr>
        <w:pStyle w:val="Title"/>
      </w:pPr>
      <w:r>
        <w:t>Network, Boundary and Shared-Service Detailed Engineering</w:t>
      </w:r>
    </w:p>
    <w:p>
      <w:pPr>
        <w:pStyle w:val="Subtitle"/>
      </w:pPr>
      <w:r>
        <w:t>Connect addressing, forwarding, policy, return paths and failure behaviour in one buildable design.</w:t>
      </w:r>
    </w:p>
    <w:p>
      <w:r>
        <w:t>Kit release v1.1 • 17 September 2026 • Parent architecture v1.4 retained</w:t>
      </w:r>
    </w:p>
    <w:p>
      <w:pPr>
        <w:keepLines/>
        <w:spacing w:before="120"/>
        <w:shd w:fill="EEF5F7" w:val="clear"/>
        <w:pBdr>
          <w:left w:val="single" w:sz="12" w:space="8" w:color="0B6B70"/>
        </w:pBdr>
      </w:pPr>
      <w:r>
        <w:rPr>
          <w:b/>
        </w:rPr>
        <w:t>Proposed engineering development. Reference examples, site decisions, actual observations and approval remain separate.</w:t>
      </w:r>
    </w:p>
    <w:p>
      <w:r>
        <w:t>This supplement develops EK-03, EK-05 and EK-06 using the frozen WD fixture. Addresses remain documentation examples, not allocations for a site. Native resource syntax is deliberately left to the selected supported platform. The worked routes explain what the implementation must realize and observe.</w:t>
      </w:r>
    </w:p>
    <w:p>
      <w:pPr>
        <w:pStyle w:val="Heading2"/>
      </w:pPr>
      <w:r>
        <w:t>Section navigation</w:t>
      </w:r>
    </w:p>
    <w:p>
      <w:pPr>
        <w:spacing w:after="60"/>
      </w:pPr>
      <w:hyperlink w:anchor="NBD_01">
        <w:r>
          <w:rPr>
            <w:color w:val="0B6B70"/>
            <w:u w:val="single"/>
          </w:rPr>
          <w:t>1. Count and assign the actual isolation units</w:t>
        </w:r>
      </w:hyperlink>
    </w:p>
    <w:p>
      <w:pPr>
        <w:spacing w:after="60"/>
      </w:pPr>
      <w:hyperlink w:anchor="NBD_02">
        <w:r>
          <w:rPr>
            <w:color w:val="0B6B70"/>
            <w:u w:val="single"/>
          </w:rPr>
          <w:t>2. Walk F14-01 through the forward and reply routes</w:t>
        </w:r>
      </w:hyperlink>
    </w:p>
    <w:p>
      <w:pPr>
        <w:spacing w:after="60"/>
      </w:pPr>
      <w:hyperlink w:anchor="NBD_03">
        <w:r>
          <w:rPr>
            <w:color w:val="0B6B70"/>
            <w:u w:val="single"/>
          </w:rPr>
          <w:t>3. Make service replies choose the originating context</w:t>
        </w:r>
      </w:hyperlink>
    </w:p>
    <w:p>
      <w:pPr>
        <w:spacing w:after="60"/>
      </w:pPr>
      <w:hyperlink w:anchor="NBD_04">
        <w:r>
          <w:rPr>
            <w:color w:val="0B6B70"/>
            <w:u w:val="single"/>
          </w:rPr>
          <w:t>4. Budget address families and encapsulation precisely</w:t>
        </w:r>
      </w:hyperlink>
    </w:p>
    <w:p>
      <w:pPr>
        <w:spacing w:after="60"/>
      </w:pPr>
      <w:hyperlink w:anchor="NBD_05">
        <w:r>
          <w:rPr>
            <w:color w:val="0B6B70"/>
            <w:u w:val="single"/>
          </w:rPr>
          <w:t>5. Keep fabric authority separate from tenant routing</w:t>
        </w:r>
      </w:hyperlink>
    </w:p>
    <w:p>
      <w:pPr>
        <w:spacing w:after="60"/>
      </w:pPr>
      <w:hyperlink w:anchor="NBD_06">
        <w:r>
          <w:rPr>
            <w:color w:val="0B6B70"/>
            <w:u w:val="single"/>
          </w:rPr>
          <w:t>6. Issue an interface control and handoff record</w:t>
        </w:r>
      </w:hyperlink>
    </w:p>
    <w:p>
      <w:pPr>
        <w:spacing w:after="60"/>
      </w:pPr>
      <w:hyperlink w:anchor="NBD_07">
        <w:r>
          <w:rPr>
            <w:color w:val="0B6B70"/>
            <w:u w:val="single"/>
          </w:rPr>
          <w:t>7. Release the network design under an explicit failure model</w:t>
        </w:r>
      </w:hyperlink>
    </w:p>
    <w:p>
      <w:pPr>
        <w:pStyle w:val="Caption"/>
      </w:pPr>
      <w:r>
        <w:t>Basis: linked RA/WD and role-kit sections retain their original authority. The elaborations, record formats and calculations in this supplement are local proposals, not new government requirements. D-source references identify freshly checked public mechanisms, not installed compatibility. Exact source locators are in 04_Shared/development/source_reviews.csv.</w:t>
      </w:r>
    </w:p>
    <w:p>
      <w:r>
        <w:br w:type="page"/>
      </w:r>
    </w:p>
    <w:p>
      <w:pPr>
        <w:pStyle w:val="Heading1"/>
      </w:pPr>
      <w:r>
        <w:t>1. Count and assign the actual isolation units</w:t>
      </w:r>
      <w:bookmarkStart w:id="100" w:name="NBD_01"/>
      <w:bookmarkEnd w:id="100"/>
    </w:p>
    <w:p>
      <w:r>
        <w:t>A routing context, a logical ZIP relationship, an attachment and a physical appliance are different units. Count each before choosing a topology.</w:t>
      </w:r>
    </w:p>
    <w:p>
      <w:pPr>
        <w:pStyle w:val="Caption"/>
      </w:pPr>
      <w:r>
        <w:t xml:space="preserve">Design basis and related records: </w:t>
      </w:r>
      <w:hyperlink r:id="rId11">
        <w:r>
          <w:rPr>
            <w:color w:val="0B6B70"/>
            <w:u w:val="single"/>
          </w:rPr>
          <w:t>WD §3</w:t>
        </w:r>
      </w:hyperlink>
      <w:r>
        <w:t xml:space="preserve">  •  </w:t>
      </w:r>
      <w:hyperlink r:id="rId12">
        <w:r>
          <w:rPr>
            <w:color w:val="0B6B70"/>
            <w:u w:val="single"/>
          </w:rPr>
          <w:t>WD §4</w:t>
        </w:r>
      </w:hyperlink>
      <w:r>
        <w:t xml:space="preserve">  •  </w:t>
      </w:r>
      <w:hyperlink r:id="rId13">
        <w:r>
          <w:rPr>
            <w:color w:val="0B6B70"/>
            <w:u w:val="single"/>
          </w:rPr>
          <w:t>NET §2</w:t>
        </w:r>
      </w:hyperlink>
      <w:r>
        <w:t xml:space="preserve">  •  </w:t>
      </w:r>
      <w:hyperlink r:id="rId14">
        <w:r>
          <w:rPr>
            <w:color w:val="0B6B70"/>
            <w:u w:val="single"/>
          </w:rPr>
          <w:t>EK §3</w:t>
        </w:r>
      </w:hyperlink>
    </w:p>
    <w:p>
      <w:r>
        <w:t>The fixture contains D01O, D01R, D02O and D02R. Four domain-to-edge handoffs attach these domains to EC-01 or EC-02. Two further service handoffs attach EC-01 to SE-01 and EC-02 to SE-02. EC and SE identify logical ownership/forwarding roles in the worked design, not a purchase quantity or a claim that one firewall implements every role.</w:t>
      </w:r>
    </w:p>
    <w:tbl>
      <w:tblPr>
        <w:tblW w:type="auto" w:w="0"/>
        <w:jc w:val="center"/>
        <w:tblLayout w:type="fixed"/>
        <w:tblLook w:firstColumn="1" w:firstRow="1" w:lastColumn="0" w:lastRow="0" w:noHBand="0" w:noVBand="1" w:val="04A0"/>
      </w:tblPr>
      <w:tblGrid>
        <w:gridCol w:w="2059"/>
        <w:gridCol w:w="3514"/>
        <w:gridCol w:w="4709"/>
      </w:tblGrid>
      <w:tr>
        <w:trPr>
          <w:tblHeader/>
        </w:trPr>
        <w:tc>
          <w:tcPr>
            <w:tcW w:type="dxa" w:w="2059"/>
            <w:tcMar>
              <w:top w:w="85" w:type="dxa"/>
              <w:bottom w:w="85" w:type="dxa"/>
              <w:start w:w="90" w:type="dxa"/>
              <w:end w:w="90" w:type="dxa"/>
            </w:tcMar>
            <w:vAlign w:val="top"/>
            <w:shd w:fill="15384A" w:val="clear"/>
          </w:tcPr>
          <w:p>
            <w:pPr>
              <w:spacing w:after="30" w:line="247" w:lineRule="auto"/>
            </w:pPr>
            <w:r>
              <w:rPr>
                <w:b/>
                <w:color w:val="FFFFFF"/>
                <w:sz w:val="18"/>
              </w:rPr>
              <w:t>Unit</w:t>
            </w:r>
          </w:p>
        </w:tc>
        <w:tc>
          <w:tcPr>
            <w:tcW w:type="dxa" w:w="3514"/>
            <w:tcMar>
              <w:top w:w="85" w:type="dxa"/>
              <w:bottom w:w="85" w:type="dxa"/>
              <w:start w:w="90" w:type="dxa"/>
              <w:end w:w="90" w:type="dxa"/>
            </w:tcMar>
            <w:vAlign w:val="top"/>
            <w:shd w:fill="15384A" w:val="clear"/>
          </w:tcPr>
          <w:p>
            <w:pPr>
              <w:spacing w:after="30" w:line="247" w:lineRule="auto"/>
            </w:pPr>
            <w:r>
              <w:rPr>
                <w:b/>
                <w:color w:val="FFFFFF"/>
                <w:sz w:val="18"/>
              </w:rPr>
              <w:t>Fixture identity / count</w:t>
            </w:r>
          </w:p>
        </w:tc>
        <w:tc>
          <w:tcPr>
            <w:tcW w:type="dxa" w:w="4709"/>
            <w:tcMar>
              <w:top w:w="85" w:type="dxa"/>
              <w:bottom w:w="85" w:type="dxa"/>
              <w:start w:w="90" w:type="dxa"/>
              <w:end w:w="90" w:type="dxa"/>
            </w:tcMar>
            <w:vAlign w:val="top"/>
            <w:shd w:fill="15384A" w:val="clear"/>
          </w:tcPr>
          <w:p>
            <w:pPr>
              <w:spacing w:after="30" w:line="247" w:lineRule="auto"/>
            </w:pPr>
            <w:r>
              <w:rPr>
                <w:b/>
                <w:color w:val="FFFFFF"/>
                <w:sz w:val="18"/>
              </w:rPr>
              <w:t>Engineering owner and restriction</w:t>
            </w:r>
          </w:p>
        </w:tc>
      </w:tr>
      <w:tr>
        <w:trPr>
          <w:cantSplit/>
        </w:trPr>
        <w:tc>
          <w:tcPr>
            <w:tcW w:type="dxa" w:w="2059"/>
            <w:tcMar>
              <w:top w:w="85" w:type="dxa"/>
              <w:bottom w:w="85" w:type="dxa"/>
              <w:start w:w="90" w:type="dxa"/>
              <w:end w:w="90" w:type="dxa"/>
            </w:tcMar>
            <w:vAlign w:val="top"/>
          </w:tcPr>
          <w:p>
            <w:pPr>
              <w:spacing w:after="30" w:line="247" w:lineRule="auto"/>
            </w:pPr>
            <w:r>
              <w:rPr>
                <w:b w:val="0"/>
                <w:sz w:val="18"/>
              </w:rPr>
              <w:t>Domain handoff</w:t>
            </w:r>
          </w:p>
        </w:tc>
        <w:tc>
          <w:tcPr>
            <w:tcW w:type="dxa" w:w="3514"/>
            <w:tcMar>
              <w:top w:w="85" w:type="dxa"/>
              <w:bottom w:w="85" w:type="dxa"/>
              <w:start w:w="90" w:type="dxa"/>
              <w:end w:w="90" w:type="dxa"/>
            </w:tcMar>
            <w:vAlign w:val="top"/>
          </w:tcPr>
          <w:p>
            <w:pPr>
              <w:spacing w:after="30" w:line="247" w:lineRule="auto"/>
            </w:pPr>
            <w:r>
              <w:rPr>
                <w:b w:val="0"/>
                <w:sz w:val="18"/>
              </w:rPr>
              <w:t>A01O, A01R, A02O, A02R: four.</w:t>
            </w:r>
          </w:p>
        </w:tc>
        <w:tc>
          <w:tcPr>
            <w:tcW w:type="dxa" w:w="4709"/>
            <w:tcMar>
              <w:top w:w="85" w:type="dxa"/>
              <w:bottom w:w="85" w:type="dxa"/>
              <w:start w:w="90" w:type="dxa"/>
              <w:end w:w="90" w:type="dxa"/>
            </w:tcMar>
            <w:vAlign w:val="top"/>
          </w:tcPr>
          <w:p>
            <w:pPr>
              <w:spacing w:after="30" w:line="247" w:lineRule="auto"/>
            </w:pPr>
            <w:r>
              <w:rPr>
                <w:b w:val="0"/>
                <w:sz w:val="18"/>
              </w:rPr>
              <w:t>Platform and edge owners agree both endpoints; no unrelated connected context.</w:t>
            </w:r>
          </w:p>
        </w:tc>
      </w:tr>
      <w:tr>
        <w:trPr>
          <w:cantSplit/>
        </w:trPr>
        <w:tc>
          <w:tcPr>
            <w:tcW w:type="dxa" w:w="2059"/>
            <w:tcMar>
              <w:top w:w="85" w:type="dxa"/>
              <w:bottom w:w="85" w:type="dxa"/>
              <w:start w:w="90" w:type="dxa"/>
              <w:end w:w="90" w:type="dxa"/>
            </w:tcMar>
            <w:vAlign w:val="top"/>
            <w:shd w:fill="EEF5F7" w:val="clear"/>
          </w:tcPr>
          <w:p>
            <w:pPr>
              <w:spacing w:after="30" w:line="247" w:lineRule="auto"/>
            </w:pPr>
            <w:r>
              <w:rPr>
                <w:b w:val="0"/>
                <w:sz w:val="18"/>
              </w:rPr>
              <w:t>Service handoff</w:t>
            </w:r>
          </w:p>
        </w:tc>
        <w:tc>
          <w:tcPr>
            <w:tcW w:type="dxa" w:w="3514"/>
            <w:tcMar>
              <w:top w:w="85" w:type="dxa"/>
              <w:bottom w:w="85" w:type="dxa"/>
              <w:start w:w="90" w:type="dxa"/>
              <w:end w:w="90" w:type="dxa"/>
            </w:tcMar>
            <w:vAlign w:val="top"/>
            <w:shd w:fill="EEF5F7" w:val="clear"/>
          </w:tcPr>
          <w:p>
            <w:pPr>
              <w:spacing w:after="30" w:line="247" w:lineRule="auto"/>
            </w:pPr>
            <w:r>
              <w:rPr>
                <w:b w:val="0"/>
                <w:sz w:val="18"/>
              </w:rPr>
              <w:t>SH-01, SH-02: two.</w:t>
            </w:r>
          </w:p>
        </w:tc>
        <w:tc>
          <w:tcPr>
            <w:tcW w:type="dxa" w:w="4709"/>
            <w:tcMar>
              <w:top w:w="85" w:type="dxa"/>
              <w:bottom w:w="85" w:type="dxa"/>
              <w:start w:w="90" w:type="dxa"/>
              <w:end w:w="90" w:type="dxa"/>
            </w:tcMar>
            <w:vAlign w:val="top"/>
            <w:shd w:fill="EEF5F7" w:val="clear"/>
          </w:tcPr>
          <w:p>
            <w:pPr>
              <w:spacing w:after="30" w:line="247" w:lineRule="auto"/>
            </w:pPr>
            <w:r>
              <w:rPr>
                <w:b w:val="0"/>
                <w:sz w:val="18"/>
              </w:rPr>
              <w:t>Edge and shared-service owners agree source scope, service route and reply.</w:t>
            </w:r>
          </w:p>
        </w:tc>
      </w:tr>
      <w:tr>
        <w:trPr>
          <w:cantSplit/>
        </w:trPr>
        <w:tc>
          <w:tcPr>
            <w:tcW w:type="dxa" w:w="2059"/>
            <w:tcMar>
              <w:top w:w="85" w:type="dxa"/>
              <w:bottom w:w="85" w:type="dxa"/>
              <w:start w:w="90" w:type="dxa"/>
              <w:end w:w="90" w:type="dxa"/>
            </w:tcMar>
            <w:vAlign w:val="top"/>
          </w:tcPr>
          <w:p>
            <w:pPr>
              <w:spacing w:after="30" w:line="247" w:lineRule="auto"/>
            </w:pPr>
            <w:r>
              <w:rPr>
                <w:b w:val="0"/>
                <w:sz w:val="18"/>
              </w:rPr>
              <w:t>Tenant edge context</w:t>
            </w:r>
          </w:p>
        </w:tc>
        <w:tc>
          <w:tcPr>
            <w:tcW w:type="dxa" w:w="3514"/>
            <w:tcMar>
              <w:top w:w="85" w:type="dxa"/>
              <w:bottom w:w="85" w:type="dxa"/>
              <w:start w:w="90" w:type="dxa"/>
              <w:end w:w="90" w:type="dxa"/>
            </w:tcMar>
            <w:vAlign w:val="top"/>
          </w:tcPr>
          <w:p>
            <w:pPr>
              <w:spacing w:after="30" w:line="247" w:lineRule="auto"/>
            </w:pPr>
            <w:r>
              <w:rPr>
                <w:b w:val="0"/>
                <w:sz w:val="18"/>
              </w:rPr>
              <w:t>EC-01 and EC-02: two logical contexts.</w:t>
            </w:r>
          </w:p>
        </w:tc>
        <w:tc>
          <w:tcPr>
            <w:tcW w:type="dxa" w:w="4709"/>
            <w:tcMar>
              <w:top w:w="85" w:type="dxa"/>
              <w:bottom w:w="85" w:type="dxa"/>
              <w:start w:w="90" w:type="dxa"/>
              <w:end w:w="90" w:type="dxa"/>
            </w:tcMar>
            <w:vAlign w:val="top"/>
          </w:tcPr>
          <w:p>
            <w:pPr>
              <w:spacing w:after="30" w:line="247" w:lineRule="auto"/>
            </w:pPr>
            <w:r>
              <w:rPr>
                <w:b w:val="0"/>
                <w:sz w:val="18"/>
              </w:rPr>
              <w:t>Independent routing/policy authority; physical sharing and HA are separately qualified.</w:t>
            </w:r>
          </w:p>
        </w:tc>
      </w:tr>
      <w:tr>
        <w:trPr>
          <w:cantSplit/>
        </w:trPr>
        <w:tc>
          <w:tcPr>
            <w:tcW w:type="dxa" w:w="2059"/>
            <w:tcMar>
              <w:top w:w="85" w:type="dxa"/>
              <w:bottom w:w="85" w:type="dxa"/>
              <w:start w:w="90" w:type="dxa"/>
              <w:end w:w="90" w:type="dxa"/>
            </w:tcMar>
            <w:vAlign w:val="top"/>
            <w:shd w:fill="EEF5F7" w:val="clear"/>
          </w:tcPr>
          <w:p>
            <w:pPr>
              <w:spacing w:after="30" w:line="247" w:lineRule="auto"/>
            </w:pPr>
            <w:r>
              <w:rPr>
                <w:b w:val="0"/>
                <w:sz w:val="18"/>
              </w:rPr>
              <w:t>Service-side context</w:t>
            </w:r>
          </w:p>
        </w:tc>
        <w:tc>
          <w:tcPr>
            <w:tcW w:type="dxa" w:w="3514"/>
            <w:tcMar>
              <w:top w:w="85" w:type="dxa"/>
              <w:bottom w:w="85" w:type="dxa"/>
              <w:start w:w="90" w:type="dxa"/>
              <w:end w:w="90" w:type="dxa"/>
            </w:tcMar>
            <w:vAlign w:val="top"/>
            <w:shd w:fill="EEF5F7" w:val="clear"/>
          </w:tcPr>
          <w:p>
            <w:pPr>
              <w:spacing w:after="30" w:line="247" w:lineRule="auto"/>
            </w:pPr>
            <w:r>
              <w:rPr>
                <w:b w:val="0"/>
                <w:sz w:val="18"/>
              </w:rPr>
              <w:t>SE-01 and SE-02: two logical return-path scopes.</w:t>
            </w:r>
          </w:p>
        </w:tc>
        <w:tc>
          <w:tcPr>
            <w:tcW w:type="dxa" w:w="4709"/>
            <w:tcMar>
              <w:top w:w="85" w:type="dxa"/>
              <w:bottom w:w="85" w:type="dxa"/>
              <w:start w:w="90" w:type="dxa"/>
              <w:end w:w="90" w:type="dxa"/>
            </w:tcMar>
            <w:vAlign w:val="top"/>
            <w:shd w:fill="EEF5F7" w:val="clear"/>
          </w:tcPr>
          <w:p>
            <w:pPr>
              <w:spacing w:after="30" w:line="247" w:lineRule="auto"/>
            </w:pPr>
            <w:r>
              <w:rPr>
                <w:b w:val="0"/>
                <w:sz w:val="18"/>
              </w:rPr>
              <w:t>Only named service delivery; no unapproved transit between tenant contexts.</w:t>
            </w:r>
          </w:p>
        </w:tc>
      </w:tr>
      <w:tr>
        <w:trPr>
          <w:cantSplit/>
        </w:trPr>
        <w:tc>
          <w:tcPr>
            <w:tcW w:type="dxa" w:w="2059"/>
            <w:tcMar>
              <w:top w:w="85" w:type="dxa"/>
              <w:bottom w:w="85" w:type="dxa"/>
              <w:start w:w="90" w:type="dxa"/>
              <w:end w:w="90" w:type="dxa"/>
            </w:tcMar>
            <w:vAlign w:val="top"/>
          </w:tcPr>
          <w:p>
            <w:pPr>
              <w:spacing w:after="30" w:line="247" w:lineRule="auto"/>
            </w:pPr>
            <w:r>
              <w:rPr>
                <w:b w:val="0"/>
                <w:sz w:val="18"/>
              </w:rPr>
              <w:t>Physical capacity</w:t>
            </w:r>
          </w:p>
        </w:tc>
        <w:tc>
          <w:tcPr>
            <w:tcW w:type="dxa" w:w="3514"/>
            <w:tcMar>
              <w:top w:w="85" w:type="dxa"/>
              <w:bottom w:w="85" w:type="dxa"/>
              <w:start w:w="90" w:type="dxa"/>
              <w:end w:w="90" w:type="dxa"/>
            </w:tcMar>
            <w:vAlign w:val="top"/>
          </w:tcPr>
          <w:p>
            <w:pPr>
              <w:spacing w:after="30" w:line="247" w:lineRule="auto"/>
            </w:pPr>
            <w:r>
              <w:rPr>
                <w:b w:val="0"/>
                <w:sz w:val="18"/>
              </w:rPr>
              <w:t>Not determined by these counts.</w:t>
            </w:r>
          </w:p>
        </w:tc>
        <w:tc>
          <w:tcPr>
            <w:tcW w:type="dxa" w:w="4709"/>
            <w:tcMar>
              <w:top w:w="85" w:type="dxa"/>
              <w:bottom w:w="85" w:type="dxa"/>
              <w:start w:w="90" w:type="dxa"/>
              <w:end w:w="90" w:type="dxa"/>
            </w:tcMar>
            <w:vAlign w:val="top"/>
          </w:tcPr>
          <w:p>
            <w:pPr>
              <w:spacing w:after="30" w:line="247" w:lineRule="auto"/>
            </w:pPr>
            <w:r>
              <w:rPr>
                <w:b w:val="0"/>
                <w:sz w:val="18"/>
              </w:rPr>
              <w:t>Add actual interface members, HA/synchronization, hosts, licences and reserved spare slots.</w:t>
            </w:r>
          </w:p>
        </w:tc>
      </w:tr>
    </w:tbl>
    <w:p>
      <w:pPr>
        <w:spacing w:after="0" w:before="0" w:line="120"/>
      </w:pPr>
    </w:p>
    <w:p>
      <w:r>
        <w:t>Allocate attachment slots from commissioned pools with an owner, capacity class, lifecycle and quarantine/reuse condition. A slot is unavailable while an old route, neighbour entry, policy association or native task can still refer to its previous owner. Pool expansion is a foundation change, not an excuse to share a connected network without qualification.</w:t>
      </w:r>
    </w:p>
    <w:p>
      <w:pPr>
        <w:keepLines/>
        <w:spacing w:before="120"/>
        <w:shd w:fill="EEF5F7" w:val="clear"/>
        <w:pBdr>
          <w:left w:val="single" w:sz="12" w:space="8" w:color="0B6B70"/>
        </w:pBdr>
      </w:pPr>
      <w:r>
        <w:rPr>
          <w:b/>
        </w:rPr>
        <w:t>Release criterion: every logical unit resolves to its native objects and physical dependencies, with one configuration writer and an accepted boundary owner.</w:t>
      </w:r>
    </w:p>
    <w:p>
      <w:pPr>
        <w:pStyle w:val="Caption"/>
      </w:pPr>
      <w:r>
        <w:t xml:space="preserve">Continue with: </w:t>
      </w:r>
      <w:hyperlink r:id="rId15">
        <w:r>
          <w:rPr>
            <w:color w:val="0B6B70"/>
            <w:u w:val="single"/>
          </w:rPr>
          <w:t>PBS §8</w:t>
        </w:r>
      </w:hyperlink>
      <w:r>
        <w:t xml:space="preserve">  •  </w:t>
      </w:r>
      <w:hyperlink r:id="rId16">
        <w:r>
          <w:rPr>
            <w:color w:val="0B6B70"/>
            <w:u w:val="single"/>
          </w:rPr>
          <w:t>NBD §6</w:t>
        </w:r>
      </w:hyperlink>
    </w:p>
    <w:p>
      <w:r>
        <w:br w:type="page"/>
      </w:r>
    </w:p>
    <w:p>
      <w:pPr>
        <w:pStyle w:val="Heading1"/>
      </w:pPr>
      <w:r>
        <w:t>2. Walk F14-01 through the forward and reply routes</w:t>
      </w:r>
      <w:bookmarkStart w:id="101" w:name="NBD_02"/>
      <w:bookmarkEnd w:id="101"/>
    </w:p>
    <w:p>
      <w:r>
        <w:t>The example preserves the WD IPv4 route schedule. It is a reasoning fixture; no route in this table has been installed or tested.</w:t>
      </w:r>
    </w:p>
    <w:p>
      <w:pPr>
        <w:pStyle w:val="Caption"/>
      </w:pPr>
      <w:r>
        <w:t xml:space="preserve">Design basis and related records: </w:t>
      </w:r>
      <w:hyperlink r:id="rId17">
        <w:r>
          <w:rPr>
            <w:color w:val="0B6B70"/>
            <w:u w:val="single"/>
          </w:rPr>
          <w:t>WD §5</w:t>
        </w:r>
      </w:hyperlink>
      <w:r>
        <w:t xml:space="preserve">  •  </w:t>
      </w:r>
      <w:hyperlink r:id="rId18">
        <w:r>
          <w:rPr>
            <w:color w:val="0B6B70"/>
            <w:u w:val="single"/>
          </w:rPr>
          <w:t>WD §6</w:t>
        </w:r>
      </w:hyperlink>
      <w:r>
        <w:t xml:space="preserve">  •  </w:t>
      </w:r>
      <w:hyperlink r:id="rId19">
        <w:r>
          <w:rPr>
            <w:color w:val="0B6B70"/>
            <w:u w:val="single"/>
          </w:rPr>
          <w:t>RA §10</w:t>
        </w:r>
      </w:hyperlink>
    </w:p>
    <w:p>
      <w:r>
        <w:t>F14-01 permits processor-01 in D01O to initiate the declared TCP/443 service at data-01 in D01R. D01O uses 192.0.2.0/27 and D01R uses 192.0.2.32/27. The route establishes reachability to a prefix; the identity/service policy narrows which endpoint and operation may use it.</w:t>
      </w:r>
    </w:p>
    <w:tbl>
      <w:tblPr>
        <w:tblW w:type="auto" w:w="0"/>
        <w:jc w:val="center"/>
        <w:tblLayout w:type="fixed"/>
        <w:tblLook w:firstColumn="1" w:firstRow="1" w:lastColumn="0" w:lastRow="0" w:noHBand="0" w:noVBand="1" w:val="04A0"/>
      </w:tblPr>
      <w:tblGrid>
        <w:gridCol w:w="1757"/>
        <w:gridCol w:w="2938"/>
        <w:gridCol w:w="5587"/>
      </w:tblGrid>
      <w:tr>
        <w:trPr>
          <w:tblHeader/>
        </w:trPr>
        <w:tc>
          <w:tcPr>
            <w:tcW w:type="dxa" w:w="1757"/>
            <w:tcMar>
              <w:top w:w="85" w:type="dxa"/>
              <w:bottom w:w="85" w:type="dxa"/>
              <w:start w:w="90" w:type="dxa"/>
              <w:end w:w="90" w:type="dxa"/>
            </w:tcMar>
            <w:vAlign w:val="top"/>
            <w:shd w:fill="15384A" w:val="clear"/>
          </w:tcPr>
          <w:p>
            <w:pPr>
              <w:spacing w:after="30" w:line="247" w:lineRule="auto"/>
            </w:pPr>
            <w:r>
              <w:rPr>
                <w:b/>
                <w:color w:val="FFFFFF"/>
                <w:sz w:val="18"/>
              </w:rPr>
              <w:t>Route owner</w:t>
            </w:r>
          </w:p>
        </w:tc>
        <w:tc>
          <w:tcPr>
            <w:tcW w:type="dxa" w:w="2938"/>
            <w:tcMar>
              <w:top w:w="85" w:type="dxa"/>
              <w:bottom w:w="85" w:type="dxa"/>
              <w:start w:w="90" w:type="dxa"/>
              <w:end w:w="90" w:type="dxa"/>
            </w:tcMar>
            <w:vAlign w:val="top"/>
            <w:shd w:fill="15384A" w:val="clear"/>
          </w:tcPr>
          <w:p>
            <w:pPr>
              <w:spacing w:after="30" w:line="247" w:lineRule="auto"/>
            </w:pPr>
            <w:r>
              <w:rPr>
                <w:b/>
                <w:color w:val="FFFFFF"/>
                <w:sz w:val="18"/>
              </w:rPr>
              <w:t>Destination</w:t>
            </w:r>
          </w:p>
        </w:tc>
        <w:tc>
          <w:tcPr>
            <w:tcW w:type="dxa" w:w="5587"/>
            <w:tcMar>
              <w:top w:w="85" w:type="dxa"/>
              <w:bottom w:w="85" w:type="dxa"/>
              <w:start w:w="90" w:type="dxa"/>
              <w:end w:w="90" w:type="dxa"/>
            </w:tcMar>
            <w:vAlign w:val="top"/>
            <w:shd w:fill="15384A" w:val="clear"/>
          </w:tcPr>
          <w:p>
            <w:pPr>
              <w:spacing w:after="30" w:line="247" w:lineRule="auto"/>
            </w:pPr>
            <w:r>
              <w:rPr>
                <w:b/>
                <w:color w:val="FFFFFF"/>
                <w:sz w:val="18"/>
              </w:rPr>
              <w:t>Next hop / receiving role</w:t>
            </w:r>
          </w:p>
        </w:tc>
      </w:tr>
      <w:tr>
        <w:trPr>
          <w:cantSplit/>
        </w:trPr>
        <w:tc>
          <w:tcPr>
            <w:tcW w:type="dxa" w:w="1757"/>
            <w:tcMar>
              <w:top w:w="85" w:type="dxa"/>
              <w:bottom w:w="85" w:type="dxa"/>
              <w:start w:w="90" w:type="dxa"/>
              <w:end w:w="90" w:type="dxa"/>
            </w:tcMar>
            <w:vAlign w:val="top"/>
          </w:tcPr>
          <w:p>
            <w:pPr>
              <w:spacing w:after="30" w:line="247" w:lineRule="auto"/>
            </w:pPr>
            <w:r>
              <w:rPr>
                <w:b w:val="0"/>
                <w:sz w:val="18"/>
              </w:rPr>
              <w:t>D01O</w:t>
            </w:r>
          </w:p>
        </w:tc>
        <w:tc>
          <w:tcPr>
            <w:tcW w:type="dxa" w:w="2938"/>
            <w:tcMar>
              <w:top w:w="85" w:type="dxa"/>
              <w:bottom w:w="85" w:type="dxa"/>
              <w:start w:w="90" w:type="dxa"/>
              <w:end w:w="90" w:type="dxa"/>
            </w:tcMar>
            <w:vAlign w:val="top"/>
          </w:tcPr>
          <w:p>
            <w:pPr>
              <w:spacing w:after="30" w:line="247" w:lineRule="auto"/>
            </w:pPr>
            <w:r>
              <w:rPr>
                <w:b w:val="0"/>
                <w:sz w:val="18"/>
              </w:rPr>
              <w:t>192.0.2.32/27</w:t>
            </w:r>
          </w:p>
        </w:tc>
        <w:tc>
          <w:tcPr>
            <w:tcW w:type="dxa" w:w="5587"/>
            <w:tcMar>
              <w:top w:w="85" w:type="dxa"/>
              <w:bottom w:w="85" w:type="dxa"/>
              <w:start w:w="90" w:type="dxa"/>
              <w:end w:w="90" w:type="dxa"/>
            </w:tcMar>
            <w:vAlign w:val="top"/>
          </w:tcPr>
          <w:p>
            <w:pPr>
              <w:spacing w:after="30" w:line="247" w:lineRule="auto"/>
            </w:pPr>
            <w:r>
              <w:rPr>
                <w:b w:val="0"/>
                <w:sz w:val="18"/>
              </w:rPr>
              <w:t>198.51.100.1 — EC-01, via A01O</w:t>
            </w:r>
          </w:p>
        </w:tc>
      </w:tr>
      <w:tr>
        <w:trPr>
          <w:cantSplit/>
        </w:trPr>
        <w:tc>
          <w:tcPr>
            <w:tcW w:type="dxa" w:w="1757"/>
            <w:tcMar>
              <w:top w:w="85" w:type="dxa"/>
              <w:bottom w:w="85" w:type="dxa"/>
              <w:start w:w="90" w:type="dxa"/>
              <w:end w:w="90" w:type="dxa"/>
            </w:tcMar>
            <w:vAlign w:val="top"/>
            <w:shd w:fill="EEF5F7" w:val="clear"/>
          </w:tcPr>
          <w:p>
            <w:pPr>
              <w:spacing w:after="30" w:line="247" w:lineRule="auto"/>
            </w:pPr>
            <w:r>
              <w:rPr>
                <w:b w:val="0"/>
                <w:sz w:val="18"/>
              </w:rPr>
              <w:t>EC-01</w:t>
            </w:r>
          </w:p>
        </w:tc>
        <w:tc>
          <w:tcPr>
            <w:tcW w:type="dxa" w:w="2938"/>
            <w:tcMar>
              <w:top w:w="85" w:type="dxa"/>
              <w:bottom w:w="85" w:type="dxa"/>
              <w:start w:w="90" w:type="dxa"/>
              <w:end w:w="90" w:type="dxa"/>
            </w:tcMar>
            <w:vAlign w:val="top"/>
            <w:shd w:fill="EEF5F7" w:val="clear"/>
          </w:tcPr>
          <w:p>
            <w:pPr>
              <w:spacing w:after="30" w:line="247" w:lineRule="auto"/>
            </w:pPr>
            <w:r>
              <w:rPr>
                <w:b w:val="0"/>
                <w:sz w:val="18"/>
              </w:rPr>
              <w:t>192.0.2.32/27</w:t>
            </w:r>
          </w:p>
        </w:tc>
        <w:tc>
          <w:tcPr>
            <w:tcW w:type="dxa" w:w="5587"/>
            <w:tcMar>
              <w:top w:w="85" w:type="dxa"/>
              <w:bottom w:w="85" w:type="dxa"/>
              <w:start w:w="90" w:type="dxa"/>
              <w:end w:w="90" w:type="dxa"/>
            </w:tcMar>
            <w:vAlign w:val="top"/>
            <w:shd w:fill="EEF5F7" w:val="clear"/>
          </w:tcPr>
          <w:p>
            <w:pPr>
              <w:spacing w:after="30" w:line="247" w:lineRule="auto"/>
            </w:pPr>
            <w:r>
              <w:rPr>
                <w:b w:val="0"/>
                <w:sz w:val="18"/>
              </w:rPr>
              <w:t>198.51.100.6 — D01R gateway, via A01R</w:t>
            </w:r>
          </w:p>
        </w:tc>
      </w:tr>
      <w:tr>
        <w:trPr>
          <w:cantSplit/>
        </w:trPr>
        <w:tc>
          <w:tcPr>
            <w:tcW w:type="dxa" w:w="1757"/>
            <w:tcMar>
              <w:top w:w="85" w:type="dxa"/>
              <w:bottom w:w="85" w:type="dxa"/>
              <w:start w:w="90" w:type="dxa"/>
              <w:end w:w="90" w:type="dxa"/>
            </w:tcMar>
            <w:vAlign w:val="top"/>
          </w:tcPr>
          <w:p>
            <w:pPr>
              <w:spacing w:after="30" w:line="247" w:lineRule="auto"/>
            </w:pPr>
            <w:r>
              <w:rPr>
                <w:b w:val="0"/>
                <w:sz w:val="18"/>
              </w:rPr>
              <w:t>D01R, reply</w:t>
            </w:r>
          </w:p>
        </w:tc>
        <w:tc>
          <w:tcPr>
            <w:tcW w:type="dxa" w:w="2938"/>
            <w:tcMar>
              <w:top w:w="85" w:type="dxa"/>
              <w:bottom w:w="85" w:type="dxa"/>
              <w:start w:w="90" w:type="dxa"/>
              <w:end w:w="90" w:type="dxa"/>
            </w:tcMar>
            <w:vAlign w:val="top"/>
          </w:tcPr>
          <w:p>
            <w:pPr>
              <w:spacing w:after="30" w:line="247" w:lineRule="auto"/>
            </w:pPr>
            <w:r>
              <w:rPr>
                <w:b w:val="0"/>
                <w:sz w:val="18"/>
              </w:rPr>
              <w:t>192.0.2.0/27</w:t>
            </w:r>
          </w:p>
        </w:tc>
        <w:tc>
          <w:tcPr>
            <w:tcW w:type="dxa" w:w="5587"/>
            <w:tcMar>
              <w:top w:w="85" w:type="dxa"/>
              <w:bottom w:w="85" w:type="dxa"/>
              <w:start w:w="90" w:type="dxa"/>
              <w:end w:w="90" w:type="dxa"/>
            </w:tcMar>
            <w:vAlign w:val="top"/>
          </w:tcPr>
          <w:p>
            <w:pPr>
              <w:spacing w:after="30" w:line="247" w:lineRule="auto"/>
            </w:pPr>
            <w:r>
              <w:rPr>
                <w:b w:val="0"/>
                <w:sz w:val="18"/>
              </w:rPr>
              <w:t>198.51.100.5 — EC-01, via A01R</w:t>
            </w:r>
          </w:p>
        </w:tc>
      </w:tr>
      <w:tr>
        <w:trPr>
          <w:cantSplit/>
        </w:trPr>
        <w:tc>
          <w:tcPr>
            <w:tcW w:type="dxa" w:w="1757"/>
            <w:tcMar>
              <w:top w:w="85" w:type="dxa"/>
              <w:bottom w:w="85" w:type="dxa"/>
              <w:start w:w="90" w:type="dxa"/>
              <w:end w:w="90" w:type="dxa"/>
            </w:tcMar>
            <w:vAlign w:val="top"/>
            <w:shd w:fill="EEF5F7" w:val="clear"/>
          </w:tcPr>
          <w:p>
            <w:pPr>
              <w:spacing w:after="30" w:line="247" w:lineRule="auto"/>
            </w:pPr>
            <w:r>
              <w:rPr>
                <w:b w:val="0"/>
                <w:sz w:val="18"/>
              </w:rPr>
              <w:t>EC-01, reply</w:t>
            </w:r>
          </w:p>
        </w:tc>
        <w:tc>
          <w:tcPr>
            <w:tcW w:type="dxa" w:w="2938"/>
            <w:tcMar>
              <w:top w:w="85" w:type="dxa"/>
              <w:bottom w:w="85" w:type="dxa"/>
              <w:start w:w="90" w:type="dxa"/>
              <w:end w:w="90" w:type="dxa"/>
            </w:tcMar>
            <w:vAlign w:val="top"/>
            <w:shd w:fill="EEF5F7" w:val="clear"/>
          </w:tcPr>
          <w:p>
            <w:pPr>
              <w:spacing w:after="30" w:line="247" w:lineRule="auto"/>
            </w:pPr>
            <w:r>
              <w:rPr>
                <w:b w:val="0"/>
                <w:sz w:val="18"/>
              </w:rPr>
              <w:t>192.0.2.0/27</w:t>
            </w:r>
          </w:p>
        </w:tc>
        <w:tc>
          <w:tcPr>
            <w:tcW w:type="dxa" w:w="5587"/>
            <w:tcMar>
              <w:top w:w="85" w:type="dxa"/>
              <w:bottom w:w="85" w:type="dxa"/>
              <w:start w:w="90" w:type="dxa"/>
              <w:end w:w="90" w:type="dxa"/>
            </w:tcMar>
            <w:vAlign w:val="top"/>
            <w:shd w:fill="EEF5F7" w:val="clear"/>
          </w:tcPr>
          <w:p>
            <w:pPr>
              <w:spacing w:after="30" w:line="247" w:lineRule="auto"/>
            </w:pPr>
            <w:r>
              <w:rPr>
                <w:b w:val="0"/>
                <w:sz w:val="18"/>
              </w:rPr>
              <w:t>198.51.100.2 — D01O gateway, via A01O</w:t>
            </w:r>
          </w:p>
        </w:tc>
      </w:tr>
    </w:tbl>
    <w:p>
      <w:pPr>
        <w:spacing w:after="0" w:before="0" w:line="120"/>
      </w:pPr>
    </w:p>
    <w:p>
      <w:pPr>
        <w:pStyle w:val="Heading2"/>
      </w:pPr>
      <w:r>
        <w:t>What the LLD must prove</w:t>
      </w:r>
    </w:p>
    <w:p>
      <w:r>
        <w:t>Map the native gateway’s connected and learned routes, its selected outgoing interface and the effective enforcement point. The edge observes the permitted new session and its stateful reply. A new session initiated from data-01 toward processor-01 remains denied unless independently approved. Returning through EC-02 or a shared upstream route is not an equivalent implementation.</w:t>
      </w:r>
    </w:p>
    <w:p>
      <w:r>
        <w:t>Inspect alternatives at each forwarding component: an additional NIC, a common external subnet, native inter-domain route propagation, an imported summary, PBR or a failure next hop. Record why each is absent or constrained. A permitted connection appearing in edge logs is necessary evidence but does not by itself prove that no second path exists.</w:t>
      </w:r>
    </w:p>
    <w:p>
      <w:r>
        <w:t>Repeat the same logical analysis against the inherited IPv6 schedule when dual-stack is offered. Preserve the address-family-specific neighbour and MTU behaviour instead of mechanically copying IPv4 syntax.</w:t>
      </w:r>
    </w:p>
    <w:p>
      <w:pPr>
        <w:pStyle w:val="Caption"/>
      </w:pPr>
      <w:r>
        <w:t xml:space="preserve">Continue with: </w:t>
      </w:r>
      <w:hyperlink r:id="rId20">
        <w:r>
          <w:rPr>
            <w:color w:val="0B6B70"/>
            <w:u w:val="single"/>
          </w:rPr>
          <w:t>QCP §3</w:t>
        </w:r>
      </w:hyperlink>
      <w:r>
        <w:t xml:space="preserve">  •  </w:t>
      </w:r>
      <w:hyperlink r:id="rId21">
        <w:r>
          <w:rPr>
            <w:color w:val="0B6B70"/>
            <w:u w:val="single"/>
          </w:rPr>
          <w:t>PBS §5</w:t>
        </w:r>
      </w:hyperlink>
    </w:p>
    <w:p>
      <w:r>
        <w:br w:type="page"/>
      </w:r>
    </w:p>
    <w:p>
      <w:pPr>
        <w:pStyle w:val="Heading1"/>
      </w:pPr>
      <w:r>
        <w:t>3. Make service replies choose the originating context</w:t>
      </w:r>
      <w:bookmarkStart w:id="102" w:name="NBD_03"/>
      <w:bookmarkEnd w:id="102"/>
    </w:p>
    <w:p>
      <w:r>
        <w:t>The shared-service endpoint needs an explicit return-path decision as well as a permitted incoming connection.</w:t>
      </w:r>
    </w:p>
    <w:p>
      <w:pPr>
        <w:pStyle w:val="Caption"/>
      </w:pPr>
      <w:r>
        <w:t xml:space="preserve">Design basis and related records: </w:t>
      </w:r>
      <w:hyperlink r:id="rId22">
        <w:r>
          <w:rPr>
            <w:color w:val="0B6B70"/>
            <w:u w:val="single"/>
          </w:rPr>
          <w:t>WD §7</w:t>
        </w:r>
      </w:hyperlink>
      <w:r>
        <w:t xml:space="preserve">  •  </w:t>
      </w:r>
      <w:hyperlink r:id="rId23">
        <w:r>
          <w:rPr>
            <w:color w:val="0B6B70"/>
            <w:u w:val="single"/>
          </w:rPr>
          <w:t>SVC §2</w:t>
        </w:r>
      </w:hyperlink>
      <w:r>
        <w:t xml:space="preserve">  •  </w:t>
      </w:r>
      <w:hyperlink r:id="rId24">
        <w:r>
          <w:rPr>
            <w:color w:val="0B6B70"/>
            <w:u w:val="single"/>
          </w:rPr>
          <w:t>NET §4</w:t>
        </w:r>
      </w:hyperlink>
    </w:p>
    <w:p>
      <w:r>
        <w:t>For a DNS query from D01O, the fixture routes the resolver host address 203.0.113.138/32 through EC-01 to SE-01. EC-01’s next hop is 198.51.100.18 over SH-01. SE-01 reaches the named service on its service-facing network. The reply must select the tenant-01 return path; a default through the other tenant context is not acceptable.</w:t>
      </w:r>
    </w:p>
    <w:tbl>
      <w:tblPr>
        <w:tblW w:type="auto" w:w="0"/>
        <w:jc w:val="center"/>
        <w:tblLayout w:type="fixed"/>
        <w:tblLook w:firstColumn="1" w:firstRow="1" w:lastColumn="0" w:lastRow="0" w:noHBand="0" w:noVBand="1" w:val="04A0"/>
      </w:tblPr>
      <w:tblGrid>
        <w:gridCol w:w="1944"/>
        <w:gridCol w:w="5155"/>
        <w:gridCol w:w="3182"/>
      </w:tblGrid>
      <w:tr>
        <w:trPr>
          <w:tblHeader/>
        </w:trPr>
        <w:tc>
          <w:tcPr>
            <w:tcW w:type="dxa" w:w="1944"/>
            <w:tcMar>
              <w:top w:w="85" w:type="dxa"/>
              <w:bottom w:w="85" w:type="dxa"/>
              <w:start w:w="90" w:type="dxa"/>
              <w:end w:w="90" w:type="dxa"/>
            </w:tcMar>
            <w:vAlign w:val="top"/>
            <w:shd w:fill="15384A" w:val="clear"/>
          </w:tcPr>
          <w:p>
            <w:pPr>
              <w:spacing w:after="30" w:line="247" w:lineRule="auto"/>
            </w:pPr>
            <w:r>
              <w:rPr>
                <w:b/>
                <w:color w:val="FFFFFF"/>
                <w:sz w:val="18"/>
              </w:rPr>
              <w:t>Reply stage</w:t>
            </w:r>
          </w:p>
        </w:tc>
        <w:tc>
          <w:tcPr>
            <w:tcW w:type="dxa" w:w="5155"/>
            <w:tcMar>
              <w:top w:w="85" w:type="dxa"/>
              <w:bottom w:w="85" w:type="dxa"/>
              <w:start w:w="90" w:type="dxa"/>
              <w:end w:w="90" w:type="dxa"/>
            </w:tcMar>
            <w:vAlign w:val="top"/>
            <w:shd w:fill="15384A" w:val="clear"/>
          </w:tcPr>
          <w:p>
            <w:pPr>
              <w:spacing w:after="30" w:line="247" w:lineRule="auto"/>
            </w:pPr>
            <w:r>
              <w:rPr>
                <w:b/>
                <w:color w:val="FFFFFF"/>
                <w:sz w:val="18"/>
              </w:rPr>
              <w:t>Required WD decision</w:t>
            </w:r>
          </w:p>
        </w:tc>
        <w:tc>
          <w:tcPr>
            <w:tcW w:type="dxa" w:w="3182"/>
            <w:tcMar>
              <w:top w:w="85" w:type="dxa"/>
              <w:bottom w:w="85" w:type="dxa"/>
              <w:start w:w="90" w:type="dxa"/>
              <w:end w:w="90" w:type="dxa"/>
            </w:tcMar>
            <w:vAlign w:val="top"/>
            <w:shd w:fill="15384A" w:val="clear"/>
          </w:tcPr>
          <w:p>
            <w:pPr>
              <w:spacing w:after="30" w:line="247" w:lineRule="auto"/>
            </w:pPr>
            <w:r>
              <w:rPr>
                <w:b/>
                <w:color w:val="FFFFFF"/>
                <w:sz w:val="18"/>
              </w:rPr>
              <w:t>What remains denied</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Resolver to tenant-01 source</w:t>
            </w:r>
          </w:p>
        </w:tc>
        <w:tc>
          <w:tcPr>
            <w:tcW w:type="dxa" w:w="5155"/>
            <w:tcMar>
              <w:top w:w="85" w:type="dxa"/>
              <w:bottom w:w="85" w:type="dxa"/>
              <w:start w:w="90" w:type="dxa"/>
              <w:end w:w="90" w:type="dxa"/>
            </w:tcMar>
            <w:vAlign w:val="top"/>
          </w:tcPr>
          <w:p>
            <w:pPr>
              <w:spacing w:after="30" w:line="247" w:lineRule="auto"/>
            </w:pPr>
            <w:r>
              <w:rPr>
                <w:b w:val="0"/>
                <w:sz w:val="18"/>
              </w:rPr>
              <w:t>Return 192.0.2.0/27 or 192.0.2.32/27 through SE-01 at 203.0.113.129, using the qualified service-side method.</w:t>
            </w:r>
          </w:p>
        </w:tc>
        <w:tc>
          <w:tcPr>
            <w:tcW w:type="dxa" w:w="3182"/>
            <w:tcMar>
              <w:top w:w="85" w:type="dxa"/>
              <w:bottom w:w="85" w:type="dxa"/>
              <w:start w:w="90" w:type="dxa"/>
              <w:end w:w="90" w:type="dxa"/>
            </w:tcMar>
            <w:vAlign w:val="top"/>
          </w:tcPr>
          <w:p>
            <w:pPr>
              <w:spacing w:after="30" w:line="247" w:lineRule="auto"/>
            </w:pPr>
            <w:r>
              <w:rPr>
                <w:b w:val="0"/>
                <w:sz w:val="18"/>
              </w:rPr>
              <w:t>A broad default or host forwarding that bridges tenant contexts.</w:t>
            </w:r>
          </w:p>
        </w:tc>
      </w:tr>
      <w:tr>
        <w:trPr>
          <w:cantSplit/>
        </w:trPr>
        <w:tc>
          <w:tcPr>
            <w:tcW w:type="dxa" w:w="1944"/>
            <w:tcMar>
              <w:top w:w="85" w:type="dxa"/>
              <w:bottom w:w="85" w:type="dxa"/>
              <w:start w:w="90" w:type="dxa"/>
              <w:end w:w="90" w:type="dxa"/>
            </w:tcMar>
            <w:vAlign w:val="top"/>
            <w:shd w:fill="EEF5F7" w:val="clear"/>
          </w:tcPr>
          <w:p>
            <w:pPr>
              <w:spacing w:after="30" w:line="247" w:lineRule="auto"/>
            </w:pPr>
            <w:r>
              <w:rPr>
                <w:b w:val="0"/>
                <w:sz w:val="18"/>
              </w:rPr>
              <w:t>SE-01 to EC-01</w:t>
            </w:r>
          </w:p>
        </w:tc>
        <w:tc>
          <w:tcPr>
            <w:tcW w:type="dxa" w:w="5155"/>
            <w:tcMar>
              <w:top w:w="85" w:type="dxa"/>
              <w:bottom w:w="85" w:type="dxa"/>
              <w:start w:w="90" w:type="dxa"/>
              <w:end w:w="90" w:type="dxa"/>
            </w:tcMar>
            <w:vAlign w:val="top"/>
            <w:shd w:fill="EEF5F7" w:val="clear"/>
          </w:tcPr>
          <w:p>
            <w:pPr>
              <w:spacing w:after="30" w:line="247" w:lineRule="auto"/>
            </w:pPr>
            <w:r>
              <w:rPr>
                <w:b w:val="0"/>
                <w:sz w:val="18"/>
              </w:rPr>
              <w:t>Own tenant prefixes via 198.51.100.17.</w:t>
            </w:r>
          </w:p>
        </w:tc>
        <w:tc>
          <w:tcPr>
            <w:tcW w:type="dxa" w:w="3182"/>
            <w:tcMar>
              <w:top w:w="85" w:type="dxa"/>
              <w:bottom w:w="85" w:type="dxa"/>
              <w:start w:w="90" w:type="dxa"/>
              <w:end w:w="90" w:type="dxa"/>
            </w:tcMar>
            <w:vAlign w:val="top"/>
            <w:shd w:fill="EEF5F7" w:val="clear"/>
          </w:tcPr>
          <w:p>
            <w:pPr>
              <w:spacing w:after="30" w:line="247" w:lineRule="auto"/>
            </w:pPr>
            <w:r>
              <w:rPr>
                <w:b w:val="0"/>
                <w:sz w:val="18"/>
              </w:rPr>
              <w:t>Routes to tenant-02 and general service-subnet access.</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EC-01 to source domain</w:t>
            </w:r>
          </w:p>
        </w:tc>
        <w:tc>
          <w:tcPr>
            <w:tcW w:type="dxa" w:w="5155"/>
            <w:tcMar>
              <w:top w:w="85" w:type="dxa"/>
              <w:bottom w:w="85" w:type="dxa"/>
              <w:start w:w="90" w:type="dxa"/>
              <w:end w:w="90" w:type="dxa"/>
            </w:tcMar>
            <w:vAlign w:val="top"/>
          </w:tcPr>
          <w:p>
            <w:pPr>
              <w:spacing w:after="30" w:line="247" w:lineRule="auto"/>
            </w:pPr>
            <w:r>
              <w:rPr>
                <w:b w:val="0"/>
                <w:sz w:val="18"/>
              </w:rPr>
              <w:t>192.0.2.0/27 via .2; 192.0.2.32/27 via .6 on the corresponding 198.51.100.x handoff.</w:t>
            </w:r>
          </w:p>
        </w:tc>
        <w:tc>
          <w:tcPr>
            <w:tcW w:type="dxa" w:w="3182"/>
            <w:tcMar>
              <w:top w:w="85" w:type="dxa"/>
              <w:bottom w:w="85" w:type="dxa"/>
              <w:start w:w="90" w:type="dxa"/>
              <w:end w:w="90" w:type="dxa"/>
            </w:tcMar>
            <w:vAlign w:val="top"/>
          </w:tcPr>
          <w:p>
            <w:pPr>
              <w:spacing w:after="30" w:line="247" w:lineRule="auto"/>
            </w:pPr>
            <w:r>
              <w:rPr>
                <w:b w:val="0"/>
                <w:sz w:val="18"/>
              </w:rPr>
              <w:t>Unsolicited service initiation except where separately approved.</w:t>
            </w:r>
          </w:p>
        </w:tc>
      </w:tr>
    </w:tbl>
    <w:p>
      <w:pPr>
        <w:spacing w:after="0" w:before="0" w:line="120"/>
      </w:pPr>
    </w:p>
    <w:p>
      <w:r>
        <w:t>Implement the service-side decision with a supported routing or mediation design. Record route ownership, endpoint source validation, authentication, backend tenant entitlement and whether the service terminates and originates separate sessions. A proxy alternative changes client attribution and session semantics and therefore needs an explicit design, not silent substitution.</w:t>
      </w:r>
    </w:p>
    <w:p>
      <w:r>
        <w:t>DNS qualification includes UDP and TCP to the approved resolver and a controlled response that exercises TCP fallback. RFC 7766 requires TCP support for general-purpose DNS implementations; one successful small UDP lookup is not full protocol evidence. Encrypted DNS variants remain separately selected profiles. [D05]</w:t>
      </w:r>
    </w:p>
    <w:p>
      <w:pPr>
        <w:pStyle w:val="Caption"/>
      </w:pPr>
      <w:r>
        <w:t xml:space="preserve">Verified mechanism source: </w:t>
      </w:r>
      <w:hyperlink r:id="rId25">
        <w:r>
          <w:rPr>
            <w:color w:val="0B6B70"/>
            <w:u w:val="single"/>
          </w:rPr>
          <w:t>D05 — RFC 7766: DNS Transport over TCP</w:t>
        </w:r>
      </w:hyperlink>
    </w:p>
    <w:p>
      <w:pPr>
        <w:pStyle w:val="Caption"/>
      </w:pPr>
      <w:r>
        <w:t xml:space="preserve">Continue with: </w:t>
      </w:r>
      <w:hyperlink r:id="rId26">
        <w:r>
          <w:rPr>
            <w:color w:val="0B6B70"/>
            <w:u w:val="single"/>
          </w:rPr>
          <w:t>QCP §4</w:t>
        </w:r>
      </w:hyperlink>
      <w:r>
        <w:t xml:space="preserve">  •  </w:t>
      </w:r>
      <w:hyperlink r:id="rId15">
        <w:r>
          <w:rPr>
            <w:color w:val="0B6B70"/>
            <w:u w:val="single"/>
          </w:rPr>
          <w:t>PBS §8</w:t>
        </w:r>
      </w:hyperlink>
    </w:p>
    <w:p>
      <w:r>
        <w:br w:type="page"/>
      </w:r>
    </w:p>
    <w:p>
      <w:pPr>
        <w:pStyle w:val="Heading1"/>
      </w:pPr>
      <w:r>
        <w:t>4. Budget address families and encapsulation precisely</w:t>
      </w:r>
      <w:bookmarkStart w:id="103" w:name="NBD_04"/>
      <w:bookmarkEnd w:id="103"/>
    </w:p>
    <w:p>
      <w:r>
        <w:t>An offered family must work along the entire path, including service consumption and recovery. The MTU budget must describe which packet or frame a product limit measures.</w:t>
      </w:r>
    </w:p>
    <w:p>
      <w:pPr>
        <w:pStyle w:val="Caption"/>
      </w:pPr>
      <w:r>
        <w:t xml:space="preserve">Design basis and related records: </w:t>
      </w:r>
      <w:hyperlink r:id="rId27">
        <w:r>
          <w:rPr>
            <w:color w:val="0B6B70"/>
            <w:u w:val="single"/>
          </w:rPr>
          <w:t>NET §5</w:t>
        </w:r>
      </w:hyperlink>
      <w:r>
        <w:t xml:space="preserve">  •  </w:t>
      </w:r>
      <w:hyperlink r:id="rId28">
        <w:r>
          <w:rPr>
            <w:color w:val="0B6B70"/>
            <w:u w:val="single"/>
          </w:rPr>
          <w:t>WD §11</w:t>
        </w:r>
      </w:hyperlink>
      <w:r>
        <w:t xml:space="preserve">  •  </w:t>
      </w:r>
      <w:hyperlink r:id="rId29">
        <w:r>
          <w:rPr>
            <w:color w:val="0B6B70"/>
            <w:u w:val="single"/>
          </w:rPr>
          <w:t>EK §6</w:t>
        </w:r>
      </w:hyperlink>
    </w:p>
    <w:p>
      <w:r>
        <w:t>Keep IPv4-only, IPv6-only and dual-stack as distinct engineering choices. Do not assign a fictitious IPv4 prefix to an IPv6-only service or assume an IPv4-only dependency is reachable. Any family translation is a separately engineered dependency with explicit enforcement, name resolution and recovery behaviour.</w:t>
      </w:r>
    </w:p>
    <w:tbl>
      <w:tblPr>
        <w:tblW w:type="auto" w:w="0"/>
        <w:jc w:val="center"/>
        <w:tblLayout w:type="fixed"/>
        <w:tblLook w:firstColumn="1" w:firstRow="1" w:lastColumn="0" w:lastRow="0" w:noHBand="0" w:noVBand="1" w:val="04A0"/>
      </w:tblPr>
      <w:tblGrid>
        <w:gridCol w:w="3067"/>
        <w:gridCol w:w="1354"/>
        <w:gridCol w:w="5861"/>
      </w:tblGrid>
      <w:tr>
        <w:trPr>
          <w:tblHeader/>
        </w:trPr>
        <w:tc>
          <w:tcPr>
            <w:tcW w:type="dxa" w:w="3067"/>
            <w:tcMar>
              <w:top w:w="85" w:type="dxa"/>
              <w:bottom w:w="85" w:type="dxa"/>
              <w:start w:w="90" w:type="dxa"/>
              <w:end w:w="90" w:type="dxa"/>
            </w:tcMar>
            <w:vAlign w:val="top"/>
            <w:shd w:fill="15384A" w:val="clear"/>
          </w:tcPr>
          <w:p>
            <w:pPr>
              <w:spacing w:after="30" w:line="247" w:lineRule="auto"/>
            </w:pPr>
            <w:r>
              <w:rPr>
                <w:b/>
                <w:color w:val="FFFFFF"/>
                <w:sz w:val="18"/>
              </w:rPr>
              <w:t>Basic VXLAN example</w:t>
            </w:r>
          </w:p>
        </w:tc>
        <w:tc>
          <w:tcPr>
            <w:tcW w:type="dxa" w:w="1354"/>
            <w:tcMar>
              <w:top w:w="85" w:type="dxa"/>
              <w:bottom w:w="85" w:type="dxa"/>
              <w:start w:w="90" w:type="dxa"/>
              <w:end w:w="90" w:type="dxa"/>
            </w:tcMar>
            <w:vAlign w:val="top"/>
            <w:shd w:fill="15384A" w:val="clear"/>
          </w:tcPr>
          <w:p>
            <w:pPr>
              <w:spacing w:after="30" w:line="247" w:lineRule="auto"/>
            </w:pPr>
            <w:r>
              <w:rPr>
                <w:b/>
                <w:color w:val="FFFFFF"/>
                <w:sz w:val="18"/>
              </w:rPr>
              <w:t>Bytes</w:t>
            </w:r>
          </w:p>
        </w:tc>
        <w:tc>
          <w:tcPr>
            <w:tcW w:type="dxa" w:w="5861"/>
            <w:tcMar>
              <w:top w:w="85" w:type="dxa"/>
              <w:bottom w:w="85" w:type="dxa"/>
              <w:start w:w="90" w:type="dxa"/>
              <w:end w:w="90" w:type="dxa"/>
            </w:tcMar>
            <w:vAlign w:val="top"/>
            <w:shd w:fill="15384A" w:val="clear"/>
          </w:tcPr>
          <w:p>
            <w:pPr>
              <w:spacing w:after="30" w:line="247" w:lineRule="auto"/>
            </w:pPr>
            <w:r>
              <w:rPr>
                <w:b/>
                <w:color w:val="FFFFFF"/>
                <w:sz w:val="18"/>
              </w:rPr>
              <w:t>Interpretation</w:t>
            </w:r>
          </w:p>
        </w:tc>
      </w:tr>
      <w:tr>
        <w:trPr>
          <w:cantSplit/>
        </w:trPr>
        <w:tc>
          <w:tcPr>
            <w:tcW w:type="dxa" w:w="3067"/>
            <w:tcMar>
              <w:top w:w="85" w:type="dxa"/>
              <w:bottom w:w="85" w:type="dxa"/>
              <w:start w:w="90" w:type="dxa"/>
              <w:end w:w="90" w:type="dxa"/>
            </w:tcMar>
            <w:vAlign w:val="top"/>
          </w:tcPr>
          <w:p>
            <w:pPr>
              <w:spacing w:after="30" w:line="247" w:lineRule="auto"/>
            </w:pPr>
            <w:r>
              <w:rPr>
                <w:b w:val="0"/>
                <w:sz w:val="18"/>
              </w:rPr>
              <w:t>Workload IP packet</w:t>
            </w:r>
          </w:p>
        </w:tc>
        <w:tc>
          <w:tcPr>
            <w:tcW w:type="dxa" w:w="1354"/>
            <w:tcMar>
              <w:top w:w="85" w:type="dxa"/>
              <w:bottom w:w="85" w:type="dxa"/>
              <w:start w:w="90" w:type="dxa"/>
              <w:end w:w="90" w:type="dxa"/>
            </w:tcMar>
            <w:vAlign w:val="top"/>
          </w:tcPr>
          <w:p>
            <w:pPr>
              <w:spacing w:after="30" w:line="247" w:lineRule="auto"/>
            </w:pPr>
            <w:r>
              <w:rPr>
                <w:b w:val="0"/>
                <w:sz w:val="18"/>
              </w:rPr>
              <w:t>1500</w:t>
            </w:r>
          </w:p>
        </w:tc>
        <w:tc>
          <w:tcPr>
            <w:tcW w:type="dxa" w:w="5861"/>
            <w:tcMar>
              <w:top w:w="85" w:type="dxa"/>
              <w:bottom w:w="85" w:type="dxa"/>
              <w:start w:w="90" w:type="dxa"/>
              <w:end w:w="90" w:type="dxa"/>
            </w:tcMar>
            <w:vAlign w:val="top"/>
          </w:tcPr>
          <w:p>
            <w:pPr>
              <w:spacing w:after="30" w:line="247" w:lineRule="auto"/>
            </w:pPr>
            <w:r>
              <w:rPr>
                <w:b w:val="0"/>
                <w:sz w:val="18"/>
              </w:rPr>
              <w:t>Local example input, not a universal service target.</w:t>
            </w:r>
          </w:p>
        </w:tc>
      </w:tr>
      <w:tr>
        <w:trPr>
          <w:cantSplit/>
        </w:trPr>
        <w:tc>
          <w:tcPr>
            <w:tcW w:type="dxa" w:w="3067"/>
            <w:tcMar>
              <w:top w:w="85" w:type="dxa"/>
              <w:bottom w:w="85" w:type="dxa"/>
              <w:start w:w="90" w:type="dxa"/>
              <w:end w:w="90" w:type="dxa"/>
            </w:tcMar>
            <w:vAlign w:val="top"/>
            <w:shd w:fill="EEF5F7" w:val="clear"/>
          </w:tcPr>
          <w:p>
            <w:pPr>
              <w:spacing w:after="30" w:line="247" w:lineRule="auto"/>
            </w:pPr>
            <w:r>
              <w:rPr>
                <w:b w:val="0"/>
                <w:sz w:val="18"/>
              </w:rPr>
              <w:t>Inner Ethernet header + VXLAN + UDP</w:t>
            </w:r>
          </w:p>
        </w:tc>
        <w:tc>
          <w:tcPr>
            <w:tcW w:type="dxa" w:w="1354"/>
            <w:tcMar>
              <w:top w:w="85" w:type="dxa"/>
              <w:bottom w:w="85" w:type="dxa"/>
              <w:start w:w="90" w:type="dxa"/>
              <w:end w:w="90" w:type="dxa"/>
            </w:tcMar>
            <w:vAlign w:val="top"/>
            <w:shd w:fill="EEF5F7" w:val="clear"/>
          </w:tcPr>
          <w:p>
            <w:pPr>
              <w:spacing w:after="30" w:line="247" w:lineRule="auto"/>
            </w:pPr>
            <w:r>
              <w:rPr>
                <w:b w:val="0"/>
                <w:sz w:val="18"/>
              </w:rPr>
              <w:t>14 + 8 + 8 = 30</w:t>
            </w:r>
          </w:p>
        </w:tc>
        <w:tc>
          <w:tcPr>
            <w:tcW w:type="dxa" w:w="5861"/>
            <w:tcMar>
              <w:top w:w="85" w:type="dxa"/>
              <w:bottom w:w="85" w:type="dxa"/>
              <w:start w:w="90" w:type="dxa"/>
              <w:end w:w="90" w:type="dxa"/>
            </w:tcMar>
            <w:vAlign w:val="top"/>
            <w:shd w:fill="EEF5F7" w:val="clear"/>
          </w:tcPr>
          <w:p>
            <w:pPr>
              <w:spacing w:after="30" w:line="247" w:lineRule="auto"/>
            </w:pPr>
            <w:r>
              <w:rPr>
                <w:b w:val="0"/>
                <w:sz w:val="18"/>
              </w:rPr>
              <w:t>No inner VLAN tag, options or additional encapsulation in this example.</w:t>
            </w:r>
          </w:p>
        </w:tc>
      </w:tr>
      <w:tr>
        <w:trPr>
          <w:cantSplit/>
        </w:trPr>
        <w:tc>
          <w:tcPr>
            <w:tcW w:type="dxa" w:w="3067"/>
            <w:tcMar>
              <w:top w:w="85" w:type="dxa"/>
              <w:bottom w:w="85" w:type="dxa"/>
              <w:start w:w="90" w:type="dxa"/>
              <w:end w:w="90" w:type="dxa"/>
            </w:tcMar>
            <w:vAlign w:val="top"/>
          </w:tcPr>
          <w:p>
            <w:pPr>
              <w:spacing w:after="30" w:line="247" w:lineRule="auto"/>
            </w:pPr>
            <w:r>
              <w:rPr>
                <w:b w:val="0"/>
                <w:sz w:val="18"/>
              </w:rPr>
              <w:t>Outer IPv4 IP header</w:t>
            </w:r>
          </w:p>
        </w:tc>
        <w:tc>
          <w:tcPr>
            <w:tcW w:type="dxa" w:w="1354"/>
            <w:tcMar>
              <w:top w:w="85" w:type="dxa"/>
              <w:bottom w:w="85" w:type="dxa"/>
              <w:start w:w="90" w:type="dxa"/>
              <w:end w:w="90" w:type="dxa"/>
            </w:tcMar>
            <w:vAlign w:val="top"/>
          </w:tcPr>
          <w:p>
            <w:pPr>
              <w:spacing w:after="30" w:line="247" w:lineRule="auto"/>
            </w:pPr>
            <w:r>
              <w:rPr>
                <w:b w:val="0"/>
                <w:sz w:val="18"/>
              </w:rPr>
              <w:t>20</w:t>
            </w:r>
          </w:p>
        </w:tc>
        <w:tc>
          <w:tcPr>
            <w:tcW w:type="dxa" w:w="5861"/>
            <w:tcMar>
              <w:top w:w="85" w:type="dxa"/>
              <w:bottom w:w="85" w:type="dxa"/>
              <w:start w:w="90" w:type="dxa"/>
              <w:end w:w="90" w:type="dxa"/>
            </w:tcMar>
            <w:vAlign w:val="top"/>
          </w:tcPr>
          <w:p>
            <w:pPr>
              <w:spacing w:after="30" w:line="247" w:lineRule="auto"/>
            </w:pPr>
            <w:r>
              <w:rPr>
                <w:b w:val="0"/>
                <w:sz w:val="18"/>
              </w:rPr>
              <w:t>Outer IP packet: 1500 + 30 + 20 = 1550 bytes.</w:t>
            </w:r>
          </w:p>
        </w:tc>
      </w:tr>
      <w:tr>
        <w:trPr>
          <w:cantSplit/>
        </w:trPr>
        <w:tc>
          <w:tcPr>
            <w:tcW w:type="dxa" w:w="3067"/>
            <w:tcMar>
              <w:top w:w="85" w:type="dxa"/>
              <w:bottom w:w="85" w:type="dxa"/>
              <w:start w:w="90" w:type="dxa"/>
              <w:end w:w="90" w:type="dxa"/>
            </w:tcMar>
            <w:vAlign w:val="top"/>
            <w:shd w:fill="EEF5F7" w:val="clear"/>
          </w:tcPr>
          <w:p>
            <w:pPr>
              <w:spacing w:after="30" w:line="247" w:lineRule="auto"/>
            </w:pPr>
            <w:r>
              <w:rPr>
                <w:b w:val="0"/>
                <w:sz w:val="18"/>
              </w:rPr>
              <w:t>Outer IPv6 IP header</w:t>
            </w:r>
          </w:p>
        </w:tc>
        <w:tc>
          <w:tcPr>
            <w:tcW w:type="dxa" w:w="1354"/>
            <w:tcMar>
              <w:top w:w="85" w:type="dxa"/>
              <w:bottom w:w="85" w:type="dxa"/>
              <w:start w:w="90" w:type="dxa"/>
              <w:end w:w="90" w:type="dxa"/>
            </w:tcMar>
            <w:vAlign w:val="top"/>
            <w:shd w:fill="EEF5F7" w:val="clear"/>
          </w:tcPr>
          <w:p>
            <w:pPr>
              <w:spacing w:after="30" w:line="247" w:lineRule="auto"/>
            </w:pPr>
            <w:r>
              <w:rPr>
                <w:b w:val="0"/>
                <w:sz w:val="18"/>
              </w:rPr>
              <w:t>40</w:t>
            </w:r>
          </w:p>
        </w:tc>
        <w:tc>
          <w:tcPr>
            <w:tcW w:type="dxa" w:w="5861"/>
            <w:tcMar>
              <w:top w:w="85" w:type="dxa"/>
              <w:bottom w:w="85" w:type="dxa"/>
              <w:start w:w="90" w:type="dxa"/>
              <w:end w:w="90" w:type="dxa"/>
            </w:tcMar>
            <w:vAlign w:val="top"/>
            <w:shd w:fill="EEF5F7" w:val="clear"/>
          </w:tcPr>
          <w:p>
            <w:pPr>
              <w:spacing w:after="30" w:line="247" w:lineRule="auto"/>
            </w:pPr>
            <w:r>
              <w:rPr>
                <w:b w:val="0"/>
                <w:sz w:val="18"/>
              </w:rPr>
              <w:t>Outer IP packet: 1500 + 30 + 40 = 1570 bytes.</w:t>
            </w:r>
          </w:p>
        </w:tc>
      </w:tr>
      <w:tr>
        <w:trPr>
          <w:cantSplit/>
        </w:trPr>
        <w:tc>
          <w:tcPr>
            <w:tcW w:type="dxa" w:w="3067"/>
            <w:tcMar>
              <w:top w:w="85" w:type="dxa"/>
              <w:bottom w:w="85" w:type="dxa"/>
              <w:start w:w="90" w:type="dxa"/>
              <w:end w:w="90" w:type="dxa"/>
            </w:tcMar>
            <w:vAlign w:val="top"/>
          </w:tcPr>
          <w:p>
            <w:pPr>
              <w:spacing w:after="30" w:line="247" w:lineRule="auto"/>
            </w:pPr>
            <w:r>
              <w:rPr>
                <w:b w:val="0"/>
                <w:sz w:val="18"/>
              </w:rPr>
              <w:t>Outer link-frame overhead</w:t>
            </w:r>
          </w:p>
        </w:tc>
        <w:tc>
          <w:tcPr>
            <w:tcW w:type="dxa" w:w="1354"/>
            <w:tcMar>
              <w:top w:w="85" w:type="dxa"/>
              <w:bottom w:w="85" w:type="dxa"/>
              <w:start w:w="90" w:type="dxa"/>
              <w:end w:w="90" w:type="dxa"/>
            </w:tcMar>
            <w:vAlign w:val="top"/>
          </w:tcPr>
          <w:p>
            <w:pPr>
              <w:spacing w:after="30" w:line="247" w:lineRule="auto"/>
            </w:pPr>
            <w:r>
              <w:rPr>
                <w:b w:val="0"/>
                <w:sz w:val="18"/>
              </w:rPr>
              <w:t>Additional</w:t>
            </w:r>
          </w:p>
        </w:tc>
        <w:tc>
          <w:tcPr>
            <w:tcW w:type="dxa" w:w="5861"/>
            <w:tcMar>
              <w:top w:w="85" w:type="dxa"/>
              <w:bottom w:w="85" w:type="dxa"/>
              <w:start w:w="90" w:type="dxa"/>
              <w:end w:w="90" w:type="dxa"/>
            </w:tcMar>
            <w:vAlign w:val="top"/>
          </w:tcPr>
          <w:p>
            <w:pPr>
              <w:spacing w:after="30" w:line="247" w:lineRule="auto"/>
            </w:pPr>
            <w:r>
              <w:rPr>
                <w:b w:val="0"/>
                <w:sz w:val="18"/>
              </w:rPr>
              <w:t>Do not compare these IP totals directly with a frame limit that includes outer Ethernet, tags or FCS.</w:t>
            </w:r>
          </w:p>
        </w:tc>
      </w:tr>
    </w:tbl>
    <w:p>
      <w:pPr>
        <w:spacing w:after="0" w:before="0" w:line="120"/>
      </w:pPr>
    </w:p>
    <w:p>
      <w:r>
        <w:t>RFC 7348 supplies the VXLAN packet-format context for this arithmetic. It does not select a vendor MTU setting or qualify the path. Geneve options, inner tags, encryption and nested encapsulation require separate budgets; use the actual configured combination rather than reusing the numbers above. [D06]</w:t>
      </w:r>
    </w:p>
    <w:p>
      <w:pPr>
        <w:pStyle w:val="Caption"/>
      </w:pPr>
      <w:r>
        <w:t xml:space="preserve">Verified mechanism source: </w:t>
      </w:r>
      <w:hyperlink r:id="rId30">
        <w:r>
          <w:rPr>
            <w:color w:val="0B6B70"/>
            <w:u w:val="single"/>
          </w:rPr>
          <w:t>D06 — RFC 7348: VXLAN packet format</w:t>
        </w:r>
      </w:hyperlink>
    </w:p>
    <w:p>
      <w:r>
        <w:t>For each normal and surviving path, compare the packet budget with its smallest supported limit and observe required PMTU feedback. The commissioning plan also checks permitted ICMPv6, router advertisement/neighbor controls and local-link management exclusion. A transport ping with small packets does not prove workload-sized packets survive a security edge or recovery path.</w:t>
      </w:r>
    </w:p>
    <w:p>
      <w:pPr>
        <w:pStyle w:val="Caption"/>
      </w:pPr>
      <w:r>
        <w:t xml:space="preserve">Continue with: </w:t>
      </w:r>
      <w:hyperlink r:id="rId20">
        <w:r>
          <w:rPr>
            <w:color w:val="0B6B70"/>
            <w:u w:val="single"/>
          </w:rPr>
          <w:t>QCP §3</w:t>
        </w:r>
      </w:hyperlink>
      <w:r>
        <w:t xml:space="preserve">  •  </w:t>
      </w:r>
      <w:hyperlink r:id="rId31">
        <w:r>
          <w:rPr>
            <w:color w:val="0B6B70"/>
            <w:u w:val="single"/>
          </w:rPr>
          <w:t>NBD §7</w:t>
        </w:r>
      </w:hyperlink>
    </w:p>
    <w:p>
      <w:r>
        <w:br w:type="page"/>
      </w:r>
    </w:p>
    <w:p>
      <w:pPr>
        <w:pStyle w:val="Heading1"/>
      </w:pPr>
      <w:r>
        <w:t>5. Keep fabric authority separate from tenant routing</w:t>
      </w:r>
      <w:bookmarkStart w:id="104" w:name="NBD_05"/>
      <w:bookmarkEnd w:id="104"/>
    </w:p>
    <w:p>
      <w:r>
        <w:t>The physical fabric carries transport and explicitly assigned physical routing services; it does not inherit every tenant route merely because it connects the platform hosts.</w:t>
      </w:r>
    </w:p>
    <w:p>
      <w:pPr>
        <w:pStyle w:val="Caption"/>
      </w:pPr>
      <w:r>
        <w:t xml:space="preserve">Design basis and related records: </w:t>
      </w:r>
      <w:hyperlink r:id="rId32">
        <w:r>
          <w:rPr>
            <w:color w:val="0B6B70"/>
            <w:u w:val="single"/>
          </w:rPr>
          <w:t>RA §5</w:t>
        </w:r>
      </w:hyperlink>
      <w:r>
        <w:t xml:space="preserve">  •  </w:t>
      </w:r>
      <w:hyperlink r:id="rId33">
        <w:r>
          <w:rPr>
            <w:color w:val="0B6B70"/>
            <w:u w:val="single"/>
          </w:rPr>
          <w:t>NET §1</w:t>
        </w:r>
      </w:hyperlink>
      <w:r>
        <w:t xml:space="preserve">  •  </w:t>
      </w:r>
      <w:hyperlink r:id="rId34">
        <w:r>
          <w:rPr>
            <w:color w:val="0B6B70"/>
            <w:u w:val="single"/>
          </w:rPr>
          <w:t>VC §5</w:t>
        </w:r>
      </w:hyperlink>
    </w:p>
    <w:p>
      <w:r>
        <w:t>Publish the underlay’s device/link inventory, address and ASN authority, allowed peers, explicit import/export policy, route limits, control-plane protection and maintenance method. Specify which platform tunnel endpoints and service attachments consume that transport. A tenant request consumes accepted capacity; a new physical attachment class or an exhausted pool returns to foundation engineering.</w:t>
      </w:r>
    </w:p>
    <w:tbl>
      <w:tblPr>
        <w:tblW w:type="auto" w:w="0"/>
        <w:jc w:val="center"/>
        <w:tblLayout w:type="fixed"/>
        <w:tblLook w:firstColumn="1" w:firstRow="1" w:lastColumn="0" w:lastRow="0" w:noHBand="0" w:noVBand="1" w:val="04A0"/>
      </w:tblPr>
      <w:tblGrid>
        <w:gridCol w:w="2232"/>
        <w:gridCol w:w="4190"/>
        <w:gridCol w:w="3859"/>
      </w:tblGrid>
      <w:tr>
        <w:trPr>
          <w:tblHeader/>
        </w:trPr>
        <w:tc>
          <w:tcPr>
            <w:tcW w:type="dxa" w:w="2232"/>
            <w:tcMar>
              <w:top w:w="85" w:type="dxa"/>
              <w:bottom w:w="85" w:type="dxa"/>
              <w:start w:w="90" w:type="dxa"/>
              <w:end w:w="90" w:type="dxa"/>
            </w:tcMar>
            <w:vAlign w:val="top"/>
            <w:shd w:fill="15384A" w:val="clear"/>
          </w:tcPr>
          <w:p>
            <w:pPr>
              <w:spacing w:after="30" w:line="247" w:lineRule="auto"/>
            </w:pPr>
            <w:r>
              <w:rPr>
                <w:b/>
                <w:color w:val="FFFFFF"/>
                <w:sz w:val="18"/>
              </w:rPr>
              <w:t>Engineering question</w:t>
            </w:r>
          </w:p>
        </w:tc>
        <w:tc>
          <w:tcPr>
            <w:tcW w:type="dxa" w:w="4190"/>
            <w:tcMar>
              <w:top w:w="85" w:type="dxa"/>
              <w:bottom w:w="85" w:type="dxa"/>
              <w:start w:w="90" w:type="dxa"/>
              <w:end w:w="90" w:type="dxa"/>
            </w:tcMar>
            <w:vAlign w:val="top"/>
            <w:shd w:fill="15384A" w:val="clear"/>
          </w:tcPr>
          <w:p>
            <w:pPr>
              <w:spacing w:after="30" w:line="247" w:lineRule="auto"/>
            </w:pPr>
            <w:r>
              <w:rPr>
                <w:b/>
                <w:color w:val="FFFFFF"/>
                <w:sz w:val="18"/>
              </w:rPr>
              <w:t>Required design answer</w:t>
            </w:r>
          </w:p>
        </w:tc>
        <w:tc>
          <w:tcPr>
            <w:tcW w:type="dxa" w:w="3859"/>
            <w:tcMar>
              <w:top w:w="85" w:type="dxa"/>
              <w:bottom w:w="85" w:type="dxa"/>
              <w:start w:w="90" w:type="dxa"/>
              <w:end w:w="90" w:type="dxa"/>
            </w:tcMar>
            <w:vAlign w:val="top"/>
            <w:shd w:fill="15384A" w:val="clear"/>
          </w:tcPr>
          <w:p>
            <w:pPr>
              <w:spacing w:after="30" w:line="247" w:lineRule="auto"/>
            </w:pPr>
            <w:r>
              <w:rPr>
                <w:b/>
                <w:color w:val="FFFFFF"/>
                <w:sz w:val="18"/>
              </w:rPr>
              <w:t>Observation before acceptance</w:t>
            </w:r>
          </w:p>
        </w:tc>
      </w:tr>
      <w:tr>
        <w:trPr>
          <w:cantSplit/>
        </w:trPr>
        <w:tc>
          <w:tcPr>
            <w:tcW w:type="dxa" w:w="2232"/>
            <w:tcMar>
              <w:top w:w="85" w:type="dxa"/>
              <w:bottom w:w="85" w:type="dxa"/>
              <w:start w:w="90" w:type="dxa"/>
              <w:end w:w="90" w:type="dxa"/>
            </w:tcMar>
            <w:vAlign w:val="top"/>
          </w:tcPr>
          <w:p>
            <w:pPr>
              <w:spacing w:after="30" w:line="247" w:lineRule="auto"/>
            </w:pPr>
            <w:r>
              <w:rPr>
                <w:b w:val="0"/>
                <w:sz w:val="18"/>
              </w:rPr>
              <w:t>What routing belongs here?</w:t>
            </w:r>
          </w:p>
        </w:tc>
        <w:tc>
          <w:tcPr>
            <w:tcW w:type="dxa" w:w="4190"/>
            <w:tcMar>
              <w:top w:w="85" w:type="dxa"/>
              <w:bottom w:w="85" w:type="dxa"/>
              <w:start w:w="90" w:type="dxa"/>
              <w:end w:w="90" w:type="dxa"/>
            </w:tcMar>
            <w:vAlign w:val="top"/>
          </w:tcPr>
          <w:p>
            <w:pPr>
              <w:spacing w:after="30" w:line="247" w:lineRule="auto"/>
            </w:pPr>
            <w:r>
              <w:rPr>
                <w:b w:val="0"/>
                <w:sz w:val="18"/>
              </w:rPr>
              <w:t>List transport and approved physical-domain prefixes; exclude unintended tenant imports.</w:t>
            </w:r>
          </w:p>
        </w:tc>
        <w:tc>
          <w:tcPr>
            <w:tcW w:type="dxa" w:w="3859"/>
            <w:tcMar>
              <w:top w:w="85" w:type="dxa"/>
              <w:bottom w:w="85" w:type="dxa"/>
              <w:start w:w="90" w:type="dxa"/>
              <w:end w:w="90" w:type="dxa"/>
            </w:tcMar>
            <w:vAlign w:val="top"/>
          </w:tcPr>
          <w:p>
            <w:pPr>
              <w:spacing w:after="30" w:line="247" w:lineRule="auto"/>
            </w:pPr>
            <w:r>
              <w:rPr>
                <w:b w:val="0"/>
                <w:sz w:val="18"/>
              </w:rPr>
              <w:t>Compare accepted and actual advertisements, next hops and selected forwarding.</w:t>
            </w:r>
          </w:p>
        </w:tc>
      </w:tr>
      <w:tr>
        <w:trPr>
          <w:cantSplit/>
        </w:trPr>
        <w:tc>
          <w:tcPr>
            <w:tcW w:type="dxa" w:w="2232"/>
            <w:tcMar>
              <w:top w:w="85" w:type="dxa"/>
              <w:bottom w:w="85" w:type="dxa"/>
              <w:start w:w="90" w:type="dxa"/>
              <w:end w:w="90" w:type="dxa"/>
            </w:tcMar>
            <w:vAlign w:val="top"/>
            <w:shd w:fill="EEF5F7" w:val="clear"/>
          </w:tcPr>
          <w:p>
            <w:pPr>
              <w:spacing w:after="30" w:line="247" w:lineRule="auto"/>
            </w:pPr>
            <w:r>
              <w:rPr>
                <w:b w:val="0"/>
                <w:sz w:val="18"/>
              </w:rPr>
              <w:t>Where is EVPN needed?</w:t>
            </w:r>
          </w:p>
        </w:tc>
        <w:tc>
          <w:tcPr>
            <w:tcW w:type="dxa" w:w="4190"/>
            <w:tcMar>
              <w:top w:w="85" w:type="dxa"/>
              <w:bottom w:w="85" w:type="dxa"/>
              <w:start w:w="90" w:type="dxa"/>
              <w:end w:w="90" w:type="dxa"/>
            </w:tcMar>
            <w:vAlign w:val="top"/>
            <w:shd w:fill="EEF5F7" w:val="clear"/>
          </w:tcPr>
          <w:p>
            <w:pPr>
              <w:spacing w:after="30" w:line="247" w:lineRule="auto"/>
            </w:pPr>
            <w:r>
              <w:rPr>
                <w:b w:val="0"/>
                <w:sz w:val="18"/>
              </w:rPr>
              <w:t>Select only the fabric services requiring it; assign RD/RT/VNI scope and gateway ownership.</w:t>
            </w:r>
          </w:p>
        </w:tc>
        <w:tc>
          <w:tcPr>
            <w:tcW w:type="dxa" w:w="3859"/>
            <w:tcMar>
              <w:top w:w="85" w:type="dxa"/>
              <w:bottom w:w="85" w:type="dxa"/>
              <w:start w:w="90" w:type="dxa"/>
              <w:end w:w="90" w:type="dxa"/>
            </w:tcMar>
            <w:vAlign w:val="top"/>
            <w:shd w:fill="EEF5F7" w:val="clear"/>
          </w:tcPr>
          <w:p>
            <w:pPr>
              <w:spacing w:after="30" w:line="247" w:lineRule="auto"/>
            </w:pPr>
            <w:r>
              <w:rPr>
                <w:b w:val="0"/>
                <w:sz w:val="18"/>
              </w:rPr>
              <w:t>Inspect imports and connected paths rather than trusting common identifier conventions.</w:t>
            </w:r>
          </w:p>
        </w:tc>
      </w:tr>
      <w:tr>
        <w:trPr>
          <w:cantSplit/>
        </w:trPr>
        <w:tc>
          <w:tcPr>
            <w:tcW w:type="dxa" w:w="2232"/>
            <w:tcMar>
              <w:top w:w="85" w:type="dxa"/>
              <w:bottom w:w="85" w:type="dxa"/>
              <w:start w:w="90" w:type="dxa"/>
              <w:end w:w="90" w:type="dxa"/>
            </w:tcMar>
            <w:vAlign w:val="top"/>
          </w:tcPr>
          <w:p>
            <w:pPr>
              <w:spacing w:after="30" w:line="247" w:lineRule="auto"/>
            </w:pPr>
            <w:r>
              <w:rPr>
                <w:b w:val="0"/>
                <w:sz w:val="18"/>
              </w:rPr>
              <w:t>How are endpoints multihomed?</w:t>
            </w:r>
          </w:p>
        </w:tc>
        <w:tc>
          <w:tcPr>
            <w:tcW w:type="dxa" w:w="4190"/>
            <w:tcMar>
              <w:top w:w="85" w:type="dxa"/>
              <w:bottom w:w="85" w:type="dxa"/>
              <w:start w:w="90" w:type="dxa"/>
              <w:end w:w="90" w:type="dxa"/>
            </w:tcMar>
            <w:vAlign w:val="top"/>
          </w:tcPr>
          <w:p>
            <w:pPr>
              <w:spacing w:after="30" w:line="247" w:lineRule="auto"/>
            </w:pPr>
            <w:r>
              <w:rPr>
                <w:b w:val="0"/>
                <w:sz w:val="18"/>
              </w:rPr>
              <w:t>Choose the supported host/appliance mechanism and its peer/segment dependencies.</w:t>
            </w:r>
          </w:p>
        </w:tc>
        <w:tc>
          <w:tcPr>
            <w:tcW w:type="dxa" w:w="3859"/>
            <w:tcMar>
              <w:top w:w="85" w:type="dxa"/>
              <w:bottom w:w="85" w:type="dxa"/>
              <w:start w:w="90" w:type="dxa"/>
              <w:end w:w="90" w:type="dxa"/>
            </w:tcMar>
            <w:vAlign w:val="top"/>
          </w:tcPr>
          <w:p>
            <w:pPr>
              <w:spacing w:after="30" w:line="247" w:lineRule="auto"/>
            </w:pPr>
            <w:r>
              <w:rPr>
                <w:b w:val="0"/>
                <w:sz w:val="18"/>
              </w:rPr>
              <w:t>Observe link and peer failure, orphan behaviour, restoration and management reachability.</w:t>
            </w:r>
          </w:p>
        </w:tc>
      </w:tr>
      <w:tr>
        <w:trPr>
          <w:cantSplit/>
        </w:trPr>
        <w:tc>
          <w:tcPr>
            <w:tcW w:type="dxa" w:w="2232"/>
            <w:tcMar>
              <w:top w:w="85" w:type="dxa"/>
              <w:bottom w:w="85" w:type="dxa"/>
              <w:start w:w="90" w:type="dxa"/>
              <w:end w:w="90" w:type="dxa"/>
            </w:tcMar>
            <w:vAlign w:val="top"/>
            <w:shd w:fill="EEF5F7" w:val="clear"/>
          </w:tcPr>
          <w:p>
            <w:pPr>
              <w:spacing w:after="30" w:line="247" w:lineRule="auto"/>
            </w:pPr>
            <w:r>
              <w:rPr>
                <w:b w:val="0"/>
                <w:sz w:val="18"/>
              </w:rPr>
              <w:t>How do vendor stacks connect?</w:t>
            </w:r>
          </w:p>
        </w:tc>
        <w:tc>
          <w:tcPr>
            <w:tcW w:type="dxa" w:w="4190"/>
            <w:tcMar>
              <w:top w:w="85" w:type="dxa"/>
              <w:bottom w:w="85" w:type="dxa"/>
              <w:start w:w="90" w:type="dxa"/>
              <w:end w:w="90" w:type="dxa"/>
            </w:tcMar>
            <w:vAlign w:val="top"/>
            <w:shd w:fill="EEF5F7" w:val="clear"/>
          </w:tcPr>
          <w:p>
            <w:pPr>
              <w:spacing w:after="30" w:line="247" w:lineRule="auto"/>
            </w:pPr>
            <w:r>
              <w:rPr>
                <w:b w:val="0"/>
                <w:sz w:val="18"/>
              </w:rPr>
              <w:t>Use the approved routed/security handoff; direct overlay federation is not the base service.</w:t>
            </w:r>
          </w:p>
        </w:tc>
        <w:tc>
          <w:tcPr>
            <w:tcW w:type="dxa" w:w="3859"/>
            <w:tcMar>
              <w:top w:w="85" w:type="dxa"/>
              <w:bottom w:w="85" w:type="dxa"/>
              <w:start w:w="90" w:type="dxa"/>
              <w:end w:w="90" w:type="dxa"/>
            </w:tcMar>
            <w:vAlign w:val="top"/>
            <w:shd w:fill="EEF5F7" w:val="clear"/>
          </w:tcPr>
          <w:p>
            <w:pPr>
              <w:spacing w:after="30" w:line="247" w:lineRule="auto"/>
            </w:pPr>
            <w:r>
              <w:rPr>
                <w:b w:val="0"/>
                <w:sz w:val="18"/>
              </w:rPr>
              <w:t>Confirm transport reachability without unapproved routing or policy authority crossing stacks.</w:t>
            </w:r>
          </w:p>
        </w:tc>
      </w:tr>
    </w:tbl>
    <w:p>
      <w:pPr>
        <w:spacing w:after="0" w:before="0" w:line="120"/>
      </w:pPr>
    </w:p>
    <w:p>
      <w:r>
        <w:t>Assign one writer to each switch configuration or independently owned subresource. A vendor installer, a network automation system and Terraform must not each believe they own the same routing or interface object. Before adoption, compare intended configuration with the live inventory and review a non-destructive change scope.</w:t>
      </w:r>
    </w:p>
    <w:p>
      <w:r>
        <w:t>Physical installation, power, optics and cabling are accepted through qualified site personnel and manufacturer procedures. This document supplies ownership and acceptance records, not hazardous installation instructions or unverified network-OS commands.</w:t>
      </w:r>
    </w:p>
    <w:p>
      <w:pPr>
        <w:pStyle w:val="Caption"/>
      </w:pPr>
      <w:r>
        <w:t xml:space="preserve">Continue with: </w:t>
      </w:r>
      <w:hyperlink r:id="rId35">
        <w:r>
          <w:rPr>
            <w:color w:val="0B6B70"/>
            <w:u w:val="single"/>
          </w:rPr>
          <w:t>PBS §1</w:t>
        </w:r>
      </w:hyperlink>
      <w:r>
        <w:t xml:space="preserve">  •  </w:t>
      </w:r>
      <w:hyperlink r:id="rId36">
        <w:r>
          <w:rPr>
            <w:color w:val="0B6B70"/>
            <w:u w:val="single"/>
          </w:rPr>
          <w:t>OPS §3</w:t>
        </w:r>
      </w:hyperlink>
    </w:p>
    <w:p>
      <w:r>
        <w:br w:type="page"/>
      </w:r>
    </w:p>
    <w:p>
      <w:pPr>
        <w:pStyle w:val="Heading1"/>
      </w:pPr>
      <w:r>
        <w:t>6. Issue an interface control and handoff record</w:t>
      </w:r>
      <w:bookmarkStart w:id="105" w:name="NBD_06"/>
      <w:bookmarkEnd w:id="105"/>
    </w:p>
    <w:p>
      <w:r>
        <w:t>Use this record for each material interface. Link it to the existing LLD network/route/flow schedules so the same facts are not maintained independently.</w:t>
      </w:r>
    </w:p>
    <w:p>
      <w:pPr>
        <w:pStyle w:val="Caption"/>
      </w:pPr>
      <w:r>
        <w:t xml:space="preserve">Design basis and related records: </w:t>
      </w:r>
      <w:hyperlink r:id="rId37">
        <w:r>
          <w:rPr>
            <w:color w:val="0B6B70"/>
            <w:u w:val="single"/>
          </w:rPr>
          <w:t>ET §3</w:t>
        </w:r>
      </w:hyperlink>
      <w:r>
        <w:t xml:space="preserve">  •  </w:t>
      </w:r>
      <w:hyperlink r:id="rId38">
        <w:r>
          <w:rPr>
            <w:color w:val="0B6B70"/>
            <w:u w:val="single"/>
          </w:rPr>
          <w:t>ET §4</w:t>
        </w:r>
      </w:hyperlink>
      <w:r>
        <w:t xml:space="preserve">  •  </w:t>
      </w:r>
      <w:hyperlink r:id="rId39">
        <w:r>
          <w:rPr>
            <w:color w:val="0B6B70"/>
            <w:u w:val="single"/>
          </w:rPr>
          <w:t>PROV §1</w:t>
        </w:r>
      </w:hyperlink>
    </w:p>
    <w:tbl>
      <w:tblPr>
        <w:tblW w:type="auto" w:w="0"/>
        <w:jc w:val="center"/>
        <w:tblLayout w:type="fixed"/>
        <w:tblLook w:firstColumn="1" w:firstRow="1" w:lastColumn="0" w:lastRow="0" w:noHBand="0" w:noVBand="1" w:val="04A0"/>
      </w:tblPr>
      <w:tblGrid>
        <w:gridCol w:w="2045"/>
        <w:gridCol w:w="5141"/>
        <w:gridCol w:w="3096"/>
      </w:tblGrid>
      <w:tr>
        <w:trPr>
          <w:tblHeader/>
        </w:trPr>
        <w:tc>
          <w:tcPr>
            <w:tcW w:type="dxa" w:w="2045"/>
            <w:tcMar>
              <w:top w:w="85" w:type="dxa"/>
              <w:bottom w:w="85" w:type="dxa"/>
              <w:start w:w="90" w:type="dxa"/>
              <w:end w:w="90" w:type="dxa"/>
            </w:tcMar>
            <w:vAlign w:val="top"/>
            <w:shd w:fill="15384A" w:val="clear"/>
          </w:tcPr>
          <w:p>
            <w:pPr>
              <w:spacing w:after="30" w:line="247" w:lineRule="auto"/>
            </w:pPr>
            <w:r>
              <w:rPr>
                <w:b/>
                <w:color w:val="FFFFFF"/>
                <w:sz w:val="18"/>
              </w:rPr>
              <w:t>Field</w:t>
            </w:r>
          </w:p>
        </w:tc>
        <w:tc>
          <w:tcPr>
            <w:tcW w:type="dxa" w:w="5141"/>
            <w:tcMar>
              <w:top w:w="85" w:type="dxa"/>
              <w:bottom w:w="85" w:type="dxa"/>
              <w:start w:w="90" w:type="dxa"/>
              <w:end w:w="90" w:type="dxa"/>
            </w:tcMar>
            <w:vAlign w:val="top"/>
            <w:shd w:fill="15384A" w:val="clear"/>
          </w:tcPr>
          <w:p>
            <w:pPr>
              <w:spacing w:after="30" w:line="247" w:lineRule="auto"/>
            </w:pPr>
            <w:r>
              <w:rPr>
                <w:b/>
                <w:color w:val="FFFFFF"/>
                <w:sz w:val="18"/>
              </w:rPr>
              <w:t>Required interpretation</w:t>
            </w:r>
          </w:p>
        </w:tc>
        <w:tc>
          <w:tcPr>
            <w:tcW w:type="dxa" w:w="3096"/>
            <w:tcMar>
              <w:top w:w="85" w:type="dxa"/>
              <w:bottom w:w="85" w:type="dxa"/>
              <w:start w:w="90" w:type="dxa"/>
              <w:end w:w="90" w:type="dxa"/>
            </w:tcMar>
            <w:vAlign w:val="top"/>
            <w:shd w:fill="15384A" w:val="clear"/>
          </w:tcPr>
          <w:p>
            <w:pPr>
              <w:spacing w:after="30" w:line="247" w:lineRule="auto"/>
            </w:pPr>
            <w:r>
              <w:rPr>
                <w:b/>
                <w:color w:val="FFFFFF"/>
                <w:sz w:val="18"/>
              </w:rPr>
              <w:t>Working response</w:t>
            </w:r>
          </w:p>
        </w:tc>
      </w:tr>
      <w:tr>
        <w:trPr>
          <w:cantSplit/>
        </w:trPr>
        <w:tc>
          <w:tcPr>
            <w:tcW w:type="dxa" w:w="2045"/>
            <w:tcMar>
              <w:top w:w="85" w:type="dxa"/>
              <w:bottom w:w="85" w:type="dxa"/>
              <w:start w:w="90" w:type="dxa"/>
              <w:end w:w="90" w:type="dxa"/>
            </w:tcMar>
            <w:vAlign w:val="top"/>
          </w:tcPr>
          <w:p>
            <w:pPr>
              <w:spacing w:after="30" w:line="247" w:lineRule="auto"/>
            </w:pPr>
            <w:r>
              <w:rPr>
                <w:b w:val="0"/>
                <w:sz w:val="18"/>
              </w:rPr>
              <w:t>Identity / endpoints</w:t>
            </w:r>
          </w:p>
        </w:tc>
        <w:tc>
          <w:tcPr>
            <w:tcW w:type="dxa" w:w="5141"/>
            <w:tcMar>
              <w:top w:w="85" w:type="dxa"/>
              <w:bottom w:w="85" w:type="dxa"/>
              <w:start w:w="90" w:type="dxa"/>
              <w:end w:w="90" w:type="dxa"/>
            </w:tcMar>
            <w:vAlign w:val="top"/>
          </w:tcPr>
          <w:p>
            <w:pPr>
              <w:spacing w:after="30" w:line="247" w:lineRule="auto"/>
            </w:pPr>
            <w:r>
              <w:rPr>
                <w:b w:val="0"/>
                <w:sz w:val="18"/>
              </w:rPr>
              <w:t>Stable interface ID; producer and consumer native objects; both endpoint owners.</w:t>
            </w:r>
          </w:p>
        </w:tc>
        <w:tc>
          <w:tcPr>
            <w:tcW w:type="dxa" w:w="3096"/>
            <w:tcMar>
              <w:top w:w="85" w:type="dxa"/>
              <w:bottom w:w="85" w:type="dxa"/>
              <w:start w:w="90" w:type="dxa"/>
              <w:end w:w="90" w:type="dxa"/>
            </w:tcMar>
            <w:vAlign w:val="top"/>
            <w:shd w:fill="EEF5F7" w:val="clear"/>
          </w:tcPr>
          <w:p>
            <w:pPr>
              <w:spacing w:after="30" w:line="247" w:lineRule="auto"/>
            </w:pPr>
            <w:sdt>
              <w:sdtPr>
                <w:id w:val="10000"/>
                <w:tag w:val="NBD_INTERFACE_ID"/>
                <w:alias w:val="NBD INTERFACE ID"/>
                <w:text w:multiLine="1"/>
              </w:sdtPr>
              <w:sdtContent>
                <w:r>
                  <w:rPr>
                    <w:color w:val="0B6B70"/>
                  </w:rPr>
                  <w:t>[Enter nbd interface id]</w:t>
                </w:r>
              </w:sdtContent>
            </w:sdt>
          </w:p>
        </w:tc>
      </w:tr>
      <w:tr>
        <w:trPr>
          <w:cantSplit/>
        </w:trPr>
        <w:tc>
          <w:tcPr>
            <w:tcW w:type="dxa" w:w="2045"/>
            <w:tcMar>
              <w:top w:w="85" w:type="dxa"/>
              <w:bottom w:w="85" w:type="dxa"/>
              <w:start w:w="90" w:type="dxa"/>
              <w:end w:w="90" w:type="dxa"/>
            </w:tcMar>
            <w:vAlign w:val="top"/>
            <w:shd w:fill="EEF5F7" w:val="clear"/>
          </w:tcPr>
          <w:p>
            <w:pPr>
              <w:spacing w:after="30" w:line="247" w:lineRule="auto"/>
            </w:pPr>
            <w:r>
              <w:rPr>
                <w:b w:val="0"/>
                <w:sz w:val="18"/>
              </w:rPr>
              <w:t>Authority / membership</w:t>
            </w:r>
          </w:p>
        </w:tc>
        <w:tc>
          <w:tcPr>
            <w:tcW w:type="dxa" w:w="5141"/>
            <w:tcMar>
              <w:top w:w="85" w:type="dxa"/>
              <w:bottom w:w="85" w:type="dxa"/>
              <w:start w:w="90" w:type="dxa"/>
              <w:end w:w="90" w:type="dxa"/>
            </w:tcMar>
            <w:vAlign w:val="top"/>
            <w:shd w:fill="EEF5F7" w:val="clear"/>
          </w:tcPr>
          <w:p>
            <w:pPr>
              <w:spacing w:after="30" w:line="247" w:lineRule="auto"/>
            </w:pPr>
            <w:r>
              <w:rPr>
                <w:b w:val="0"/>
                <w:sz w:val="18"/>
              </w:rPr>
              <w:t>Domain and zone scope; who changes route, policy and endpoint membership.</w:t>
            </w:r>
          </w:p>
        </w:tc>
        <w:tc>
          <w:tcPr>
            <w:tcW w:type="dxa" w:w="3096"/>
            <w:tcMar>
              <w:top w:w="85" w:type="dxa"/>
              <w:bottom w:w="85" w:type="dxa"/>
              <w:start w:w="90" w:type="dxa"/>
              <w:end w:w="90" w:type="dxa"/>
            </w:tcMar>
            <w:vAlign w:val="top"/>
            <w:shd w:fill="EEF5F7" w:val="clear"/>
          </w:tcPr>
          <w:p>
            <w:pPr>
              <w:spacing w:after="30" w:line="247" w:lineRule="auto"/>
            </w:pPr>
            <w:sdt>
              <w:sdtPr>
                <w:id w:val="10001"/>
                <w:tag w:val="NBD_AUTHORITY"/>
                <w:alias w:val="NBD AUTHORITY"/>
                <w:text w:multiLine="1"/>
              </w:sdtPr>
              <w:sdtContent>
                <w:r>
                  <w:rPr>
                    <w:color w:val="0B6B70"/>
                  </w:rPr>
                  <w:t>[Enter nbd authority]</w:t>
                </w:r>
              </w:sdtContent>
            </w:sdt>
          </w:p>
        </w:tc>
      </w:tr>
      <w:tr>
        <w:trPr>
          <w:cantSplit/>
        </w:trPr>
        <w:tc>
          <w:tcPr>
            <w:tcW w:type="dxa" w:w="2045"/>
            <w:tcMar>
              <w:top w:w="85" w:type="dxa"/>
              <w:bottom w:w="85" w:type="dxa"/>
              <w:start w:w="90" w:type="dxa"/>
              <w:end w:w="90" w:type="dxa"/>
            </w:tcMar>
            <w:vAlign w:val="top"/>
          </w:tcPr>
          <w:p>
            <w:pPr>
              <w:spacing w:after="30" w:line="247" w:lineRule="auto"/>
            </w:pPr>
            <w:r>
              <w:rPr>
                <w:b w:val="0"/>
                <w:sz w:val="18"/>
              </w:rPr>
              <w:t>Forward and reply</w:t>
            </w:r>
          </w:p>
        </w:tc>
        <w:tc>
          <w:tcPr>
            <w:tcW w:type="dxa" w:w="5141"/>
            <w:tcMar>
              <w:top w:w="85" w:type="dxa"/>
              <w:bottom w:w="85" w:type="dxa"/>
              <w:start w:w="90" w:type="dxa"/>
              <w:end w:w="90" w:type="dxa"/>
            </w:tcMar>
            <w:vAlign w:val="top"/>
          </w:tcPr>
          <w:p>
            <w:pPr>
              <w:spacing w:after="30" w:line="247" w:lineRule="auto"/>
            </w:pPr>
            <w:r>
              <w:rPr>
                <w:b w:val="0"/>
                <w:sz w:val="18"/>
              </w:rPr>
              <w:t>Actual family, prefix, next hop, interface, route source and reverse-path owner.</w:t>
            </w:r>
          </w:p>
        </w:tc>
        <w:tc>
          <w:tcPr>
            <w:tcW w:type="dxa" w:w="3096"/>
            <w:tcMar>
              <w:top w:w="85" w:type="dxa"/>
              <w:bottom w:w="85" w:type="dxa"/>
              <w:start w:w="90" w:type="dxa"/>
              <w:end w:w="90" w:type="dxa"/>
            </w:tcMar>
            <w:vAlign w:val="top"/>
            <w:shd w:fill="EEF5F7" w:val="clear"/>
          </w:tcPr>
          <w:p>
            <w:pPr>
              <w:spacing w:after="30" w:line="247" w:lineRule="auto"/>
            </w:pPr>
            <w:sdt>
              <w:sdtPr>
                <w:id w:val="10002"/>
                <w:tag w:val="NBD_ROUTING"/>
                <w:alias w:val="NBD ROUTING"/>
                <w:text w:multiLine="1"/>
              </w:sdtPr>
              <w:sdtContent>
                <w:r>
                  <w:rPr>
                    <w:color w:val="0B6B70"/>
                  </w:rPr>
                  <w:t>[Enter nbd routing]</w:t>
                </w:r>
              </w:sdtContent>
            </w:sdt>
          </w:p>
        </w:tc>
      </w:tr>
      <w:tr>
        <w:trPr>
          <w:cantSplit/>
        </w:trPr>
        <w:tc>
          <w:tcPr>
            <w:tcW w:type="dxa" w:w="2045"/>
            <w:tcMar>
              <w:top w:w="85" w:type="dxa"/>
              <w:bottom w:w="85" w:type="dxa"/>
              <w:start w:w="90" w:type="dxa"/>
              <w:end w:w="90" w:type="dxa"/>
            </w:tcMar>
            <w:vAlign w:val="top"/>
            <w:shd w:fill="EEF5F7" w:val="clear"/>
          </w:tcPr>
          <w:p>
            <w:pPr>
              <w:spacing w:after="30" w:line="247" w:lineRule="auto"/>
            </w:pPr>
            <w:r>
              <w:rPr>
                <w:b w:val="0"/>
                <w:sz w:val="18"/>
              </w:rPr>
              <w:t>Security and identity</w:t>
            </w:r>
          </w:p>
        </w:tc>
        <w:tc>
          <w:tcPr>
            <w:tcW w:type="dxa" w:w="5141"/>
            <w:tcMar>
              <w:top w:w="85" w:type="dxa"/>
              <w:bottom w:w="85" w:type="dxa"/>
              <w:start w:w="90" w:type="dxa"/>
              <w:end w:w="90" w:type="dxa"/>
            </w:tcMar>
            <w:vAlign w:val="top"/>
            <w:shd w:fill="EEF5F7" w:val="clear"/>
          </w:tcPr>
          <w:p>
            <w:pPr>
              <w:spacing w:after="30" w:line="247" w:lineRule="auto"/>
            </w:pPr>
            <w:r>
              <w:rPr>
                <w:b w:val="0"/>
                <w:sz w:val="18"/>
              </w:rPr>
              <w:t>Permitted initiator/service, effective control, source validation and service entitlement.</w:t>
            </w:r>
          </w:p>
        </w:tc>
        <w:tc>
          <w:tcPr>
            <w:tcW w:type="dxa" w:w="3096"/>
            <w:tcMar>
              <w:top w:w="85" w:type="dxa"/>
              <w:bottom w:w="85" w:type="dxa"/>
              <w:start w:w="90" w:type="dxa"/>
              <w:end w:w="90" w:type="dxa"/>
            </w:tcMar>
            <w:vAlign w:val="top"/>
            <w:shd w:fill="EEF5F7" w:val="clear"/>
          </w:tcPr>
          <w:p>
            <w:pPr>
              <w:spacing w:after="30" w:line="247" w:lineRule="auto"/>
            </w:pPr>
            <w:sdt>
              <w:sdtPr>
                <w:id w:val="10003"/>
                <w:tag w:val="NBD_ENFORCEMENT"/>
                <w:alias w:val="NBD ENFORCEMENT"/>
                <w:text w:multiLine="1"/>
              </w:sdtPr>
              <w:sdtContent>
                <w:r>
                  <w:rPr>
                    <w:color w:val="0B6B70"/>
                  </w:rPr>
                  <w:t>[Enter nbd enforcement]</w:t>
                </w:r>
              </w:sdtContent>
            </w:sdt>
          </w:p>
        </w:tc>
      </w:tr>
      <w:tr>
        <w:trPr>
          <w:cantSplit/>
        </w:trPr>
        <w:tc>
          <w:tcPr>
            <w:tcW w:type="dxa" w:w="2045"/>
            <w:tcMar>
              <w:top w:w="85" w:type="dxa"/>
              <w:bottom w:w="85" w:type="dxa"/>
              <w:start w:w="90" w:type="dxa"/>
              <w:end w:w="90" w:type="dxa"/>
            </w:tcMar>
            <w:vAlign w:val="top"/>
          </w:tcPr>
          <w:p>
            <w:pPr>
              <w:spacing w:after="30" w:line="247" w:lineRule="auto"/>
            </w:pPr>
            <w:r>
              <w:rPr>
                <w:b w:val="0"/>
                <w:sz w:val="18"/>
              </w:rPr>
              <w:t>Capacity / failure</w:t>
            </w:r>
          </w:p>
        </w:tc>
        <w:tc>
          <w:tcPr>
            <w:tcW w:type="dxa" w:w="5141"/>
            <w:tcMar>
              <w:top w:w="85" w:type="dxa"/>
              <w:bottom w:w="85" w:type="dxa"/>
              <w:start w:w="90" w:type="dxa"/>
              <w:end w:w="90" w:type="dxa"/>
            </w:tcMar>
            <w:vAlign w:val="top"/>
          </w:tcPr>
          <w:p>
            <w:pPr>
              <w:spacing w:after="30" w:line="247" w:lineRule="auto"/>
            </w:pPr>
            <w:r>
              <w:rPr>
                <w:b w:val="0"/>
                <w:sz w:val="18"/>
              </w:rPr>
              <w:t>Accepted MTU, limits, HA mode, failure dependencies and safe loss behaviour.</w:t>
            </w:r>
          </w:p>
        </w:tc>
        <w:tc>
          <w:tcPr>
            <w:tcW w:type="dxa" w:w="3096"/>
            <w:tcMar>
              <w:top w:w="85" w:type="dxa"/>
              <w:bottom w:w="85" w:type="dxa"/>
              <w:start w:w="90" w:type="dxa"/>
              <w:end w:w="90" w:type="dxa"/>
            </w:tcMar>
            <w:vAlign w:val="top"/>
            <w:shd w:fill="EEF5F7" w:val="clear"/>
          </w:tcPr>
          <w:p>
            <w:pPr>
              <w:spacing w:after="30" w:line="247" w:lineRule="auto"/>
            </w:pPr>
            <w:sdt>
              <w:sdtPr>
                <w:id w:val="10004"/>
                <w:tag w:val="NBD_FAILURE_BUDGET"/>
                <w:alias w:val="NBD FAILURE BUDGET"/>
                <w:text w:multiLine="1"/>
              </w:sdtPr>
              <w:sdtContent>
                <w:r>
                  <w:rPr>
                    <w:color w:val="0B6B70"/>
                  </w:rPr>
                  <w:t>[Enter nbd failure budget]</w:t>
                </w:r>
              </w:sdtContent>
            </w:sdt>
          </w:p>
        </w:tc>
      </w:tr>
      <w:tr>
        <w:trPr>
          <w:cantSplit/>
        </w:trPr>
        <w:tc>
          <w:tcPr>
            <w:tcW w:type="dxa" w:w="2045"/>
            <w:tcMar>
              <w:top w:w="85" w:type="dxa"/>
              <w:bottom w:w="85" w:type="dxa"/>
              <w:start w:w="90" w:type="dxa"/>
              <w:end w:w="90" w:type="dxa"/>
            </w:tcMar>
            <w:vAlign w:val="top"/>
            <w:shd w:fill="EEF5F7" w:val="clear"/>
          </w:tcPr>
          <w:p>
            <w:pPr>
              <w:spacing w:after="30" w:line="247" w:lineRule="auto"/>
            </w:pPr>
            <w:r>
              <w:rPr>
                <w:b w:val="0"/>
                <w:sz w:val="18"/>
              </w:rPr>
              <w:t>Acceptance / lifecycle</w:t>
            </w:r>
          </w:p>
        </w:tc>
        <w:tc>
          <w:tcPr>
            <w:tcW w:type="dxa" w:w="5141"/>
            <w:tcMar>
              <w:top w:w="85" w:type="dxa"/>
              <w:bottom w:w="85" w:type="dxa"/>
              <w:start w:w="90" w:type="dxa"/>
              <w:end w:w="90" w:type="dxa"/>
            </w:tcMar>
            <w:vAlign w:val="top"/>
            <w:shd w:fill="EEF5F7" w:val="clear"/>
          </w:tcPr>
          <w:p>
            <w:pPr>
              <w:spacing w:after="30" w:line="247" w:lineRule="auto"/>
            </w:pPr>
            <w:r>
              <w:rPr>
                <w:b w:val="0"/>
                <w:sz w:val="18"/>
              </w:rPr>
              <w:t>Configuration revision, observations, both owners’ handoff, reuse and withdrawal.</w:t>
            </w:r>
          </w:p>
        </w:tc>
        <w:tc>
          <w:tcPr>
            <w:tcW w:type="dxa" w:w="3096"/>
            <w:tcMar>
              <w:top w:w="85" w:type="dxa"/>
              <w:bottom w:w="85" w:type="dxa"/>
              <w:start w:w="90" w:type="dxa"/>
              <w:end w:w="90" w:type="dxa"/>
            </w:tcMar>
            <w:vAlign w:val="top"/>
            <w:shd w:fill="EEF5F7" w:val="clear"/>
          </w:tcPr>
          <w:p>
            <w:pPr>
              <w:spacing w:after="30" w:line="247" w:lineRule="auto"/>
            </w:pPr>
            <w:sdt>
              <w:sdtPr>
                <w:id w:val="10005"/>
                <w:tag w:val="NBD_ACCEPTANCE"/>
                <w:alias w:val="NBD ACCEPTANCE"/>
                <w:text w:multiLine="1"/>
              </w:sdtPr>
              <w:sdtContent>
                <w:r>
                  <w:rPr>
                    <w:color w:val="0B6B70"/>
                  </w:rPr>
                  <w:t>[Enter nbd acceptance]</w:t>
                </w:r>
              </w:sdtContent>
            </w:sdt>
          </w:p>
        </w:tc>
      </w:tr>
    </w:tbl>
    <w:p>
      <w:pPr>
        <w:spacing w:after="0" w:before="0" w:line="120"/>
      </w:pPr>
    </w:p>
    <w:p>
      <w:r>
        <w:t>The producer signs off the available capability and permitted use; the consumer verifies that its own dependency is satisfied. A network handoff is incomplete when only one endpoint is known, the return path is unowned, or the selected feature lacks release-specific support.</w:t>
      </w:r>
    </w:p>
    <w:p>
      <w:r>
        <w:t>Publish minimal accepted outputs for dependent packages: identities, scope, supported operation, limits and current restrictions. Keep credential custody and sensitive native configuration inside the owning administrative boundary. This record may be stored in an existing change/inventory system; it does not require a new API service.</w:t>
      </w:r>
    </w:p>
    <w:p>
      <w:pPr>
        <w:pStyle w:val="Caption"/>
      </w:pPr>
      <w:r>
        <w:t xml:space="preserve">Continue with: </w:t>
      </w:r>
      <w:hyperlink r:id="rId15">
        <w:r>
          <w:rPr>
            <w:color w:val="0B6B70"/>
            <w:u w:val="single"/>
          </w:rPr>
          <w:t>PBS §8</w:t>
        </w:r>
      </w:hyperlink>
      <w:r>
        <w:t xml:space="preserve">  •  </w:t>
      </w:r>
      <w:hyperlink r:id="rId40">
        <w:r>
          <w:rPr>
            <w:color w:val="0B6B70"/>
            <w:u w:val="single"/>
          </w:rPr>
          <w:t>IT §3</w:t>
        </w:r>
      </w:hyperlink>
    </w:p>
    <w:p>
      <w:r>
        <w:br w:type="page"/>
      </w:r>
    </w:p>
    <w:p>
      <w:pPr>
        <w:pStyle w:val="Heading1"/>
      </w:pPr>
      <w:r>
        <w:t>7. Release the network design under an explicit failure model</w:t>
      </w:r>
      <w:bookmarkStart w:id="106" w:name="NBD_07"/>
      <w:bookmarkEnd w:id="106"/>
    </w:p>
    <w:p>
      <w:r>
        <w:t>Security continuity and availability are separate acceptance dimensions. A denied unauthorized flow may be correct while an allowed flow’s outage still fails the service target.</w:t>
      </w:r>
    </w:p>
    <w:p>
      <w:pPr>
        <w:pStyle w:val="Caption"/>
      </w:pPr>
      <w:r>
        <w:t xml:space="preserve">Design basis and related records: </w:t>
      </w:r>
      <w:hyperlink r:id="rId41">
        <w:r>
          <w:rPr>
            <w:color w:val="0B6B70"/>
            <w:u w:val="single"/>
          </w:rPr>
          <w:t>NET §6</w:t>
        </w:r>
      </w:hyperlink>
      <w:r>
        <w:t xml:space="preserve">  •  </w:t>
      </w:r>
      <w:hyperlink r:id="rId42">
        <w:r>
          <w:rPr>
            <w:color w:val="0B6B70"/>
            <w:u w:val="single"/>
          </w:rPr>
          <w:t>QUAL §3</w:t>
        </w:r>
      </w:hyperlink>
      <w:r>
        <w:t xml:space="preserve">  •  </w:t>
      </w:r>
      <w:hyperlink r:id="rId43">
        <w:r>
          <w:rPr>
            <w:color w:val="0B6B70"/>
            <w:u w:val="single"/>
          </w:rPr>
          <w:t>QCP §5</w:t>
        </w:r>
      </w:hyperlink>
    </w:p>
    <w:tbl>
      <w:tblPr>
        <w:tblW w:type="auto" w:w="0"/>
        <w:jc w:val="center"/>
        <w:tblLayout w:type="fixed"/>
        <w:tblLook w:firstColumn="1" w:firstRow="1" w:lastColumn="0" w:lastRow="0" w:noHBand="0" w:noVBand="1" w:val="04A0"/>
      </w:tblPr>
      <w:tblGrid>
        <w:gridCol w:w="2376"/>
        <w:gridCol w:w="4090"/>
        <w:gridCol w:w="3816"/>
      </w:tblGrid>
      <w:tr>
        <w:trPr>
          <w:tblHeader/>
        </w:trPr>
        <w:tc>
          <w:tcPr>
            <w:tcW w:type="dxa" w:w="2376"/>
            <w:tcMar>
              <w:top w:w="85" w:type="dxa"/>
              <w:bottom w:w="85" w:type="dxa"/>
              <w:start w:w="90" w:type="dxa"/>
              <w:end w:w="90" w:type="dxa"/>
            </w:tcMar>
            <w:vAlign w:val="top"/>
            <w:shd w:fill="15384A" w:val="clear"/>
          </w:tcPr>
          <w:p>
            <w:pPr>
              <w:spacing w:after="30" w:line="247" w:lineRule="auto"/>
            </w:pPr>
            <w:r>
              <w:rPr>
                <w:b/>
                <w:color w:val="FFFFFF"/>
                <w:sz w:val="18"/>
              </w:rPr>
              <w:t>Failure or change</w:t>
            </w:r>
          </w:p>
        </w:tc>
        <w:tc>
          <w:tcPr>
            <w:tcW w:type="dxa" w:w="4090"/>
            <w:tcMar>
              <w:top w:w="85" w:type="dxa"/>
              <w:bottom w:w="85" w:type="dxa"/>
              <w:start w:w="90" w:type="dxa"/>
              <w:end w:w="90" w:type="dxa"/>
            </w:tcMar>
            <w:vAlign w:val="top"/>
            <w:shd w:fill="15384A" w:val="clear"/>
          </w:tcPr>
          <w:p>
            <w:pPr>
              <w:spacing w:after="30" w:line="247" w:lineRule="auto"/>
            </w:pPr>
            <w:r>
              <w:rPr>
                <w:b/>
                <w:color w:val="FFFFFF"/>
                <w:sz w:val="18"/>
              </w:rPr>
              <w:t>Secure design expectation</w:t>
            </w:r>
          </w:p>
        </w:tc>
        <w:tc>
          <w:tcPr>
            <w:tcW w:type="dxa" w:w="3816"/>
            <w:tcMar>
              <w:top w:w="85" w:type="dxa"/>
              <w:bottom w:w="85" w:type="dxa"/>
              <w:start w:w="90" w:type="dxa"/>
              <w:end w:w="90" w:type="dxa"/>
            </w:tcMar>
            <w:vAlign w:val="top"/>
            <w:shd w:fill="15384A" w:val="clear"/>
          </w:tcPr>
          <w:p>
            <w:pPr>
              <w:spacing w:after="30" w:line="247" w:lineRule="auto"/>
            </w:pPr>
            <w:r>
              <w:rPr>
                <w:b/>
                <w:color w:val="FFFFFF"/>
                <w:sz w:val="18"/>
              </w:rPr>
              <w:t>Separate service evidence</w:t>
            </w:r>
          </w:p>
        </w:tc>
      </w:tr>
      <w:tr>
        <w:trPr>
          <w:cantSplit/>
        </w:trPr>
        <w:tc>
          <w:tcPr>
            <w:tcW w:type="dxa" w:w="2376"/>
            <w:tcMar>
              <w:top w:w="85" w:type="dxa"/>
              <w:bottom w:w="85" w:type="dxa"/>
              <w:start w:w="90" w:type="dxa"/>
              <w:end w:w="90" w:type="dxa"/>
            </w:tcMar>
            <w:vAlign w:val="top"/>
          </w:tcPr>
          <w:p>
            <w:pPr>
              <w:spacing w:after="30" w:line="247" w:lineRule="auto"/>
            </w:pPr>
            <w:r>
              <w:rPr>
                <w:b w:val="0"/>
                <w:sz w:val="18"/>
              </w:rPr>
              <w:t>One edge member or uplink lost</w:t>
            </w:r>
          </w:p>
        </w:tc>
        <w:tc>
          <w:tcPr>
            <w:tcW w:type="dxa" w:w="4090"/>
            <w:tcMar>
              <w:top w:w="85" w:type="dxa"/>
              <w:bottom w:w="85" w:type="dxa"/>
              <w:start w:w="90" w:type="dxa"/>
              <w:end w:w="90" w:type="dxa"/>
            </w:tcMar>
            <w:vAlign w:val="top"/>
          </w:tcPr>
          <w:p>
            <w:pPr>
              <w:spacing w:after="30" w:line="247" w:lineRule="auto"/>
            </w:pPr>
            <w:r>
              <w:rPr>
                <w:b w:val="0"/>
                <w:sz w:val="18"/>
              </w:rPr>
              <w:t>No uninspected backup route or implicit permit; approved state handling remains enforced.</w:t>
            </w:r>
          </w:p>
        </w:tc>
        <w:tc>
          <w:tcPr>
            <w:tcW w:type="dxa" w:w="3816"/>
            <w:tcMar>
              <w:top w:w="85" w:type="dxa"/>
              <w:bottom w:w="85" w:type="dxa"/>
              <w:start w:w="90" w:type="dxa"/>
              <w:end w:w="90" w:type="dxa"/>
            </w:tcMar>
            <w:vAlign w:val="top"/>
          </w:tcPr>
          <w:p>
            <w:pPr>
              <w:spacing w:after="30" w:line="247" w:lineRule="auto"/>
            </w:pPr>
            <w:r>
              <w:rPr>
                <w:b w:val="0"/>
                <w:sz w:val="18"/>
              </w:rPr>
              <w:t>Established and new-session interruption, surviving load and convergence against the adopted target.</w:t>
            </w:r>
          </w:p>
        </w:tc>
      </w:tr>
      <w:tr>
        <w:trPr>
          <w:cantSplit/>
        </w:trPr>
        <w:tc>
          <w:tcPr>
            <w:tcW w:type="dxa" w:w="2376"/>
            <w:tcMar>
              <w:top w:w="85" w:type="dxa"/>
              <w:bottom w:w="85" w:type="dxa"/>
              <w:start w:w="90" w:type="dxa"/>
              <w:end w:w="90" w:type="dxa"/>
            </w:tcMar>
            <w:vAlign w:val="top"/>
            <w:shd w:fill="EEF5F7" w:val="clear"/>
          </w:tcPr>
          <w:p>
            <w:pPr>
              <w:spacing w:after="30" w:line="247" w:lineRule="auto"/>
            </w:pPr>
            <w:r>
              <w:rPr>
                <w:b w:val="0"/>
                <w:sz w:val="18"/>
              </w:rPr>
              <w:t>Routing or attachment inconsistency</w:t>
            </w:r>
          </w:p>
        </w:tc>
        <w:tc>
          <w:tcPr>
            <w:tcW w:type="dxa" w:w="4090"/>
            <w:tcMar>
              <w:top w:w="85" w:type="dxa"/>
              <w:bottom w:w="85" w:type="dxa"/>
              <w:start w:w="90" w:type="dxa"/>
              <w:end w:w="90" w:type="dxa"/>
            </w:tcMar>
            <w:vAlign w:val="top"/>
            <w:shd w:fill="EEF5F7" w:val="clear"/>
          </w:tcPr>
          <w:p>
            <w:pPr>
              <w:spacing w:after="30" w:line="247" w:lineRule="auto"/>
            </w:pPr>
            <w:r>
              <w:rPr>
                <w:b w:val="0"/>
                <w:sz w:val="18"/>
              </w:rPr>
              <w:t>Unverified endpoints remain restricted; no temporary shared transit to finish commissioning.</w:t>
            </w:r>
          </w:p>
        </w:tc>
        <w:tc>
          <w:tcPr>
            <w:tcW w:type="dxa" w:w="3816"/>
            <w:tcMar>
              <w:top w:w="85" w:type="dxa"/>
              <w:bottom w:w="85" w:type="dxa"/>
              <w:start w:w="90" w:type="dxa"/>
              <w:end w:w="90" w:type="dxa"/>
            </w:tcMar>
            <w:vAlign w:val="top"/>
            <w:shd w:fill="EEF5F7" w:val="clear"/>
          </w:tcPr>
          <w:p>
            <w:pPr>
              <w:spacing w:after="30" w:line="247" w:lineRule="auto"/>
            </w:pPr>
            <w:r>
              <w:rPr>
                <w:b w:val="0"/>
                <w:sz w:val="18"/>
              </w:rPr>
              <w:t>Which dependent services are unavailable and how the correct path is restored.</w:t>
            </w:r>
          </w:p>
        </w:tc>
      </w:tr>
      <w:tr>
        <w:trPr>
          <w:cantSplit/>
        </w:trPr>
        <w:tc>
          <w:tcPr>
            <w:tcW w:type="dxa" w:w="2376"/>
            <w:tcMar>
              <w:top w:w="85" w:type="dxa"/>
              <w:bottom w:w="85" w:type="dxa"/>
              <w:start w:w="90" w:type="dxa"/>
              <w:end w:w="90" w:type="dxa"/>
            </w:tcMar>
            <w:vAlign w:val="top"/>
          </w:tcPr>
          <w:p>
            <w:pPr>
              <w:spacing w:after="30" w:line="247" w:lineRule="auto"/>
            </w:pPr>
            <w:r>
              <w:rPr>
                <w:b w:val="0"/>
                <w:sz w:val="18"/>
              </w:rPr>
              <w:t>Service-side return path lost</w:t>
            </w:r>
          </w:p>
        </w:tc>
        <w:tc>
          <w:tcPr>
            <w:tcW w:type="dxa" w:w="4090"/>
            <w:tcMar>
              <w:top w:w="85" w:type="dxa"/>
              <w:bottom w:w="85" w:type="dxa"/>
              <w:start w:w="90" w:type="dxa"/>
              <w:end w:w="90" w:type="dxa"/>
            </w:tcMar>
            <w:vAlign w:val="top"/>
          </w:tcPr>
          <w:p>
            <w:pPr>
              <w:spacing w:after="30" w:line="247" w:lineRule="auto"/>
            </w:pPr>
            <w:r>
              <w:rPr>
                <w:b w:val="0"/>
                <w:sz w:val="18"/>
              </w:rPr>
              <w:t>Do not use another tenant context as a generic fallback.</w:t>
            </w:r>
          </w:p>
        </w:tc>
        <w:tc>
          <w:tcPr>
            <w:tcW w:type="dxa" w:w="3816"/>
            <w:tcMar>
              <w:top w:w="85" w:type="dxa"/>
              <w:bottom w:w="85" w:type="dxa"/>
              <w:start w:w="90" w:type="dxa"/>
              <w:end w:w="90" w:type="dxa"/>
            </w:tcMar>
            <w:vAlign w:val="top"/>
          </w:tcPr>
          <w:p>
            <w:pPr>
              <w:spacing w:after="30" w:line="247" w:lineRule="auto"/>
            </w:pPr>
            <w:r>
              <w:rPr>
                <w:b w:val="0"/>
                <w:sz w:val="18"/>
              </w:rPr>
              <w:t>Loss scope, detection, safe repair and successful post-repair replies.</w:t>
            </w:r>
          </w:p>
        </w:tc>
      </w:tr>
      <w:tr>
        <w:trPr>
          <w:cantSplit/>
        </w:trPr>
        <w:tc>
          <w:tcPr>
            <w:tcW w:type="dxa" w:w="2376"/>
            <w:tcMar>
              <w:top w:w="85" w:type="dxa"/>
              <w:bottom w:w="85" w:type="dxa"/>
              <w:start w:w="90" w:type="dxa"/>
              <w:end w:w="90" w:type="dxa"/>
            </w:tcMar>
            <w:vAlign w:val="top"/>
            <w:shd w:fill="EEF5F7" w:val="clear"/>
          </w:tcPr>
          <w:p>
            <w:pPr>
              <w:spacing w:after="30" w:line="247" w:lineRule="auto"/>
            </w:pPr>
            <w:r>
              <w:rPr>
                <w:b w:val="0"/>
                <w:sz w:val="18"/>
              </w:rPr>
              <w:t>Management or telemetry loss</w:t>
            </w:r>
          </w:p>
        </w:tc>
        <w:tc>
          <w:tcPr>
            <w:tcW w:type="dxa" w:w="4090"/>
            <w:tcMar>
              <w:top w:w="85" w:type="dxa"/>
              <w:bottom w:w="85" w:type="dxa"/>
              <w:start w:w="90" w:type="dxa"/>
              <w:end w:w="90" w:type="dxa"/>
            </w:tcMar>
            <w:vAlign w:val="top"/>
            <w:shd w:fill="EEF5F7" w:val="clear"/>
          </w:tcPr>
          <w:p>
            <w:pPr>
              <w:spacing w:after="30" w:line="247" w:lineRule="auto"/>
            </w:pPr>
            <w:r>
              <w:rPr>
                <w:b w:val="0"/>
                <w:sz w:val="18"/>
              </w:rPr>
              <w:t>No new privilege or permit path; invoke the approved access/logging loss policy.</w:t>
            </w:r>
          </w:p>
        </w:tc>
        <w:tc>
          <w:tcPr>
            <w:tcW w:type="dxa" w:w="3816"/>
            <w:tcMar>
              <w:top w:w="85" w:type="dxa"/>
              <w:bottom w:w="85" w:type="dxa"/>
              <w:start w:w="90" w:type="dxa"/>
              <w:end w:w="90" w:type="dxa"/>
            </w:tcMar>
            <w:vAlign w:val="top"/>
            <w:shd w:fill="EEF5F7" w:val="clear"/>
          </w:tcPr>
          <w:p>
            <w:pPr>
              <w:spacing w:after="30" w:line="247" w:lineRule="auto"/>
            </w:pPr>
            <w:r>
              <w:rPr>
                <w:b w:val="0"/>
                <w:sz w:val="18"/>
              </w:rPr>
              <w:t>Existing operation, buffers, evidence gaps and recoverability of the required control.</w:t>
            </w:r>
          </w:p>
        </w:tc>
      </w:tr>
    </w:tbl>
    <w:p>
      <w:pPr>
        <w:spacing w:after="0" w:before="0" w:line="120"/>
      </w:pPr>
    </w:p>
    <w:p>
      <w:r>
        <w:t>A proposed capacity example illustrates the release decision. If surviving inspected capacity is 8 Gbit/s, an explicitly defined operating reserve is 1.5 Gbit/s, and existing commitment is 5.5 Gbit/s, only 1 Gbit/s remains for new demand. A 1.2 Gbit/s request is 0.2 Gbit/s above that bound even when compute is available. These are local example values, not product benchmarks.</w:t>
      </w:r>
    </w:p>
    <w:p>
      <w:r>
        <w:t>Repeat admission for packets per second, sessions, route/context limits, NAT ports where used, log rate and service dependencies. Do not add unlike units or subtract commitments twice. The actual engineering record uses measured sustained performance with enabled security features under the selected failure/load scenario.</w:t>
      </w:r>
    </w:p>
    <w:p>
      <w:pPr>
        <w:keepLines/>
        <w:spacing w:before="120"/>
        <w:shd w:fill="EEF5F7" w:val="clear"/>
        <w:pBdr>
          <w:left w:val="single" w:sz="12" w:space="8" w:color="0B6B70"/>
        </w:pBdr>
      </w:pPr>
      <w:r>
        <w:rPr>
          <w:b/>
        </w:rPr>
        <w:t>Release stops when any mandatory path, return route, limit, owner or observation is unresolved. Intrusive testing requires a separately authorized scope and restoration procedure.</w:t>
      </w:r>
    </w:p>
    <w:p>
      <w:pPr>
        <w:pStyle w:val="Caption"/>
      </w:pPr>
      <w:r>
        <w:t xml:space="preserve">Continue with: </w:t>
      </w:r>
      <w:hyperlink r:id="rId43">
        <w:r>
          <w:rPr>
            <w:color w:val="0B6B70"/>
            <w:u w:val="single"/>
          </w:rPr>
          <w:t>QCP §5</w:t>
        </w:r>
      </w:hyperlink>
      <w:r>
        <w:t xml:space="preserve">  •  </w:t>
      </w:r>
      <w:hyperlink r:id="rId44">
        <w:r>
          <w:rPr>
            <w:color w:val="0B6B70"/>
            <w:u w:val="single"/>
          </w:rPr>
          <w:t>OPS §2</w:t>
        </w:r>
      </w:hyperlink>
    </w:p>
    <w:sectPr w:rsidR="00FC693F" w:rsidRPr="0006063C" w:rsidSect="00034616">
      <w:headerReference w:type="default" r:id="rId9"/>
      <w:footerReference w:type="default" r:id="rId10"/>
      <w:pgSz w:w="12240" w:h="15840"/>
      <w:pgMar w:top="936" w:right="979" w:bottom="93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v1.1  •  Reference architecture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NBD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3"/>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7"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7"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7_Worked_Infrastructure_Design_and_Acceptance_v1_4.docx#WD14_S03" TargetMode="External"/><Relationship Id="rId12" Type="http://schemas.openxmlformats.org/officeDocument/2006/relationships/hyperlink" Target="../05_Reference_v1_4/07_Worked_Infrastructure_Design_and_Acceptance_v1_4.docx#WD14_S04" TargetMode="External"/><Relationship Id="rId13" Type="http://schemas.openxmlformats.org/officeDocument/2006/relationships/hyperlink" Target="../05_Reference_v1_4/02_Fabric_Security_and_Interfaces_v1_4.docx#NET_s_002" TargetMode="External"/><Relationship Id="rId14" Type="http://schemas.openxmlformats.org/officeDocument/2006/relationships/hyperlink" Target="Engineering_Kit.docx#EK_03" TargetMode="External"/><Relationship Id="rId15" Type="http://schemas.openxmlformats.org/officeDocument/2006/relationships/hyperlink" Target="Platform_Engineering_and_Build_Specifications.docx#PBS_08" TargetMode="External"/><Relationship Id="rId16" Type="http://schemas.openxmlformats.org/officeDocument/2006/relationships/hyperlink" Target="Network_and_Boundary_Detailed_Engineering.docx#NBD_06" TargetMode="External"/><Relationship Id="rId17" Type="http://schemas.openxmlformats.org/officeDocument/2006/relationships/hyperlink" Target="../05_Reference_v1_4/07_Worked_Infrastructure_Design_and_Acceptance_v1_4.docx#WD14_S05" TargetMode="External"/><Relationship Id="rId18" Type="http://schemas.openxmlformats.org/officeDocument/2006/relationships/hyperlink" Target="../05_Reference_v1_4/07_Worked_Infrastructure_Design_and_Acceptance_v1_4.docx#WD14_S06" TargetMode="External"/><Relationship Id="rId19" Type="http://schemas.openxmlformats.org/officeDocument/2006/relationships/hyperlink" Target="../05_Reference_v1_4/00_Reference_Architecture_v1_4.docx#RA_s_010" TargetMode="External"/><Relationship Id="rId20" Type="http://schemas.openxmlformats.org/officeDocument/2006/relationships/hyperlink" Target="../03_Implementation/Qualification_Campaign_and_Evidence_Procedures.docx#QCP_03" TargetMode="External"/><Relationship Id="rId21" Type="http://schemas.openxmlformats.org/officeDocument/2006/relationships/hyperlink" Target="Platform_Engineering_and_Build_Specifications.docx#PBS_05" TargetMode="External"/><Relationship Id="rId22" Type="http://schemas.openxmlformats.org/officeDocument/2006/relationships/hyperlink" Target="../05_Reference_v1_4/07_Worked_Infrastructure_Design_and_Acceptance_v1_4.docx#WD14_S07" TargetMode="External"/><Relationship Id="rId23" Type="http://schemas.openxmlformats.org/officeDocument/2006/relationships/hyperlink" Target="../05_Reference_v1_4/05_Shared_Services_Data_and_Recovery_v1_4.docx#SVC_s_002" TargetMode="External"/><Relationship Id="rId24" Type="http://schemas.openxmlformats.org/officeDocument/2006/relationships/hyperlink" Target="../05_Reference_v1_4/02_Fabric_Security_and_Interfaces_v1_4.docx#NET_s_004" TargetMode="External"/><Relationship Id="rId25" Type="http://schemas.openxmlformats.org/officeDocument/2006/relationships/hyperlink" Target="https://datatracker.ietf.org/doc/html/rfc7766" TargetMode="External"/><Relationship Id="rId26" Type="http://schemas.openxmlformats.org/officeDocument/2006/relationships/hyperlink" Target="../03_Implementation/Qualification_Campaign_and_Evidence_Procedures.docx#QCP_04" TargetMode="External"/><Relationship Id="rId27" Type="http://schemas.openxmlformats.org/officeDocument/2006/relationships/hyperlink" Target="../05_Reference_v1_4/02_Fabric_Security_and_Interfaces_v1_4.docx#NET_s_005" TargetMode="External"/><Relationship Id="rId28" Type="http://schemas.openxmlformats.org/officeDocument/2006/relationships/hyperlink" Target="../05_Reference_v1_4/07_Worked_Infrastructure_Design_and_Acceptance_v1_4.docx#WD14_S11" TargetMode="External"/><Relationship Id="rId29" Type="http://schemas.openxmlformats.org/officeDocument/2006/relationships/hyperlink" Target="Engineering_Kit.docx#EK_06" TargetMode="External"/><Relationship Id="rId30" Type="http://schemas.openxmlformats.org/officeDocument/2006/relationships/hyperlink" Target="https://www.rfc-editor.org/info/rfc7348/" TargetMode="External"/><Relationship Id="rId31" Type="http://schemas.openxmlformats.org/officeDocument/2006/relationships/hyperlink" Target="Network_and_Boundary_Detailed_Engineering.docx#NBD_07" TargetMode="External"/><Relationship Id="rId32" Type="http://schemas.openxmlformats.org/officeDocument/2006/relationships/hyperlink" Target="../05_Reference_v1_4/00_Reference_Architecture_v1_4.docx#RA_s_005" TargetMode="External"/><Relationship Id="rId33" Type="http://schemas.openxmlformats.org/officeDocument/2006/relationships/hyperlink" Target="../05_Reference_v1_4/02_Fabric_Security_and_Interfaces_v1_4.docx#NET_s_001" TargetMode="External"/><Relationship Id="rId34" Type="http://schemas.openxmlformats.org/officeDocument/2006/relationships/hyperlink" Target="Vendor_Realization_Cards.docx#VC_05" TargetMode="External"/><Relationship Id="rId35" Type="http://schemas.openxmlformats.org/officeDocument/2006/relationships/hyperlink" Target="Platform_Engineering_and_Build_Specifications.docx#PBS_01" TargetMode="External"/><Relationship Id="rId36" Type="http://schemas.openxmlformats.org/officeDocument/2006/relationships/hyperlink" Target="../03_Implementation/Operations_Recovery_and_Transition_Playbook.docx#OPS_03" TargetMode="External"/><Relationship Id="rId37" Type="http://schemas.openxmlformats.org/officeDocument/2006/relationships/hyperlink" Target="LLD_and_Engineering_Review_Template.docx#ET_03" TargetMode="External"/><Relationship Id="rId38" Type="http://schemas.openxmlformats.org/officeDocument/2006/relationships/hyperlink" Target="LLD_and_Engineering_Review_Template.docx#ET_04" TargetMode="External"/><Relationship Id="rId39" Type="http://schemas.openxmlformats.org/officeDocument/2006/relationships/hyperlink" Target="../05_Reference_v1_4/04_Provisioning_and_Commissioning_v1_4.docx#PROV_s_001" TargetMode="External"/><Relationship Id="rId40" Type="http://schemas.openxmlformats.org/officeDocument/2006/relationships/hyperlink" Target="../03_Implementation/MOP_Test_and_Handover_Template.docx#IT_03" TargetMode="External"/><Relationship Id="rId41" Type="http://schemas.openxmlformats.org/officeDocument/2006/relationships/hyperlink" Target="../05_Reference_v1_4/02_Fabric_Security_and_Interfaces_v1_4.docx#NET_s_006" TargetMode="External"/><Relationship Id="rId42" Type="http://schemas.openxmlformats.org/officeDocument/2006/relationships/hyperlink" Target="../05_Reference_v1_4/06_Site_Design_Qualification_and_Operations_v1_4.docx#QUAL_s_003" TargetMode="External"/><Relationship Id="rId43" Type="http://schemas.openxmlformats.org/officeDocument/2006/relationships/hyperlink" Target="../03_Implementation/Qualification_Campaign_and_Evidence_Procedures.docx#QCP_05" TargetMode="External"/><Relationship Id="rId44" Type="http://schemas.openxmlformats.org/officeDocument/2006/relationships/hyperlink" Target="../03_Implementation/Operations_Recovery_and_Transition_Playbook.docx#OPS_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Boundary and Shared-Service Detailed Engineering</dc:title>
  <dc:subject>Infrastructure architecture and delivery development</dc:subject>
  <dc:creator/>
  <cp:keywords/>
  <dc:description/>
  <cp:lastModifiedBy/>
  <cp:revision>1</cp:revision>
  <dcterms:created xsi:type="dcterms:W3CDTF">2013-12-23T23:15:00Z</dcterms:created>
  <dcterms:modified xsi:type="dcterms:W3CDTF">2013-12-23T23:15:00Z</dcterms:modified>
  <cp:category/>
  <cp:version>1.1</cp:version>
</cp:coreProperties>
</file>