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DELIVERY KIT  /  IK</w:t>
      </w:r>
    </w:p>
    <w:p>
      <w:pPr>
        <w:pStyle w:val="Title"/>
      </w:pPr>
      <w:r>
        <w:t>Implementation Kit — Commission, Qualify and Operate</w:t>
      </w:r>
    </w:p>
    <w:p>
      <w:pPr>
        <w:pStyle w:val="Subtitle"/>
      </w:pPr>
      <w:r>
        <w:t>Run the accepted design; record the actual result.</w:t>
      </w:r>
    </w:p>
    <w:p>
      <w:r>
        <w:t>Kit v1.0 • 16 September 2026 • Aligned to the frozen v1.4 reference architecture</w:t>
      </w:r>
    </w:p>
    <w:p>
      <w:pPr>
        <w:keepLines/>
        <w:spacing w:before="140" w:after="200"/>
        <w:shd w:fill="EEF5F7" w:val="clear"/>
        <w:pBdr>
          <w:left w:val="single" w:sz="12" w:space="8" w:color="0B6B70"/>
        </w:pBdr>
      </w:pPr>
      <w:r>
        <w:rPr>
          <w:b/>
        </w:rPr>
        <w:t>Working kit, not an approved site design or deployed platform. Templates, reference examples and live evidence are separate records.</w:t>
      </w:r>
    </w:p>
    <w:p>
      <w:r>
        <w:t>Use this kit after a controlled engineering release. The runbooks identify actions and evidence, while the approved site method supplies exact native commands and configuration. No runbook in this kit is authority to change an environment.</w:t>
      </w:r>
    </w:p>
    <w:p>
      <w:pPr>
        <w:pStyle w:val="Heading2"/>
      </w:pPr>
      <w:r>
        <w:t>Section links</w:t>
      </w:r>
    </w:p>
    <w:p>
      <w:pPr>
        <w:spacing w:after="60"/>
      </w:pPr>
      <w:r/>
      <w:hyperlink w:anchor="IK_01">
        <w:r>
          <w:rPr>
            <w:color w:val="0B6B70"/>
            <w:u w:val="single"/>
          </w:rPr>
          <w:t>1. Implementation workplan and required inputs</w:t>
        </w:r>
      </w:hyperlink>
    </w:p>
    <w:p>
      <w:pPr>
        <w:spacing w:after="60"/>
      </w:pPr>
      <w:r/>
      <w:hyperlink w:anchor="IK_02">
        <w:r>
          <w:rPr>
            <w:color w:val="0B6B70"/>
            <w:u w:val="single"/>
          </w:rPr>
          <w:t>2. Work packages, dependencies and authority</w:t>
        </w:r>
      </w:hyperlink>
    </w:p>
    <w:p>
      <w:pPr>
        <w:spacing w:after="60"/>
      </w:pPr>
      <w:r/>
      <w:hyperlink w:anchor="IK_03">
        <w:r>
          <w:rPr>
            <w:color w:val="0B6B70"/>
            <w:u w:val="single"/>
          </w:rPr>
          <w:t>3. Staging, bootstrap and physical commissioning</w:t>
        </w:r>
      </w:hyperlink>
    </w:p>
    <w:p>
      <w:pPr>
        <w:spacing w:after="60"/>
      </w:pPr>
      <w:r/>
      <w:hyperlink w:anchor="IK_04">
        <w:r>
          <w:rPr>
            <w:color w:val="0B6B70"/>
            <w:u w:val="single"/>
          </w:rPr>
          <w:t>4. Native platform commissioning tracks</w:t>
        </w:r>
      </w:hyperlink>
    </w:p>
    <w:p>
      <w:pPr>
        <w:spacing w:after="60"/>
      </w:pPr>
      <w:r/>
      <w:hyperlink w:anchor="IK_05">
        <w:r>
          <w:rPr>
            <w:color w:val="0B6B70"/>
            <w:u w:val="single"/>
          </w:rPr>
          <w:t>5. Shared security, services and protection</w:t>
        </w:r>
      </w:hyperlink>
    </w:p>
    <w:p>
      <w:pPr>
        <w:spacing w:after="60"/>
      </w:pPr>
      <w:r/>
      <w:hyperlink w:anchor="IK_06">
        <w:r>
          <w:rPr>
            <w:color w:val="0B6B70"/>
            <w:u w:val="single"/>
          </w:rPr>
          <w:t>6. Restricted qualification and meaningful observations</w:t>
        </w:r>
      </w:hyperlink>
    </w:p>
    <w:p>
      <w:pPr>
        <w:spacing w:after="60"/>
      </w:pPr>
      <w:r/>
      <w:hyperlink w:anchor="IK_07">
        <w:r>
          <w:rPr>
            <w:color w:val="0B6B70"/>
            <w:u w:val="single"/>
          </w:rPr>
          <w:t>7. Tenant provisioning and controlled production activation</w:t>
        </w:r>
      </w:hyperlink>
    </w:p>
    <w:p>
      <w:pPr>
        <w:spacing w:after="60"/>
      </w:pPr>
      <w:r/>
      <w:hyperlink w:anchor="IK_08">
        <w:r>
          <w:rPr>
            <w:color w:val="0B6B70"/>
            <w:u w:val="single"/>
          </w:rPr>
          <w:t>8. Interrupted work, brownfield adoption and change</w:t>
        </w:r>
      </w:hyperlink>
    </w:p>
    <w:p>
      <w:pPr>
        <w:spacing w:after="60"/>
      </w:pPr>
      <w:r/>
      <w:hyperlink w:anchor="IK_09">
        <w:r>
          <w:rPr>
            <w:color w:val="0B6B70"/>
            <w:u w:val="single"/>
          </w:rPr>
          <w:t>9. Operational handover, recovery, migration and retirement</w:t>
        </w:r>
      </w:hyperlink>
    </w:p>
    <w:p>
      <w:pPr>
        <w:pStyle w:val="Caption"/>
      </w:pPr>
      <w:r>
        <w:t>All additional process guidance is proposed kit practice. RA/WD references identify baseline-derived architecture; K references identify external mechanism checks. No site values or approval signatures are supplied.</w:t>
      </w:r>
    </w:p>
    <w:p>
      <w:r>
        <w:br w:type="page"/>
      </w:r>
    </w:p>
    <w:p>
      <w:pPr>
        <w:pStyle w:val="Heading1"/>
      </w:pPr>
      <w:r>
        <w:t>1. Implementation workplan and required inputs</w:t>
      </w:r>
      <w:bookmarkStart w:id="1000" w:name="IK_01"/>
      <w:bookmarkEnd w:id="1000"/>
    </w:p>
    <w:p>
      <w:r>
        <w:t>Implementation converts a reviewed design into an observed, supportable service. Installation, qualification, production activation and continuing operation are distinct outcomes.</w:t>
      </w:r>
    </w:p>
    <w:p>
      <w:pPr>
        <w:pStyle w:val="Caption"/>
      </w:pPr>
      <w:r>
        <w:t xml:space="preserve">Baseline and related records: </w:t>
      </w:r>
      <w:hyperlink r:id="rId11">
        <w:r>
          <w:rPr>
            <w:color w:val="0B6B70"/>
            <w:u w:val="single"/>
          </w:rPr>
          <w:t>DEL §3</w:t>
        </w:r>
      </w:hyperlink>
      <w:r>
        <w:t xml:space="preserve">  •  </w:t>
      </w:r>
      <w:hyperlink r:id="rId12">
        <w:r>
          <w:rPr>
            <w:color w:val="0B6B70"/>
            <w:u w:val="single"/>
          </w:rPr>
          <w:t>EK §8</w:t>
        </w:r>
      </w:hyperlink>
      <w:r>
        <w:t xml:space="preserve">  •  </w:t>
      </w:r>
      <w:hyperlink r:id="rId13">
        <w:r>
          <w:rPr>
            <w:color w:val="0B6B70"/>
            <w:u w:val="single"/>
          </w:rPr>
          <w:t>WD §9</w:t>
        </w:r>
      </w:hyperlink>
    </w:p>
    <w:tbl>
      <w:tblPr>
        <w:tblW w:type="auto" w:w="0"/>
        <w:jc w:val="center"/>
        <w:tblLayout w:type="fixed"/>
        <w:tblLook w:firstColumn="1" w:firstRow="1" w:lastColumn="0" w:lastRow="0" w:noHBand="0" w:noVBand="1" w:val="04A0"/>
      </w:tblPr>
      <w:tblGrid>
        <w:gridCol w:w="3211"/>
        <w:gridCol w:w="2131"/>
        <w:gridCol w:w="4939"/>
      </w:tblGrid>
      <w:tr>
        <w:trPr>
          <w:tblHeader/>
        </w:trPr>
        <w:tc>
          <w:tcPr>
            <w:tcW w:type="dxa" w:w="3211"/>
            <w:shd w:fill="15384A" w:val="clear"/>
            <w:tcMar>
              <w:top w:w="70" w:type="dxa"/>
              <w:start w:w="90" w:type="dxa"/>
              <w:bottom w:w="70" w:type="dxa"/>
              <w:end w:w="90" w:type="dxa"/>
            </w:tcMar>
          </w:tcPr>
          <w:p>
            <w:r>
              <w:rPr>
                <w:b/>
                <w:color w:val="FFFFFF"/>
                <w:sz w:val="18"/>
              </w:rPr>
              <w:t>Implementation output</w:t>
            </w:r>
          </w:p>
        </w:tc>
        <w:tc>
          <w:tcPr>
            <w:tcW w:type="dxa" w:w="2131"/>
            <w:shd w:fill="15384A" w:val="clear"/>
            <w:tcMar>
              <w:top w:w="70" w:type="dxa"/>
              <w:start w:w="90" w:type="dxa"/>
              <w:bottom w:w="70" w:type="dxa"/>
              <w:end w:w="90" w:type="dxa"/>
            </w:tcMar>
          </w:tcPr>
          <w:p>
            <w:r>
              <w:rPr>
                <w:b/>
                <w:color w:val="FFFFFF"/>
                <w:sz w:val="18"/>
              </w:rPr>
              <w:t>Accountable role</w:t>
            </w:r>
          </w:p>
        </w:tc>
        <w:tc>
          <w:tcPr>
            <w:tcW w:type="dxa" w:w="4939"/>
            <w:shd w:fill="15384A" w:val="clear"/>
            <w:tcMar>
              <w:top w:w="70" w:type="dxa"/>
              <w:start w:w="90" w:type="dxa"/>
              <w:bottom w:w="70" w:type="dxa"/>
              <w:end w:w="90" w:type="dxa"/>
            </w:tcMar>
          </w:tcPr>
          <w:p>
            <w:r>
              <w:rPr>
                <w:b/>
                <w:color w:val="FFFFFF"/>
                <w:sz w:val="18"/>
              </w:rPr>
              <w:t>Completion evidence</w:t>
            </w:r>
          </w:p>
        </w:tc>
      </w:tr>
      <w:tr>
        <w:trPr>
          <w:cantSplit/>
        </w:trPr>
        <w:tc>
          <w:tcPr>
            <w:tcW w:type="dxa" w:w="3211"/>
            <w:tcMar>
              <w:top w:w="70" w:type="dxa"/>
              <w:start w:w="90" w:type="dxa"/>
              <w:bottom w:w="70" w:type="dxa"/>
              <w:end w:w="90" w:type="dxa"/>
            </w:tcMar>
            <w:vAlign w:val="top"/>
          </w:tcPr>
          <w:p>
            <w:pPr>
              <w:spacing w:after="40" w:line="245" w:lineRule="auto"/>
            </w:pPr>
            <w:r>
              <w:rPr>
                <w:sz w:val="18"/>
              </w:rPr>
              <w:t>IK-01 — Change scope, release freeze and execution authority</w:t>
            </w:r>
          </w:p>
        </w:tc>
        <w:tc>
          <w:tcPr>
            <w:tcW w:type="dxa" w:w="2131"/>
            <w:tcMar>
              <w:top w:w="70" w:type="dxa"/>
              <w:start w:w="90" w:type="dxa"/>
              <w:bottom w:w="70" w:type="dxa"/>
              <w:end w:w="90" w:type="dxa"/>
            </w:tcMar>
            <w:vAlign w:val="top"/>
          </w:tcPr>
          <w:p>
            <w:pPr>
              <w:spacing w:after="40" w:line="245" w:lineRule="auto"/>
            </w:pPr>
            <w:r>
              <w:rPr>
                <w:sz w:val="18"/>
              </w:rPr>
              <w:t>Change owner</w:t>
            </w:r>
          </w:p>
        </w:tc>
        <w:tc>
          <w:tcPr>
            <w:tcW w:type="dxa" w:w="4939"/>
            <w:tcMar>
              <w:top w:w="70" w:type="dxa"/>
              <w:start w:w="90" w:type="dxa"/>
              <w:bottom w:w="70" w:type="dxa"/>
              <w:end w:w="90" w:type="dxa"/>
            </w:tcMar>
            <w:vAlign w:val="top"/>
          </w:tcPr>
          <w:p>
            <w:pPr>
              <w:spacing w:after="40" w:line="245" w:lineRule="auto"/>
            </w:pPr>
            <w:r>
              <w:rPr>
                <w:sz w:val="18"/>
              </w:rPr>
              <w:t>Actual change reference, immutable artifacts, scope, participants and stop authority recorded.</w:t>
            </w:r>
          </w:p>
        </w:tc>
      </w:tr>
      <w:tr>
        <w:trPr>
          <w:cantSplit/>
        </w:trPr>
        <w:tc>
          <w:tcPr>
            <w:tcW w:type="dxa" w:w="3211"/>
            <w:tcMar>
              <w:top w:w="70" w:type="dxa"/>
              <w:start w:w="90" w:type="dxa"/>
              <w:bottom w:w="70" w:type="dxa"/>
              <w:end w:w="90" w:type="dxa"/>
            </w:tcMar>
            <w:vAlign w:val="top"/>
            <w:shd w:fill="F4F7F9" w:val="clear"/>
          </w:tcPr>
          <w:p>
            <w:pPr>
              <w:spacing w:after="40" w:line="245" w:lineRule="auto"/>
            </w:pPr>
            <w:r>
              <w:rPr>
                <w:sz w:val="18"/>
              </w:rPr>
              <w:t>IK-02 — Staging and installation readiness</w:t>
            </w:r>
          </w:p>
        </w:tc>
        <w:tc>
          <w:tcPr>
            <w:tcW w:type="dxa" w:w="2131"/>
            <w:tcMar>
              <w:top w:w="70" w:type="dxa"/>
              <w:start w:w="90" w:type="dxa"/>
              <w:bottom w:w="70" w:type="dxa"/>
              <w:end w:w="90" w:type="dxa"/>
            </w:tcMar>
            <w:vAlign w:val="top"/>
            <w:shd w:fill="F4F7F9" w:val="clear"/>
          </w:tcPr>
          <w:p>
            <w:pPr>
              <w:spacing w:after="40" w:line="245" w:lineRule="auto"/>
            </w:pPr>
            <w:r>
              <w:rPr>
                <w:sz w:val="18"/>
              </w:rPr>
              <w:t>Deployment lead</w:t>
            </w:r>
          </w:p>
        </w:tc>
        <w:tc>
          <w:tcPr>
            <w:tcW w:type="dxa" w:w="4939"/>
            <w:tcMar>
              <w:top w:w="70" w:type="dxa"/>
              <w:start w:w="90" w:type="dxa"/>
              <w:bottom w:w="70" w:type="dxa"/>
              <w:end w:w="90" w:type="dxa"/>
            </w:tcMar>
            <w:vAlign w:val="top"/>
            <w:shd w:fill="F4F7F9" w:val="clear"/>
          </w:tcPr>
          <w:p>
            <w:pPr>
              <w:spacing w:after="40" w:line="245" w:lineRule="auto"/>
            </w:pPr>
            <w:r>
              <w:rPr>
                <w:sz w:val="18"/>
              </w:rPr>
              <w:t>Supplier/asset checks, approved installation method, facility work, recovery access and staging results accepted.</w:t>
            </w:r>
          </w:p>
        </w:tc>
      </w:tr>
      <w:tr>
        <w:trPr>
          <w:cantSplit/>
        </w:trPr>
        <w:tc>
          <w:tcPr>
            <w:tcW w:type="dxa" w:w="3211"/>
            <w:tcMar>
              <w:top w:w="70" w:type="dxa"/>
              <w:start w:w="90" w:type="dxa"/>
              <w:bottom w:w="70" w:type="dxa"/>
              <w:end w:w="90" w:type="dxa"/>
            </w:tcMar>
            <w:vAlign w:val="top"/>
          </w:tcPr>
          <w:p>
            <w:pPr>
              <w:spacing w:after="40" w:line="245" w:lineRule="auto"/>
            </w:pPr>
            <w:r>
              <w:rPr>
                <w:sz w:val="18"/>
              </w:rPr>
              <w:t>IK-03 — P0–P1 bootstrap and foundation receipts</w:t>
            </w:r>
          </w:p>
        </w:tc>
        <w:tc>
          <w:tcPr>
            <w:tcW w:type="dxa" w:w="2131"/>
            <w:tcMar>
              <w:top w:w="70" w:type="dxa"/>
              <w:start w:w="90" w:type="dxa"/>
              <w:bottom w:w="70" w:type="dxa"/>
              <w:end w:w="90" w:type="dxa"/>
            </w:tcMar>
            <w:vAlign w:val="top"/>
          </w:tcPr>
          <w:p>
            <w:pPr>
              <w:spacing w:after="40" w:line="245" w:lineRule="auto"/>
            </w:pPr>
            <w:r>
              <w:rPr>
                <w:sz w:val="18"/>
              </w:rPr>
              <w:t>Foundation owner</w:t>
            </w:r>
          </w:p>
        </w:tc>
        <w:tc>
          <w:tcPr>
            <w:tcW w:type="dxa" w:w="4939"/>
            <w:tcMar>
              <w:top w:w="70" w:type="dxa"/>
              <w:start w:w="90" w:type="dxa"/>
              <w:bottom w:w="70" w:type="dxa"/>
              <w:end w:w="90" w:type="dxa"/>
            </w:tcMar>
            <w:vAlign w:val="top"/>
          </w:tcPr>
          <w:p>
            <w:pPr>
              <w:spacing w:after="40" w:line="245" w:lineRule="auto"/>
            </w:pPr>
            <w:r>
              <w:rPr>
                <w:sz w:val="18"/>
              </w:rPr>
              <w:t>Trusted independent access, minimum services and verified physical/network transport precede platform consumption.</w:t>
            </w:r>
          </w:p>
        </w:tc>
      </w:tr>
      <w:tr>
        <w:trPr>
          <w:cantSplit/>
        </w:trPr>
        <w:tc>
          <w:tcPr>
            <w:tcW w:type="dxa" w:w="3211"/>
            <w:tcMar>
              <w:top w:w="70" w:type="dxa"/>
              <w:start w:w="90" w:type="dxa"/>
              <w:bottom w:w="70" w:type="dxa"/>
              <w:end w:w="90" w:type="dxa"/>
            </w:tcMar>
            <w:vAlign w:val="top"/>
            <w:shd w:fill="F4F7F9" w:val="clear"/>
          </w:tcPr>
          <w:p>
            <w:pPr>
              <w:spacing w:after="40" w:line="245" w:lineRule="auto"/>
            </w:pPr>
            <w:r>
              <w:rPr>
                <w:sz w:val="18"/>
              </w:rPr>
              <w:t>IK-04 — P2 native platform build receipts</w:t>
            </w:r>
          </w:p>
        </w:tc>
        <w:tc>
          <w:tcPr>
            <w:tcW w:type="dxa" w:w="2131"/>
            <w:tcMar>
              <w:top w:w="70" w:type="dxa"/>
              <w:start w:w="90" w:type="dxa"/>
              <w:bottom w:w="70" w:type="dxa"/>
              <w:end w:w="90" w:type="dxa"/>
            </w:tcMar>
            <w:vAlign w:val="top"/>
            <w:shd w:fill="F4F7F9" w:val="clear"/>
          </w:tcPr>
          <w:p>
            <w:pPr>
              <w:spacing w:after="40" w:line="245" w:lineRule="auto"/>
            </w:pPr>
            <w:r>
              <w:rPr>
                <w:sz w:val="18"/>
              </w:rPr>
              <w:t>Selected platform owner</w:t>
            </w:r>
          </w:p>
        </w:tc>
        <w:tc>
          <w:tcPr>
            <w:tcW w:type="dxa" w:w="4939"/>
            <w:tcMar>
              <w:top w:w="70" w:type="dxa"/>
              <w:start w:w="90" w:type="dxa"/>
              <w:bottom w:w="70" w:type="dxa"/>
              <w:end w:w="90" w:type="dxa"/>
            </w:tcMar>
            <w:vAlign w:val="top"/>
            <w:shd w:fill="F4F7F9" w:val="clear"/>
          </w:tcPr>
          <w:p>
            <w:pPr>
              <w:spacing w:after="40" w:line="245" w:lineRule="auto"/>
            </w:pPr>
            <w:r>
              <w:rPr>
                <w:sz w:val="18"/>
              </w:rPr>
              <w:t>Installer and native resource changes match approved tuple; APIs, baseline and supported recovery observed.</w:t>
            </w:r>
          </w:p>
        </w:tc>
      </w:tr>
      <w:tr>
        <w:trPr>
          <w:cantSplit/>
        </w:trPr>
        <w:tc>
          <w:tcPr>
            <w:tcW w:type="dxa" w:w="3211"/>
            <w:tcMar>
              <w:top w:w="70" w:type="dxa"/>
              <w:start w:w="90" w:type="dxa"/>
              <w:bottom w:w="70" w:type="dxa"/>
              <w:end w:w="90" w:type="dxa"/>
            </w:tcMar>
            <w:vAlign w:val="top"/>
          </w:tcPr>
          <w:p>
            <w:pPr>
              <w:spacing w:after="40" w:line="245" w:lineRule="auto"/>
            </w:pPr>
            <w:r>
              <w:rPr>
                <w:sz w:val="18"/>
              </w:rPr>
              <w:t>IK-05 — P3 shared-service and boundary receipts</w:t>
            </w:r>
          </w:p>
        </w:tc>
        <w:tc>
          <w:tcPr>
            <w:tcW w:type="dxa" w:w="2131"/>
            <w:tcMar>
              <w:top w:w="70" w:type="dxa"/>
              <w:start w:w="90" w:type="dxa"/>
              <w:bottom w:w="70" w:type="dxa"/>
              <w:end w:w="90" w:type="dxa"/>
            </w:tcMar>
            <w:vAlign w:val="top"/>
          </w:tcPr>
          <w:p>
            <w:pPr>
              <w:spacing w:after="40" w:line="245" w:lineRule="auto"/>
            </w:pPr>
            <w:r>
              <w:rPr>
                <w:sz w:val="18"/>
              </w:rPr>
              <w:t>Service + edge owners</w:t>
            </w:r>
          </w:p>
        </w:tc>
        <w:tc>
          <w:tcPr>
            <w:tcW w:type="dxa" w:w="4939"/>
            <w:tcMar>
              <w:top w:w="70" w:type="dxa"/>
              <w:start w:w="90" w:type="dxa"/>
              <w:bottom w:w="70" w:type="dxa"/>
              <w:end w:w="90" w:type="dxa"/>
            </w:tcMar>
            <w:vAlign w:val="top"/>
          </w:tcPr>
          <w:p>
            <w:pPr>
              <w:spacing w:after="40" w:line="245" w:lineRule="auto"/>
            </w:pPr>
            <w:r>
              <w:rPr>
                <w:sz w:val="18"/>
              </w:rPr>
              <w:t>Denied boundary paths, service clients, return routing, names/trust/backup and management separation observed.</w:t>
            </w:r>
          </w:p>
        </w:tc>
      </w:tr>
      <w:tr>
        <w:trPr>
          <w:cantSplit/>
        </w:trPr>
        <w:tc>
          <w:tcPr>
            <w:tcW w:type="dxa" w:w="3211"/>
            <w:tcMar>
              <w:top w:w="70" w:type="dxa"/>
              <w:start w:w="90" w:type="dxa"/>
              <w:bottom w:w="70" w:type="dxa"/>
              <w:end w:w="90" w:type="dxa"/>
            </w:tcMar>
            <w:vAlign w:val="top"/>
            <w:shd w:fill="F4F7F9" w:val="clear"/>
          </w:tcPr>
          <w:p>
            <w:pPr>
              <w:spacing w:after="40" w:line="245" w:lineRule="auto"/>
            </w:pPr>
            <w:r>
              <w:rPr>
                <w:sz w:val="18"/>
              </w:rPr>
              <w:t>IK-06 — Restricted qualification fixture and test campaign</w:t>
            </w:r>
          </w:p>
        </w:tc>
        <w:tc>
          <w:tcPr>
            <w:tcW w:type="dxa" w:w="2131"/>
            <w:tcMar>
              <w:top w:w="70" w:type="dxa"/>
              <w:start w:w="90" w:type="dxa"/>
              <w:bottom w:w="70" w:type="dxa"/>
              <w:end w:w="90" w:type="dxa"/>
            </w:tcMar>
            <w:vAlign w:val="top"/>
            <w:shd w:fill="F4F7F9" w:val="clear"/>
          </w:tcPr>
          <w:p>
            <w:pPr>
              <w:spacing w:after="40" w:line="245" w:lineRule="auto"/>
            </w:pPr>
            <w:r>
              <w:rPr>
                <w:sz w:val="18"/>
              </w:rPr>
              <w:t>Assurance lead</w:t>
            </w:r>
          </w:p>
        </w:tc>
        <w:tc>
          <w:tcPr>
            <w:tcW w:type="dxa" w:w="4939"/>
            <w:tcMar>
              <w:top w:w="70" w:type="dxa"/>
              <w:start w:w="90" w:type="dxa"/>
              <w:bottom w:w="70" w:type="dxa"/>
              <w:end w:w="90" w:type="dxa"/>
            </w:tcMar>
            <w:vAlign w:val="top"/>
            <w:shd w:fill="F4F7F9" w:val="clear"/>
          </w:tcPr>
          <w:p>
            <w:pPr>
              <w:spacing w:after="40" w:line="245" w:lineRule="auto"/>
            </w:pPr>
            <w:r>
              <w:rPr>
                <w:sz w:val="18"/>
              </w:rPr>
              <w:t>Authorized disposable scope, actual observations and supporting control paths; no production qualification assumed.</w:t>
            </w:r>
          </w:p>
        </w:tc>
      </w:tr>
      <w:tr>
        <w:trPr>
          <w:cantSplit/>
        </w:trPr>
        <w:tc>
          <w:tcPr>
            <w:tcW w:type="dxa" w:w="3211"/>
            <w:tcMar>
              <w:top w:w="70" w:type="dxa"/>
              <w:start w:w="90" w:type="dxa"/>
              <w:bottom w:w="70" w:type="dxa"/>
              <w:end w:w="90" w:type="dxa"/>
            </w:tcMar>
            <w:vAlign w:val="top"/>
          </w:tcPr>
          <w:p>
            <w:pPr>
              <w:spacing w:after="40" w:line="245" w:lineRule="auto"/>
            </w:pPr>
            <w:r>
              <w:rPr>
                <w:sz w:val="18"/>
              </w:rPr>
              <w:t>IK-07 — G4 initial operational and recovery readiness</w:t>
            </w:r>
          </w:p>
        </w:tc>
        <w:tc>
          <w:tcPr>
            <w:tcW w:type="dxa" w:w="2131"/>
            <w:tcMar>
              <w:top w:w="70" w:type="dxa"/>
              <w:start w:w="90" w:type="dxa"/>
              <w:bottom w:w="70" w:type="dxa"/>
              <w:end w:w="90" w:type="dxa"/>
            </w:tcMar>
            <w:vAlign w:val="top"/>
          </w:tcPr>
          <w:p>
            <w:pPr>
              <w:spacing w:after="40" w:line="245" w:lineRule="auto"/>
            </w:pPr>
            <w:r>
              <w:rPr>
                <w:sz w:val="18"/>
              </w:rPr>
              <w:t>Service operations owner</w:t>
            </w:r>
          </w:p>
        </w:tc>
        <w:tc>
          <w:tcPr>
            <w:tcW w:type="dxa" w:w="4939"/>
            <w:tcMar>
              <w:top w:w="70" w:type="dxa"/>
              <w:start w:w="90" w:type="dxa"/>
              <w:bottom w:w="70" w:type="dxa"/>
              <w:end w:w="90" w:type="dxa"/>
            </w:tcMar>
            <w:vAlign w:val="top"/>
          </w:tcPr>
          <w:p>
            <w:pPr>
              <w:spacing w:after="40" w:line="245" w:lineRule="auto"/>
            </w:pPr>
            <w:r>
              <w:rPr>
                <w:sz w:val="18"/>
              </w:rPr>
              <w:t>Owners, support, monitoring, incident paths and required restore/recovery evidence accepted before activation.</w:t>
            </w:r>
          </w:p>
        </w:tc>
      </w:tr>
      <w:tr>
        <w:trPr>
          <w:cantSplit/>
        </w:trPr>
        <w:tc>
          <w:tcPr>
            <w:tcW w:type="dxa" w:w="3211"/>
            <w:tcMar>
              <w:top w:w="70" w:type="dxa"/>
              <w:start w:w="90" w:type="dxa"/>
              <w:bottom w:w="70" w:type="dxa"/>
              <w:end w:w="90" w:type="dxa"/>
            </w:tcMar>
            <w:vAlign w:val="top"/>
            <w:shd w:fill="F4F7F9" w:val="clear"/>
          </w:tcPr>
          <w:p>
            <w:pPr>
              <w:spacing w:after="40" w:line="245" w:lineRule="auto"/>
            </w:pPr>
            <w:r>
              <w:rPr>
                <w:sz w:val="18"/>
              </w:rPr>
              <w:t>IK-08 — P4–P5 tenant build and production activation</w:t>
            </w:r>
          </w:p>
        </w:tc>
        <w:tc>
          <w:tcPr>
            <w:tcW w:type="dxa" w:w="2131"/>
            <w:tcMar>
              <w:top w:w="70" w:type="dxa"/>
              <w:start w:w="90" w:type="dxa"/>
              <w:bottom w:w="70" w:type="dxa"/>
              <w:end w:w="90" w:type="dxa"/>
            </w:tcMar>
            <w:vAlign w:val="top"/>
            <w:shd w:fill="F4F7F9" w:val="clear"/>
          </w:tcPr>
          <w:p>
            <w:pPr>
              <w:spacing w:after="40" w:line="245" w:lineRule="auto"/>
            </w:pPr>
            <w:r>
              <w:rPr>
                <w:sz w:val="18"/>
              </w:rPr>
              <w:t>Service acceptance owner</w:t>
            </w:r>
          </w:p>
        </w:tc>
        <w:tc>
          <w:tcPr>
            <w:tcW w:type="dxa" w:w="4939"/>
            <w:tcMar>
              <w:top w:w="70" w:type="dxa"/>
              <w:start w:w="90" w:type="dxa"/>
              <w:bottom w:w="70" w:type="dxa"/>
              <w:end w:w="90" w:type="dxa"/>
            </w:tcMar>
            <w:vAlign w:val="top"/>
            <w:shd w:fill="F4F7F9" w:val="clear"/>
          </w:tcPr>
          <w:p>
            <w:pPr>
              <w:spacing w:after="40" w:line="245" w:lineRule="auto"/>
            </w:pPr>
            <w:r>
              <w:rPr>
                <w:sz w:val="18"/>
              </w:rPr>
              <w:t>G0/G1/G2, applicable initial G4, current tests and valid authority precede reversible activation.</w:t>
            </w:r>
          </w:p>
        </w:tc>
      </w:tr>
      <w:tr>
        <w:trPr>
          <w:cantSplit/>
        </w:trPr>
        <w:tc>
          <w:tcPr>
            <w:tcW w:type="dxa" w:w="3211"/>
            <w:tcMar>
              <w:top w:w="70" w:type="dxa"/>
              <w:start w:w="90" w:type="dxa"/>
              <w:bottom w:w="70" w:type="dxa"/>
              <w:end w:w="90" w:type="dxa"/>
            </w:tcMar>
            <w:vAlign w:val="top"/>
          </w:tcPr>
          <w:p>
            <w:pPr>
              <w:spacing w:after="40" w:line="245" w:lineRule="auto"/>
            </w:pPr>
            <w:r>
              <w:rPr>
                <w:sz w:val="18"/>
              </w:rPr>
              <w:t>IK-09 — As-built, defect and evidence records</w:t>
            </w:r>
          </w:p>
        </w:tc>
        <w:tc>
          <w:tcPr>
            <w:tcW w:type="dxa" w:w="2131"/>
            <w:tcMar>
              <w:top w:w="70" w:type="dxa"/>
              <w:start w:w="90" w:type="dxa"/>
              <w:bottom w:w="70" w:type="dxa"/>
              <w:end w:w="90" w:type="dxa"/>
            </w:tcMar>
            <w:vAlign w:val="top"/>
          </w:tcPr>
          <w:p>
            <w:pPr>
              <w:spacing w:after="40" w:line="245" w:lineRule="auto"/>
            </w:pPr>
            <w:r>
              <w:rPr>
                <w:sz w:val="18"/>
              </w:rPr>
              <w:t>Implementation + operations</w:t>
            </w:r>
          </w:p>
        </w:tc>
        <w:tc>
          <w:tcPr>
            <w:tcW w:type="dxa" w:w="4939"/>
            <w:tcMar>
              <w:top w:w="70" w:type="dxa"/>
              <w:start w:w="90" w:type="dxa"/>
              <w:bottom w:w="70" w:type="dxa"/>
              <w:end w:w="90" w:type="dxa"/>
            </w:tcMar>
            <w:vAlign w:val="top"/>
          </w:tcPr>
          <w:p>
            <w:pPr>
              <w:spacing w:after="40" w:line="245" w:lineRule="auto"/>
            </w:pPr>
            <w:r>
              <w:rPr>
                <w:sz w:val="18"/>
              </w:rPr>
              <w:t>Actual identities, configurations, departures, tests, evidence and owner acceptance are attributable.</w:t>
            </w:r>
          </w:p>
        </w:tc>
      </w:tr>
      <w:tr>
        <w:trPr>
          <w:cantSplit/>
        </w:trPr>
        <w:tc>
          <w:tcPr>
            <w:tcW w:type="dxa" w:w="3211"/>
            <w:tcMar>
              <w:top w:w="70" w:type="dxa"/>
              <w:start w:w="90" w:type="dxa"/>
              <w:bottom w:w="70" w:type="dxa"/>
              <w:end w:w="90" w:type="dxa"/>
            </w:tcMar>
            <w:vAlign w:val="top"/>
            <w:shd w:fill="F4F7F9" w:val="clear"/>
          </w:tcPr>
          <w:p>
            <w:pPr>
              <w:spacing w:after="40" w:line="245" w:lineRule="auto"/>
            </w:pPr>
            <w:r>
              <w:rPr>
                <w:sz w:val="18"/>
              </w:rPr>
              <w:t>IK-10 — P6 maintenance, migration and retirement</w:t>
            </w:r>
          </w:p>
        </w:tc>
        <w:tc>
          <w:tcPr>
            <w:tcW w:type="dxa" w:w="2131"/>
            <w:tcMar>
              <w:top w:w="70" w:type="dxa"/>
              <w:start w:w="90" w:type="dxa"/>
              <w:bottom w:w="70" w:type="dxa"/>
              <w:end w:w="90" w:type="dxa"/>
            </w:tcMar>
            <w:vAlign w:val="top"/>
            <w:shd w:fill="F4F7F9" w:val="clear"/>
          </w:tcPr>
          <w:p>
            <w:pPr>
              <w:spacing w:after="40" w:line="245" w:lineRule="auto"/>
            </w:pPr>
            <w:r>
              <w:rPr>
                <w:sz w:val="18"/>
              </w:rPr>
              <w:t>Lifecycle/data owners</w:t>
            </w:r>
          </w:p>
        </w:tc>
        <w:tc>
          <w:tcPr>
            <w:tcW w:type="dxa" w:w="4939"/>
            <w:tcMar>
              <w:top w:w="70" w:type="dxa"/>
              <w:start w:w="90" w:type="dxa"/>
              <w:bottom w:w="70" w:type="dxa"/>
              <w:end w:w="90" w:type="dxa"/>
            </w:tcMar>
            <w:vAlign w:val="top"/>
            <w:shd w:fill="F4F7F9" w:val="clear"/>
          </w:tcPr>
          <w:p>
            <w:pPr>
              <w:spacing w:after="40" w:line="245" w:lineRule="auto"/>
            </w:pPr>
            <w:r>
              <w:rPr>
                <w:sz w:val="18"/>
              </w:rPr>
              <w:t>Change requalification, fencing, retained-copy/key obligations, access withdrawal and safe disposal tracked.</w:t>
            </w:r>
          </w:p>
        </w:tc>
      </w:tr>
    </w:tbl>
    <w:p>
      <w:pPr>
        <w:spacing w:after="0"/>
      </w:pPr>
      <w:r/>
    </w:p>
    <w:p>
      <w:r>
        <w:t>Use Implementation_Tracker.xlsx for the execution record. A local workbook status is an index to evidence and authority; it is not an approval engine. Record actual operators and approvers rather than accepting the role names in this reference as assignments.</w:t>
      </w:r>
    </w:p>
    <w:p>
      <w:r>
        <w:br w:type="page"/>
      </w:r>
    </w:p>
    <w:p>
      <w:pPr>
        <w:pStyle w:val="Heading1"/>
      </w:pPr>
      <w:r>
        <w:t>2. Work packages, dependencies and authority</w:t>
      </w:r>
      <w:bookmarkStart w:id="1001" w:name="IK_02"/>
      <w:bookmarkEnd w:id="1001"/>
    </w:p>
    <w:p>
      <w:r>
        <w:t>Maintain separate execution scopes even when one delivery workflow coordinates the whole environment. Handoffs pass only the identities, capacity and configuration facts the next owner needs.</w:t>
      </w:r>
    </w:p>
    <w:p>
      <w:pPr>
        <w:pStyle w:val="Caption"/>
      </w:pPr>
      <w:r>
        <w:t xml:space="preserve">Baseline and related records: </w:t>
      </w:r>
      <w:hyperlink r:id="rId14">
        <w:r>
          <w:rPr>
            <w:color w:val="0B6B70"/>
            <w:u w:val="single"/>
          </w:rPr>
          <w:t>RA §20</w:t>
        </w:r>
      </w:hyperlink>
      <w:r>
        <w:t xml:space="preserve">  •  </w:t>
      </w:r>
      <w:hyperlink r:id="rId15">
        <w:r>
          <w:rPr>
            <w:color w:val="0B6B70"/>
            <w:u w:val="single"/>
          </w:rPr>
          <w:t>PROV §1</w:t>
        </w:r>
      </w:hyperlink>
      <w:r>
        <w:t xml:space="preserve">  •  </w:t>
      </w:r>
      <w:hyperlink r:id="rId16">
        <w:r>
          <w:rPr>
            <w:color w:val="0B6B70"/>
            <w:u w:val="single"/>
          </w:rPr>
          <w:t>WD §10</w:t>
        </w:r>
      </w:hyperlink>
    </w:p>
    <w:tbl>
      <w:tblPr>
        <w:tblW w:type="auto" w:w="0"/>
        <w:jc w:val="center"/>
        <w:tblLayout w:type="fixed"/>
        <w:tblLook w:firstColumn="1" w:firstRow="1" w:lastColumn="0" w:lastRow="0" w:noHBand="0" w:noVBand="1" w:val="04A0"/>
      </w:tblPr>
      <w:tblGrid>
        <w:gridCol w:w="1944"/>
        <w:gridCol w:w="4176"/>
        <w:gridCol w:w="4162"/>
      </w:tblGrid>
      <w:tr>
        <w:trPr>
          <w:tblHeader/>
        </w:trPr>
        <w:tc>
          <w:tcPr>
            <w:tcW w:type="dxa" w:w="1944"/>
            <w:shd w:fill="15384A" w:val="clear"/>
            <w:tcMar>
              <w:top w:w="70" w:type="dxa"/>
              <w:start w:w="90" w:type="dxa"/>
              <w:bottom w:w="70" w:type="dxa"/>
              <w:end w:w="90" w:type="dxa"/>
            </w:tcMar>
          </w:tcPr>
          <w:p>
            <w:r>
              <w:rPr>
                <w:b/>
                <w:color w:val="FFFFFF"/>
                <w:sz w:val="18"/>
              </w:rPr>
              <w:t>Package</w:t>
            </w:r>
          </w:p>
        </w:tc>
        <w:tc>
          <w:tcPr>
            <w:tcW w:type="dxa" w:w="4176"/>
            <w:shd w:fill="15384A" w:val="clear"/>
            <w:tcMar>
              <w:top w:w="70" w:type="dxa"/>
              <w:start w:w="90" w:type="dxa"/>
              <w:bottom w:w="70" w:type="dxa"/>
              <w:end w:w="90" w:type="dxa"/>
            </w:tcMar>
          </w:tcPr>
          <w:p>
            <w:r>
              <w:rPr>
                <w:b/>
                <w:color w:val="FFFFFF"/>
                <w:sz w:val="18"/>
              </w:rPr>
              <w:t>Execute and observe</w:t>
            </w:r>
          </w:p>
        </w:tc>
        <w:tc>
          <w:tcPr>
            <w:tcW w:type="dxa" w:w="4162"/>
            <w:shd w:fill="15384A" w:val="clear"/>
            <w:tcMar>
              <w:top w:w="70" w:type="dxa"/>
              <w:start w:w="90" w:type="dxa"/>
              <w:bottom w:w="70" w:type="dxa"/>
              <w:end w:w="90" w:type="dxa"/>
            </w:tcMar>
          </w:tcPr>
          <w:p>
            <w:r>
              <w:rPr>
                <w:b/>
                <w:color w:val="FFFFFF"/>
                <w:sz w:val="18"/>
              </w:rPr>
              <w:t>Accepted handoff</w:t>
            </w:r>
          </w:p>
        </w:tc>
      </w:tr>
      <w:tr>
        <w:trPr>
          <w:cantSplit/>
        </w:trPr>
        <w:tc>
          <w:tcPr>
            <w:tcW w:type="dxa" w:w="1944"/>
            <w:tcMar>
              <w:top w:w="70" w:type="dxa"/>
              <w:start w:w="90" w:type="dxa"/>
              <w:bottom w:w="70" w:type="dxa"/>
              <w:end w:w="90" w:type="dxa"/>
            </w:tcMar>
            <w:vAlign w:val="top"/>
          </w:tcPr>
          <w:p>
            <w:pPr>
              <w:spacing w:after="40" w:line="245" w:lineRule="auto"/>
            </w:pPr>
            <w:r>
              <w:rPr>
                <w:sz w:val="18"/>
              </w:rPr>
              <w:t>P0 — bootstrap</w:t>
            </w:r>
          </w:p>
        </w:tc>
        <w:tc>
          <w:tcPr>
            <w:tcW w:type="dxa" w:w="4176"/>
            <w:tcMar>
              <w:top w:w="70" w:type="dxa"/>
              <w:start w:w="90" w:type="dxa"/>
              <w:bottom w:w="70" w:type="dxa"/>
              <w:end w:w="90" w:type="dxa"/>
            </w:tcMar>
            <w:vAlign w:val="top"/>
          </w:tcPr>
          <w:p>
            <w:pPr>
              <w:spacing w:after="40" w:line="245" w:lineRule="auto"/>
            </w:pPr>
            <w:r>
              <w:rPr>
                <w:sz w:val="18"/>
              </w:rPr>
              <w:t>Establish restricted administration, minimum time/name/trust and recoverable tooling.</w:t>
            </w:r>
          </w:p>
        </w:tc>
        <w:tc>
          <w:tcPr>
            <w:tcW w:type="dxa" w:w="4162"/>
            <w:tcMar>
              <w:top w:w="70" w:type="dxa"/>
              <w:start w:w="90" w:type="dxa"/>
              <w:bottom w:w="70" w:type="dxa"/>
              <w:end w:w="90" w:type="dxa"/>
            </w:tcMar>
            <w:vAlign w:val="top"/>
          </w:tcPr>
          <w:p>
            <w:pPr>
              <w:spacing w:after="40" w:line="245" w:lineRule="auto"/>
            </w:pPr>
            <w:r>
              <w:rPr>
                <w:sz w:val="18"/>
              </w:rPr>
              <w:t>Accountable temporary dependencies; usable recovery access and custody.</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P1 — foundation</w:t>
            </w:r>
          </w:p>
        </w:tc>
        <w:tc>
          <w:tcPr>
            <w:tcW w:type="dxa" w:w="4176"/>
            <w:tcMar>
              <w:top w:w="70" w:type="dxa"/>
              <w:start w:w="90" w:type="dxa"/>
              <w:bottom w:w="70" w:type="dxa"/>
              <w:end w:w="90" w:type="dxa"/>
            </w:tcMar>
            <w:vAlign w:val="top"/>
            <w:shd w:fill="F4F7F9" w:val="clear"/>
          </w:tcPr>
          <w:p>
            <w:pPr>
              <w:spacing w:after="40" w:line="245" w:lineRule="auto"/>
            </w:pPr>
            <w:r>
              <w:rPr>
                <w:sz w:val="18"/>
              </w:rPr>
              <w:t>Commission the accepted hardware, OOB, fabric and attachment capacity.</w:t>
            </w:r>
          </w:p>
        </w:tc>
        <w:tc>
          <w:tcPr>
            <w:tcW w:type="dxa" w:w="4162"/>
            <w:tcMar>
              <w:top w:w="70" w:type="dxa"/>
              <w:start w:w="90" w:type="dxa"/>
              <w:bottom w:w="70" w:type="dxa"/>
              <w:end w:w="90" w:type="dxa"/>
            </w:tcMar>
            <w:vAlign w:val="top"/>
            <w:shd w:fill="F4F7F9" w:val="clear"/>
          </w:tcPr>
          <w:p>
            <w:pPr>
              <w:spacing w:after="40" w:line="245" w:lineRule="auto"/>
            </w:pPr>
            <w:r>
              <w:rPr>
                <w:sz w:val="18"/>
              </w:rPr>
              <w:t>As-built physical links, routing, MTU, fault behaviour and available slots.</w:t>
            </w:r>
          </w:p>
        </w:tc>
      </w:tr>
      <w:tr>
        <w:trPr>
          <w:cantSplit/>
        </w:trPr>
        <w:tc>
          <w:tcPr>
            <w:tcW w:type="dxa" w:w="1944"/>
            <w:tcMar>
              <w:top w:w="70" w:type="dxa"/>
              <w:start w:w="90" w:type="dxa"/>
              <w:bottom w:w="70" w:type="dxa"/>
              <w:end w:w="90" w:type="dxa"/>
            </w:tcMar>
            <w:vAlign w:val="top"/>
          </w:tcPr>
          <w:p>
            <w:pPr>
              <w:spacing w:after="40" w:line="245" w:lineRule="auto"/>
            </w:pPr>
            <w:r>
              <w:rPr>
                <w:sz w:val="18"/>
              </w:rPr>
              <w:t>P2 — platform</w:t>
            </w:r>
          </w:p>
        </w:tc>
        <w:tc>
          <w:tcPr>
            <w:tcW w:type="dxa" w:w="4176"/>
            <w:tcMar>
              <w:top w:w="70" w:type="dxa"/>
              <w:start w:w="90" w:type="dxa"/>
              <w:bottom w:w="70" w:type="dxa"/>
              <w:end w:w="90" w:type="dxa"/>
            </w:tcMar>
            <w:vAlign w:val="top"/>
          </w:tcPr>
          <w:p>
            <w:pPr>
              <w:spacing w:after="40" w:line="245" w:lineRule="auto"/>
            </w:pPr>
            <w:r>
              <w:rPr>
                <w:sz w:val="18"/>
              </w:rPr>
              <w:t>Install the chosen supported stack; configure eligible compute, storage and transport.</w:t>
            </w:r>
          </w:p>
        </w:tc>
        <w:tc>
          <w:tcPr>
            <w:tcW w:type="dxa" w:w="4162"/>
            <w:tcMar>
              <w:top w:w="70" w:type="dxa"/>
              <w:start w:w="90" w:type="dxa"/>
              <w:bottom w:w="70" w:type="dxa"/>
              <w:end w:w="90" w:type="dxa"/>
            </w:tcMar>
            <w:vAlign w:val="top"/>
          </w:tcPr>
          <w:p>
            <w:pPr>
              <w:spacing w:after="40" w:line="245" w:lineRule="auto"/>
            </w:pPr>
            <w:r>
              <w:rPr>
                <w:sz w:val="18"/>
              </w:rPr>
              <w:t>Exact tuple, native ownership, baseline and service limitations.</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P3 — services</w:t>
            </w:r>
          </w:p>
        </w:tc>
        <w:tc>
          <w:tcPr>
            <w:tcW w:type="dxa" w:w="4176"/>
            <w:tcMar>
              <w:top w:w="70" w:type="dxa"/>
              <w:start w:w="90" w:type="dxa"/>
              <w:bottom w:w="70" w:type="dxa"/>
              <w:end w:w="90" w:type="dxa"/>
            </w:tcMar>
            <w:vAlign w:val="top"/>
            <w:shd w:fill="F4F7F9" w:val="clear"/>
          </w:tcPr>
          <w:p>
            <w:pPr>
              <w:spacing w:after="40" w:line="245" w:lineRule="auto"/>
            </w:pPr>
            <w:r>
              <w:rPr>
                <w:sz w:val="18"/>
              </w:rPr>
              <w:t>Establish security contexts, names, identity, keys, logging and protection.</w:t>
            </w:r>
          </w:p>
        </w:tc>
        <w:tc>
          <w:tcPr>
            <w:tcW w:type="dxa" w:w="4162"/>
            <w:tcMar>
              <w:top w:w="70" w:type="dxa"/>
              <w:start w:w="90" w:type="dxa"/>
              <w:bottom w:w="70" w:type="dxa"/>
              <w:end w:w="90" w:type="dxa"/>
            </w:tcMar>
            <w:vAlign w:val="top"/>
            <w:shd w:fill="F4F7F9" w:val="clear"/>
          </w:tcPr>
          <w:p>
            <w:pPr>
              <w:spacing w:after="40" w:line="245" w:lineRule="auto"/>
            </w:pPr>
            <w:r>
              <w:rPr>
                <w:sz w:val="18"/>
              </w:rPr>
              <w:t>Published consumption interfaces, return paths and protection/custody.</w:t>
            </w:r>
          </w:p>
        </w:tc>
      </w:tr>
      <w:tr>
        <w:trPr>
          <w:cantSplit/>
        </w:trPr>
        <w:tc>
          <w:tcPr>
            <w:tcW w:type="dxa" w:w="1944"/>
            <w:tcMar>
              <w:top w:w="70" w:type="dxa"/>
              <w:start w:w="90" w:type="dxa"/>
              <w:bottom w:w="70" w:type="dxa"/>
              <w:end w:w="90" w:type="dxa"/>
            </w:tcMar>
            <w:vAlign w:val="top"/>
          </w:tcPr>
          <w:p>
            <w:pPr>
              <w:spacing w:after="40" w:line="245" w:lineRule="auto"/>
            </w:pPr>
            <w:r>
              <w:rPr>
                <w:sz w:val="18"/>
              </w:rPr>
              <w:t>P4 — tenant/domain</w:t>
            </w:r>
          </w:p>
        </w:tc>
        <w:tc>
          <w:tcPr>
            <w:tcW w:type="dxa" w:w="4176"/>
            <w:tcMar>
              <w:top w:w="70" w:type="dxa"/>
              <w:start w:w="90" w:type="dxa"/>
              <w:bottom w:w="70" w:type="dxa"/>
              <w:end w:w="90" w:type="dxa"/>
            </w:tcMar>
            <w:vAlign w:val="top"/>
          </w:tcPr>
          <w:p>
            <w:pPr>
              <w:spacing w:after="40" w:line="245" w:lineRule="auto"/>
            </w:pPr>
            <w:r>
              <w:rPr>
                <w:sz w:val="18"/>
              </w:rPr>
              <w:t>Allocate entitled scope, addresses, domains, networks and mandatory policy.</w:t>
            </w:r>
          </w:p>
        </w:tc>
        <w:tc>
          <w:tcPr>
            <w:tcW w:type="dxa" w:w="4162"/>
            <w:tcMar>
              <w:top w:w="70" w:type="dxa"/>
              <w:start w:w="90" w:type="dxa"/>
              <w:bottom w:w="70" w:type="dxa"/>
              <w:end w:w="90" w:type="dxa"/>
            </w:tcMar>
            <w:vAlign w:val="top"/>
          </w:tcPr>
          <w:p>
            <w:pPr>
              <w:spacing w:after="40" w:line="245" w:lineRule="auto"/>
            </w:pPr>
            <w:r>
              <w:rPr>
                <w:sz w:val="18"/>
              </w:rPr>
              <w:t>Native identities, eligibility and boundaries under deny.</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P5 — resources/activation</w:t>
            </w:r>
          </w:p>
        </w:tc>
        <w:tc>
          <w:tcPr>
            <w:tcW w:type="dxa" w:w="4176"/>
            <w:tcMar>
              <w:top w:w="70" w:type="dxa"/>
              <w:start w:w="90" w:type="dxa"/>
              <w:bottom w:w="70" w:type="dxa"/>
              <w:end w:w="90" w:type="dxa"/>
            </w:tcMar>
            <w:vAlign w:val="top"/>
            <w:shd w:fill="F4F7F9" w:val="clear"/>
          </w:tcPr>
          <w:p>
            <w:pPr>
              <w:spacing w:after="40" w:line="245" w:lineRule="auto"/>
            </w:pPr>
            <w:r>
              <w:rPr>
                <w:sz w:val="18"/>
              </w:rPr>
              <w:t>Create owned VMs/disks, bind services, verify and activate within authority.</w:t>
            </w:r>
          </w:p>
        </w:tc>
        <w:tc>
          <w:tcPr>
            <w:tcW w:type="dxa" w:w="4162"/>
            <w:tcMar>
              <w:top w:w="70" w:type="dxa"/>
              <w:start w:w="90" w:type="dxa"/>
              <w:bottom w:w="70" w:type="dxa"/>
              <w:end w:w="90" w:type="dxa"/>
            </w:tcMar>
            <w:vAlign w:val="top"/>
            <w:shd w:fill="F4F7F9" w:val="clear"/>
          </w:tcPr>
          <w:p>
            <w:pPr>
              <w:spacing w:after="40" w:line="245" w:lineRule="auto"/>
            </w:pPr>
            <w:r>
              <w:rPr>
                <w:sz w:val="18"/>
              </w:rPr>
              <w:t>Current test evidence, initial operational readiness and accepted live path.</w:t>
            </w:r>
          </w:p>
        </w:tc>
      </w:tr>
      <w:tr>
        <w:trPr>
          <w:cantSplit/>
        </w:trPr>
        <w:tc>
          <w:tcPr>
            <w:tcW w:type="dxa" w:w="1944"/>
            <w:tcMar>
              <w:top w:w="70" w:type="dxa"/>
              <w:start w:w="90" w:type="dxa"/>
              <w:bottom w:w="70" w:type="dxa"/>
              <w:end w:w="90" w:type="dxa"/>
            </w:tcMar>
            <w:vAlign w:val="top"/>
          </w:tcPr>
          <w:p>
            <w:pPr>
              <w:spacing w:after="40" w:line="245" w:lineRule="auto"/>
            </w:pPr>
            <w:r>
              <w:rPr>
                <w:sz w:val="18"/>
              </w:rPr>
              <w:t>P6 — lifecycle</w:t>
            </w:r>
          </w:p>
        </w:tc>
        <w:tc>
          <w:tcPr>
            <w:tcW w:type="dxa" w:w="4176"/>
            <w:tcMar>
              <w:top w:w="70" w:type="dxa"/>
              <w:start w:w="90" w:type="dxa"/>
              <w:bottom w:w="70" w:type="dxa"/>
              <w:end w:w="90" w:type="dxa"/>
            </w:tcMar>
            <w:vAlign w:val="top"/>
          </w:tcPr>
          <w:p>
            <w:pPr>
              <w:spacing w:after="40" w:line="245" w:lineRule="auto"/>
            </w:pPr>
            <w:r>
              <w:rPr>
                <w:sz w:val="18"/>
              </w:rPr>
              <w:t>Maintain, expand, recover, migrate or retire under the owning scopes.</w:t>
            </w:r>
          </w:p>
        </w:tc>
        <w:tc>
          <w:tcPr>
            <w:tcW w:type="dxa" w:w="4162"/>
            <w:tcMar>
              <w:top w:w="70" w:type="dxa"/>
              <w:start w:w="90" w:type="dxa"/>
              <w:bottom w:w="70" w:type="dxa"/>
              <w:end w:w="90" w:type="dxa"/>
            </w:tcMar>
            <w:vAlign w:val="top"/>
          </w:tcPr>
          <w:p>
            <w:pPr>
              <w:spacing w:after="40" w:line="245" w:lineRule="auto"/>
            </w:pPr>
            <w:r>
              <w:rPr>
                <w:sz w:val="18"/>
              </w:rPr>
              <w:t>Changed as-built records, requalification and retained-data obligations.</w:t>
            </w:r>
          </w:p>
        </w:tc>
      </w:tr>
    </w:tbl>
    <w:p>
      <w:pPr>
        <w:spacing w:after="0"/>
      </w:pPr>
      <w:r/>
    </w:p>
    <w:p>
      <w:pPr>
        <w:keepLines/>
        <w:spacing w:before="140" w:after="200"/>
        <w:shd w:fill="EEF5F7" w:val="clear"/>
        <w:pBdr>
          <w:left w:val="single" w:sz="12" w:space="8" w:color="0B6B70"/>
        </w:pBdr>
      </w:pPr>
      <w:r>
        <w:rPr>
          <w:b/>
        </w:rPr>
        <w:t>P2 installation can depend on accepted P0 bootstrap services. Complete P2/P3 offered-service acceptance together before ordinary tenant allocation. Record and retire temporary trust deliberately; do not create a circular recovery dependency.</w:t>
      </w:r>
    </w:p>
    <w:p>
      <w:r>
        <w:br w:type="page"/>
      </w:r>
    </w:p>
    <w:p>
      <w:pPr>
        <w:pStyle w:val="Heading1"/>
      </w:pPr>
      <w:r>
        <w:t>3. Staging, bootstrap and physical commissioning</w:t>
      </w:r>
      <w:bookmarkStart w:id="1002" w:name="IK_03"/>
      <w:bookmarkEnd w:id="1002"/>
    </w:p>
    <w:p>
      <w:r>
        <w:t>Use RB-00 and RB-01. Staging is part of implementation readiness, not evidence that equipment has been commissioned.</w:t>
      </w:r>
    </w:p>
    <w:p>
      <w:pPr>
        <w:pStyle w:val="Caption"/>
      </w:pPr>
      <w:r>
        <w:t xml:space="preserve">Baseline and related records: </w:t>
      </w:r>
      <w:hyperlink r:id="rId17">
        <w:r>
          <w:rPr>
            <w:color w:val="0B6B70"/>
            <w:u w:val="single"/>
          </w:rPr>
          <w:t>RA §21</w:t>
        </w:r>
      </w:hyperlink>
      <w:r>
        <w:t xml:space="preserve">  •  </w:t>
      </w:r>
      <w:hyperlink r:id="rId18">
        <w:r>
          <w:rPr>
            <w:color w:val="0B6B70"/>
            <w:u w:val="single"/>
          </w:rPr>
          <w:t>ET §2</w:t>
        </w:r>
      </w:hyperlink>
      <w:r>
        <w:t xml:space="preserve">  •  </w:t>
      </w:r>
      <w:hyperlink r:id="rId19">
        <w:r>
          <w:rPr>
            <w:color w:val="0B6B70"/>
            <w:u w:val="single"/>
          </w:rPr>
          <w:t>PROV §2</w:t>
        </w:r>
      </w:hyperlink>
    </w:p>
    <w:tbl>
      <w:tblPr>
        <w:tblW w:type="auto" w:w="0"/>
        <w:jc w:val="center"/>
        <w:tblLayout w:type="fixed"/>
        <w:tblLook w:firstColumn="1" w:firstRow="1" w:lastColumn="0" w:lastRow="0" w:noHBand="0" w:noVBand="1" w:val="04A0"/>
      </w:tblPr>
      <w:tblGrid>
        <w:gridCol w:w="1843"/>
        <w:gridCol w:w="5458"/>
        <w:gridCol w:w="2981"/>
      </w:tblGrid>
      <w:tr>
        <w:trPr>
          <w:tblHeader/>
        </w:trPr>
        <w:tc>
          <w:tcPr>
            <w:tcW w:type="dxa" w:w="1843"/>
            <w:shd w:fill="15384A" w:val="clear"/>
            <w:tcMar>
              <w:top w:w="70" w:type="dxa"/>
              <w:start w:w="90" w:type="dxa"/>
              <w:bottom w:w="70" w:type="dxa"/>
              <w:end w:w="90" w:type="dxa"/>
            </w:tcMar>
          </w:tcPr>
          <w:p>
            <w:r>
              <w:rPr>
                <w:b/>
                <w:color w:val="FFFFFF"/>
                <w:sz w:val="18"/>
              </w:rPr>
              <w:t>Checkpoint</w:t>
            </w:r>
          </w:p>
        </w:tc>
        <w:tc>
          <w:tcPr>
            <w:tcW w:type="dxa" w:w="5458"/>
            <w:shd w:fill="15384A" w:val="clear"/>
            <w:tcMar>
              <w:top w:w="70" w:type="dxa"/>
              <w:start w:w="90" w:type="dxa"/>
              <w:bottom w:w="70" w:type="dxa"/>
              <w:end w:w="90" w:type="dxa"/>
            </w:tcMar>
          </w:tcPr>
          <w:p>
            <w:r>
              <w:rPr>
                <w:b/>
                <w:color w:val="FFFFFF"/>
                <w:sz w:val="18"/>
              </w:rPr>
              <w:t>Required action and observation</w:t>
            </w:r>
          </w:p>
        </w:tc>
        <w:tc>
          <w:tcPr>
            <w:tcW w:type="dxa" w:w="2981"/>
            <w:shd w:fill="15384A" w:val="clear"/>
            <w:tcMar>
              <w:top w:w="70" w:type="dxa"/>
              <w:start w:w="90" w:type="dxa"/>
              <w:bottom w:w="70" w:type="dxa"/>
              <w:end w:w="90" w:type="dxa"/>
            </w:tcMar>
          </w:tcPr>
          <w:p>
            <w:r>
              <w:rPr>
                <w:b/>
                <w:color w:val="FFFFFF"/>
                <w:sz w:val="18"/>
              </w:rPr>
              <w:t>Stop condition</w:t>
            </w:r>
          </w:p>
        </w:tc>
      </w:tr>
      <w:tr>
        <w:trPr>
          <w:cantSplit/>
        </w:trPr>
        <w:tc>
          <w:tcPr>
            <w:tcW w:type="dxa" w:w="1843"/>
            <w:tcMar>
              <w:top w:w="70" w:type="dxa"/>
              <w:start w:w="90" w:type="dxa"/>
              <w:bottom w:w="70" w:type="dxa"/>
              <w:end w:w="90" w:type="dxa"/>
            </w:tcMar>
            <w:vAlign w:val="top"/>
          </w:tcPr>
          <w:p>
            <w:pPr>
              <w:spacing w:after="40" w:line="245" w:lineRule="auto"/>
            </w:pPr>
            <w:r>
              <w:rPr>
                <w:sz w:val="18"/>
              </w:rPr>
              <w:t>Release and scope</w:t>
            </w:r>
          </w:p>
        </w:tc>
        <w:tc>
          <w:tcPr>
            <w:tcW w:type="dxa" w:w="5458"/>
            <w:tcMar>
              <w:top w:w="70" w:type="dxa"/>
              <w:start w:w="90" w:type="dxa"/>
              <w:bottom w:w="70" w:type="dxa"/>
              <w:end w:w="90" w:type="dxa"/>
            </w:tcMar>
            <w:vAlign w:val="top"/>
          </w:tcPr>
          <w:p>
            <w:pPr>
              <w:spacing w:after="40" w:line="245" w:lineRule="auto"/>
            </w:pPr>
            <w:r>
              <w:rPr>
                <w:sz w:val="18"/>
              </w:rPr>
              <w:t>Match change authorization, exact inventory, LLD revision, signed/checksummed artifacts and permitted window.</w:t>
            </w:r>
          </w:p>
        </w:tc>
        <w:tc>
          <w:tcPr>
            <w:tcW w:type="dxa" w:w="2981"/>
            <w:tcMar>
              <w:top w:w="70" w:type="dxa"/>
              <w:start w:w="90" w:type="dxa"/>
              <w:bottom w:w="70" w:type="dxa"/>
              <w:end w:w="90" w:type="dxa"/>
            </w:tcMar>
            <w:vAlign w:val="top"/>
          </w:tcPr>
          <w:p>
            <w:pPr>
              <w:spacing w:after="40" w:line="245" w:lineRule="auto"/>
            </w:pPr>
            <w:r>
              <w:rPr>
                <w:sz w:val="18"/>
              </w:rPr>
              <w:t>Unapproved change, inconsistent inventory or unknown resource owner.</w:t>
            </w:r>
          </w:p>
        </w:tc>
      </w:tr>
      <w:tr>
        <w:trPr>
          <w:cantSplit/>
        </w:trPr>
        <w:tc>
          <w:tcPr>
            <w:tcW w:type="dxa" w:w="1843"/>
            <w:tcMar>
              <w:top w:w="70" w:type="dxa"/>
              <w:start w:w="90" w:type="dxa"/>
              <w:bottom w:w="70" w:type="dxa"/>
              <w:end w:w="90" w:type="dxa"/>
            </w:tcMar>
            <w:vAlign w:val="top"/>
            <w:shd w:fill="F4F7F9" w:val="clear"/>
          </w:tcPr>
          <w:p>
            <w:pPr>
              <w:spacing w:after="40" w:line="245" w:lineRule="auto"/>
            </w:pPr>
            <w:r>
              <w:rPr>
                <w:sz w:val="18"/>
              </w:rPr>
              <w:t>Site safety and physical work</w:t>
            </w:r>
          </w:p>
        </w:tc>
        <w:tc>
          <w:tcPr>
            <w:tcW w:type="dxa" w:w="5458"/>
            <w:tcMar>
              <w:top w:w="70" w:type="dxa"/>
              <w:start w:w="90" w:type="dxa"/>
              <w:bottom w:w="70" w:type="dxa"/>
              <w:end w:w="90" w:type="dxa"/>
            </w:tcMar>
            <w:vAlign w:val="top"/>
            <w:shd w:fill="F4F7F9" w:val="clear"/>
          </w:tcPr>
          <w:p>
            <w:pPr>
              <w:spacing w:after="40" w:line="245" w:lineRule="auto"/>
            </w:pPr>
            <w:r>
              <w:rPr>
                <w:sz w:val="18"/>
              </w:rPr>
              <w:t>Have qualified personnel perform installation using approved facility and manufacturer procedures. Record completion, access, rack/power/failure-group and cable results.</w:t>
            </w:r>
          </w:p>
        </w:tc>
        <w:tc>
          <w:tcPr>
            <w:tcW w:type="dxa" w:w="2981"/>
            <w:tcMar>
              <w:top w:w="70" w:type="dxa"/>
              <w:start w:w="90" w:type="dxa"/>
              <w:bottom w:w="70" w:type="dxa"/>
              <w:end w:w="90" w:type="dxa"/>
            </w:tcMar>
            <w:vAlign w:val="top"/>
            <w:shd w:fill="F4F7F9" w:val="clear"/>
          </w:tcPr>
          <w:p>
            <w:pPr>
              <w:spacing w:after="40" w:line="245" w:lineRule="auto"/>
            </w:pPr>
            <w:r>
              <w:rPr>
                <w:sz w:val="18"/>
              </w:rPr>
              <w:t>Missing facility release, unsafe conditions or installation outside the accepted design.</w:t>
            </w:r>
          </w:p>
        </w:tc>
      </w:tr>
      <w:tr>
        <w:trPr>
          <w:cantSplit/>
        </w:trPr>
        <w:tc>
          <w:tcPr>
            <w:tcW w:type="dxa" w:w="1843"/>
            <w:tcMar>
              <w:top w:w="70" w:type="dxa"/>
              <w:start w:w="90" w:type="dxa"/>
              <w:bottom w:w="70" w:type="dxa"/>
              <w:end w:w="90" w:type="dxa"/>
            </w:tcMar>
            <w:vAlign w:val="top"/>
          </w:tcPr>
          <w:p>
            <w:pPr>
              <w:spacing w:after="40" w:line="245" w:lineRule="auto"/>
            </w:pPr>
            <w:r>
              <w:rPr>
                <w:sz w:val="18"/>
              </w:rPr>
              <w:t>Supply and baseline</w:t>
            </w:r>
          </w:p>
        </w:tc>
        <w:tc>
          <w:tcPr>
            <w:tcW w:type="dxa" w:w="5458"/>
            <w:tcMar>
              <w:top w:w="70" w:type="dxa"/>
              <w:start w:w="90" w:type="dxa"/>
              <w:bottom w:w="70" w:type="dxa"/>
              <w:end w:w="90" w:type="dxa"/>
            </w:tcMar>
            <w:vAlign w:val="top"/>
          </w:tcPr>
          <w:p>
            <w:pPr>
              <w:spacing w:after="40" w:line="245" w:lineRule="auto"/>
            </w:pPr>
            <w:r>
              <w:rPr>
                <w:sz w:val="18"/>
              </w:rPr>
              <w:t>Verify received equipment, licenses, support, firmware/driver compatibility and trusted software source. Retain media/part custody where required.</w:t>
            </w:r>
          </w:p>
        </w:tc>
        <w:tc>
          <w:tcPr>
            <w:tcW w:type="dxa" w:w="2981"/>
            <w:tcMar>
              <w:top w:w="70" w:type="dxa"/>
              <w:start w:w="90" w:type="dxa"/>
              <w:bottom w:w="70" w:type="dxa"/>
              <w:end w:w="90" w:type="dxa"/>
            </w:tcMar>
            <w:vAlign w:val="top"/>
          </w:tcPr>
          <w:p>
            <w:pPr>
              <w:spacing w:after="40" w:line="245" w:lineRule="auto"/>
            </w:pPr>
            <w:r>
              <w:rPr>
                <w:sz w:val="18"/>
              </w:rPr>
              <w:t>Unknown support combination, altered artifact or unaccounted component.</w:t>
            </w:r>
          </w:p>
        </w:tc>
      </w:tr>
      <w:tr>
        <w:trPr>
          <w:cantSplit/>
        </w:trPr>
        <w:tc>
          <w:tcPr>
            <w:tcW w:type="dxa" w:w="1843"/>
            <w:tcMar>
              <w:top w:w="70" w:type="dxa"/>
              <w:start w:w="90" w:type="dxa"/>
              <w:bottom w:w="70" w:type="dxa"/>
              <w:end w:w="90" w:type="dxa"/>
            </w:tcMar>
            <w:vAlign w:val="top"/>
            <w:shd w:fill="F4F7F9" w:val="clear"/>
          </w:tcPr>
          <w:p>
            <w:pPr>
              <w:spacing w:after="40" w:line="245" w:lineRule="auto"/>
            </w:pPr>
            <w:r>
              <w:rPr>
                <w:sz w:val="18"/>
              </w:rPr>
              <w:t>Restricted management</w:t>
            </w:r>
          </w:p>
        </w:tc>
        <w:tc>
          <w:tcPr>
            <w:tcW w:type="dxa" w:w="5458"/>
            <w:tcMar>
              <w:top w:w="70" w:type="dxa"/>
              <w:start w:w="90" w:type="dxa"/>
              <w:bottom w:w="70" w:type="dxa"/>
              <w:end w:w="90" w:type="dxa"/>
            </w:tcMar>
            <w:vAlign w:val="top"/>
            <w:shd w:fill="F4F7F9" w:val="clear"/>
          </w:tcPr>
          <w:p>
            <w:pPr>
              <w:spacing w:after="40" w:line="245" w:lineRule="auto"/>
            </w:pPr>
            <w:r>
              <w:rPr>
                <w:sz w:val="18"/>
              </w:rPr>
              <w:t>Establish the approved console/OOB and initial privileged trust; restrict target access and register temporary grants.</w:t>
            </w:r>
          </w:p>
        </w:tc>
        <w:tc>
          <w:tcPr>
            <w:tcW w:type="dxa" w:w="2981"/>
            <w:tcMar>
              <w:top w:w="70" w:type="dxa"/>
              <w:start w:w="90" w:type="dxa"/>
              <w:bottom w:w="70" w:type="dxa"/>
              <w:end w:w="90" w:type="dxa"/>
            </w:tcMar>
            <w:vAlign w:val="top"/>
            <w:shd w:fill="F4F7F9" w:val="clear"/>
          </w:tcPr>
          <w:p>
            <w:pPr>
              <w:spacing w:after="40" w:line="245" w:lineRule="auto"/>
            </w:pPr>
            <w:r>
              <w:rPr>
                <w:sz w:val="18"/>
              </w:rPr>
              <w:t>Default credentials or a tenant path exposes privileged management.</w:t>
            </w:r>
          </w:p>
        </w:tc>
      </w:tr>
      <w:tr>
        <w:trPr>
          <w:cantSplit/>
        </w:trPr>
        <w:tc>
          <w:tcPr>
            <w:tcW w:type="dxa" w:w="1843"/>
            <w:tcMar>
              <w:top w:w="70" w:type="dxa"/>
              <w:start w:w="90" w:type="dxa"/>
              <w:bottom w:w="70" w:type="dxa"/>
              <w:end w:w="90" w:type="dxa"/>
            </w:tcMar>
            <w:vAlign w:val="top"/>
          </w:tcPr>
          <w:p>
            <w:pPr>
              <w:spacing w:after="40" w:line="245" w:lineRule="auto"/>
            </w:pPr>
            <w:r>
              <w:rPr>
                <w:sz w:val="18"/>
              </w:rPr>
              <w:t>Minimum dependencies</w:t>
            </w:r>
          </w:p>
        </w:tc>
        <w:tc>
          <w:tcPr>
            <w:tcW w:type="dxa" w:w="5458"/>
            <w:tcMar>
              <w:top w:w="70" w:type="dxa"/>
              <w:start w:w="90" w:type="dxa"/>
              <w:bottom w:w="70" w:type="dxa"/>
              <w:end w:w="90" w:type="dxa"/>
            </w:tcMar>
            <w:vAlign w:val="top"/>
          </w:tcPr>
          <w:p>
            <w:pPr>
              <w:spacing w:after="40" w:line="245" w:lineRule="auto"/>
            </w:pPr>
            <w:r>
              <w:rPr>
                <w:sz w:val="18"/>
              </w:rPr>
              <w:t>Verify trusted time/name/identity or approved emergency alternatives, certificate trust and artifact access.</w:t>
            </w:r>
          </w:p>
        </w:tc>
        <w:tc>
          <w:tcPr>
            <w:tcW w:type="dxa" w:w="2981"/>
            <w:tcMar>
              <w:top w:w="70" w:type="dxa"/>
              <w:start w:w="90" w:type="dxa"/>
              <w:bottom w:w="70" w:type="dxa"/>
              <w:end w:w="90" w:type="dxa"/>
            </w:tcMar>
            <w:vAlign w:val="top"/>
          </w:tcPr>
          <w:p>
            <w:pPr>
              <w:spacing w:after="40" w:line="245" w:lineRule="auto"/>
            </w:pPr>
            <w:r>
              <w:rPr>
                <w:sz w:val="18"/>
              </w:rPr>
              <w:t>Required dependency has no accepted endpoint or independent recovery method.</w:t>
            </w:r>
          </w:p>
        </w:tc>
      </w:tr>
      <w:tr>
        <w:trPr>
          <w:cantSplit/>
        </w:trPr>
        <w:tc>
          <w:tcPr>
            <w:tcW w:type="dxa" w:w="1843"/>
            <w:tcMar>
              <w:top w:w="70" w:type="dxa"/>
              <w:start w:w="90" w:type="dxa"/>
              <w:bottom w:w="70" w:type="dxa"/>
              <w:end w:w="90" w:type="dxa"/>
            </w:tcMar>
            <w:vAlign w:val="top"/>
            <w:shd w:fill="F4F7F9" w:val="clear"/>
          </w:tcPr>
          <w:p>
            <w:pPr>
              <w:spacing w:after="40" w:line="245" w:lineRule="auto"/>
            </w:pPr>
            <w:r>
              <w:rPr>
                <w:sz w:val="18"/>
              </w:rPr>
              <w:t>Foundation observation</w:t>
            </w:r>
          </w:p>
        </w:tc>
        <w:tc>
          <w:tcPr>
            <w:tcW w:type="dxa" w:w="5458"/>
            <w:tcMar>
              <w:top w:w="70" w:type="dxa"/>
              <w:start w:w="90" w:type="dxa"/>
              <w:bottom w:w="70" w:type="dxa"/>
              <w:end w:w="90" w:type="dxa"/>
            </w:tcMar>
            <w:vAlign w:val="top"/>
            <w:shd w:fill="F4F7F9" w:val="clear"/>
          </w:tcPr>
          <w:p>
            <w:pPr>
              <w:spacing w:after="40" w:line="245" w:lineRule="auto"/>
            </w:pPr>
            <w:r>
              <w:rPr>
                <w:sz w:val="18"/>
              </w:rPr>
              <w:t>Use the approved configuration mechanism; observe links, control policy, MTU, allowed adjacency and surviving access.</w:t>
            </w:r>
          </w:p>
        </w:tc>
        <w:tc>
          <w:tcPr>
            <w:tcW w:type="dxa" w:w="2981"/>
            <w:tcMar>
              <w:top w:w="70" w:type="dxa"/>
              <w:start w:w="90" w:type="dxa"/>
              <w:bottom w:w="70" w:type="dxa"/>
              <w:end w:w="90" w:type="dxa"/>
            </w:tcMar>
            <w:vAlign w:val="top"/>
            <w:shd w:fill="F4F7F9" w:val="clear"/>
          </w:tcPr>
          <w:p>
            <w:pPr>
              <w:spacing w:after="40" w:line="245" w:lineRule="auto"/>
            </w:pPr>
            <w:r>
              <w:rPr>
                <w:sz w:val="18"/>
              </w:rPr>
              <w:t>Unexpected route/port, missing policy or failed recovery access.</w:t>
            </w:r>
          </w:p>
        </w:tc>
      </w:tr>
      <w:tr>
        <w:trPr>
          <w:cantSplit/>
        </w:trPr>
        <w:tc>
          <w:tcPr>
            <w:tcW w:type="dxa" w:w="1843"/>
            <w:tcMar>
              <w:top w:w="70" w:type="dxa"/>
              <w:start w:w="90" w:type="dxa"/>
              <w:bottom w:w="70" w:type="dxa"/>
              <w:end w:w="90" w:type="dxa"/>
            </w:tcMar>
            <w:vAlign w:val="top"/>
          </w:tcPr>
          <w:p>
            <w:pPr>
              <w:spacing w:after="40" w:line="245" w:lineRule="auto"/>
            </w:pPr>
            <w:r>
              <w:rPr>
                <w:sz w:val="18"/>
              </w:rPr>
              <w:t>Handover</w:t>
            </w:r>
          </w:p>
        </w:tc>
        <w:tc>
          <w:tcPr>
            <w:tcW w:type="dxa" w:w="5458"/>
            <w:tcMar>
              <w:top w:w="70" w:type="dxa"/>
              <w:start w:w="90" w:type="dxa"/>
              <w:bottom w:w="70" w:type="dxa"/>
              <w:end w:w="90" w:type="dxa"/>
            </w:tcMar>
            <w:vAlign w:val="top"/>
          </w:tcPr>
          <w:p>
            <w:pPr>
              <w:spacing w:after="40" w:line="245" w:lineRule="auto"/>
            </w:pPr>
            <w:r>
              <w:rPr>
                <w:sz w:val="18"/>
              </w:rPr>
              <w:t>Store actual configuration, ownership, recovery copy, telemetry and open deviations; obtain G1 scope acceptance.</w:t>
            </w:r>
          </w:p>
        </w:tc>
        <w:tc>
          <w:tcPr>
            <w:tcW w:type="dxa" w:w="2981"/>
            <w:tcMar>
              <w:top w:w="70" w:type="dxa"/>
              <w:start w:w="90" w:type="dxa"/>
              <w:bottom w:w="70" w:type="dxa"/>
              <w:end w:w="90" w:type="dxa"/>
            </w:tcMar>
            <w:vAlign w:val="top"/>
          </w:tcPr>
          <w:p>
            <w:pPr>
              <w:spacing w:after="40" w:line="245" w:lineRule="auto"/>
            </w:pPr>
            <w:r>
              <w:rPr>
                <w:sz w:val="18"/>
              </w:rPr>
              <w:t>Required observations absent or unresolved critical deviations.</w:t>
            </w:r>
          </w:p>
        </w:tc>
      </w:tr>
    </w:tbl>
    <w:p>
      <w:pPr>
        <w:spacing w:after="0"/>
      </w:pPr>
      <w:r/>
    </w:p>
    <w:p>
      <w:r>
        <w:t>Do not store production secrets in this kit. Record a protected custody reference and the authorized role. A temporary bootstrap credential is not a permanent exception to separation of duties.</w:t>
      </w:r>
    </w:p>
    <w:p>
      <w:r>
        <w:br w:type="page"/>
      </w:r>
    </w:p>
    <w:p>
      <w:pPr>
        <w:pStyle w:val="Heading1"/>
      </w:pPr>
      <w:r>
        <w:t>4. Native platform commissioning tracks</w:t>
      </w:r>
      <w:bookmarkStart w:id="1003" w:name="IK_04"/>
      <w:bookmarkEnd w:id="1003"/>
    </w:p>
    <w:p>
      <w:r>
        <w:t>Use the selected vendor track, not all three stacks simultaneously by default. The same reference service is repeated on the next stack to establish a separate portability claim.</w:t>
      </w:r>
    </w:p>
    <w:p>
      <w:pPr>
        <w:pStyle w:val="Caption"/>
      </w:pPr>
      <w:r>
        <w:t xml:space="preserve">Baseline and related records: </w:t>
      </w:r>
      <w:hyperlink r:id="rId20">
        <w:r>
          <w:rPr>
            <w:color w:val="0B6B70"/>
            <w:u w:val="single"/>
          </w:rPr>
          <w:t>VC §2</w:t>
        </w:r>
      </w:hyperlink>
      <w:r>
        <w:t xml:space="preserve">  •  </w:t>
      </w:r>
      <w:hyperlink r:id="rId21">
        <w:r>
          <w:rPr>
            <w:color w:val="0B6B70"/>
            <w:u w:val="single"/>
          </w:rPr>
          <w:t>VC §3</w:t>
        </w:r>
      </w:hyperlink>
      <w:r>
        <w:t xml:space="preserve">  •  </w:t>
      </w:r>
      <w:hyperlink r:id="rId22">
        <w:r>
          <w:rPr>
            <w:color w:val="0B6B70"/>
            <w:u w:val="single"/>
          </w:rPr>
          <w:t>VC §4</w:t>
        </w:r>
      </w:hyperlink>
      <w:r>
        <w:t xml:space="preserve">  •  </w:t>
      </w:r>
      <w:hyperlink r:id="rId23">
        <w:r>
          <w:rPr>
            <w:color w:val="0B6B70"/>
            <w:u w:val="single"/>
          </w:rPr>
          <w:t>RA §22</w:t>
        </w:r>
      </w:hyperlink>
    </w:p>
    <w:tbl>
      <w:tblPr>
        <w:tblW w:type="auto" w:w="0"/>
        <w:jc w:val="center"/>
        <w:tblLayout w:type="fixed"/>
        <w:tblLook w:firstColumn="1" w:firstRow="1" w:lastColumn="0" w:lastRow="0" w:noHBand="0" w:noVBand="1" w:val="04A0"/>
      </w:tblPr>
      <w:tblGrid>
        <w:gridCol w:w="1944"/>
        <w:gridCol w:w="4262"/>
        <w:gridCol w:w="4075"/>
      </w:tblGrid>
      <w:tr>
        <w:trPr>
          <w:tblHeader/>
        </w:trPr>
        <w:tc>
          <w:tcPr>
            <w:tcW w:type="dxa" w:w="1944"/>
            <w:shd w:fill="15384A" w:val="clear"/>
            <w:tcMar>
              <w:top w:w="70" w:type="dxa"/>
              <w:start w:w="90" w:type="dxa"/>
              <w:bottom w:w="70" w:type="dxa"/>
              <w:end w:w="90" w:type="dxa"/>
            </w:tcMar>
          </w:tcPr>
          <w:p>
            <w:r>
              <w:rPr>
                <w:b/>
                <w:color w:val="FFFFFF"/>
                <w:sz w:val="18"/>
              </w:rPr>
              <w:t>Track</w:t>
            </w:r>
          </w:p>
        </w:tc>
        <w:tc>
          <w:tcPr>
            <w:tcW w:type="dxa" w:w="4262"/>
            <w:shd w:fill="15384A" w:val="clear"/>
            <w:tcMar>
              <w:top w:w="70" w:type="dxa"/>
              <w:start w:w="90" w:type="dxa"/>
              <w:bottom w:w="70" w:type="dxa"/>
              <w:end w:w="90" w:type="dxa"/>
            </w:tcMar>
          </w:tcPr>
          <w:p>
            <w:r>
              <w:rPr>
                <w:b/>
                <w:color w:val="FFFFFF"/>
                <w:sz w:val="18"/>
              </w:rPr>
              <w:t>Native installation and preparation</w:t>
            </w:r>
          </w:p>
        </w:tc>
        <w:tc>
          <w:tcPr>
            <w:tcW w:type="dxa" w:w="4075"/>
            <w:shd w:fill="15384A" w:val="clear"/>
            <w:tcMar>
              <w:top w:w="70" w:type="dxa"/>
              <w:start w:w="90" w:type="dxa"/>
              <w:bottom w:w="70" w:type="dxa"/>
              <w:end w:w="90" w:type="dxa"/>
            </w:tcMar>
          </w:tcPr>
          <w:p>
            <w:r>
              <w:rPr>
                <w:b/>
                <w:color w:val="FFFFFF"/>
                <w:sz w:val="18"/>
              </w:rPr>
              <w:t>Required observations</w:t>
            </w:r>
          </w:p>
        </w:tc>
      </w:tr>
      <w:tr>
        <w:trPr>
          <w:cantSplit/>
        </w:trPr>
        <w:tc>
          <w:tcPr>
            <w:tcW w:type="dxa" w:w="1944"/>
            <w:tcMar>
              <w:top w:w="70" w:type="dxa"/>
              <w:start w:w="90" w:type="dxa"/>
              <w:bottom w:w="70" w:type="dxa"/>
              <w:end w:w="90" w:type="dxa"/>
            </w:tcMar>
            <w:vAlign w:val="top"/>
          </w:tcPr>
          <w:p>
            <w:pPr>
              <w:spacing w:after="40" w:line="245" w:lineRule="auto"/>
            </w:pPr>
            <w:r>
              <w:rPr>
                <w:sz w:val="18"/>
              </w:rPr>
              <w:t>Nutanix / RB-02</w:t>
            </w:r>
          </w:p>
        </w:tc>
        <w:tc>
          <w:tcPr>
            <w:tcW w:type="dxa" w:w="4262"/>
            <w:tcMar>
              <w:top w:w="70" w:type="dxa"/>
              <w:start w:w="90" w:type="dxa"/>
              <w:bottom w:w="70" w:type="dxa"/>
              <w:end w:w="90" w:type="dxa"/>
            </w:tcMar>
            <w:vAlign w:val="top"/>
          </w:tcPr>
          <w:p>
            <w:pPr>
              <w:spacing w:after="40" w:line="245" w:lineRule="auto"/>
            </w:pPr>
            <w:r>
              <w:rPr>
                <w:sz w:val="18"/>
              </w:rPr>
              <w:t>Supported AHV/AOS and Prism installation; chosen Flow networking/security; eligible host/controller/storage scope and isolated external handoffs.</w:t>
            </w:r>
          </w:p>
        </w:tc>
        <w:tc>
          <w:tcPr>
            <w:tcW w:type="dxa" w:w="4075"/>
            <w:tcMar>
              <w:top w:w="70" w:type="dxa"/>
              <w:start w:w="90" w:type="dxa"/>
              <w:bottom w:w="70" w:type="dxa"/>
              <w:end w:w="90" w:type="dxa"/>
            </w:tcMar>
            <w:vAlign w:val="top"/>
          </w:tcPr>
          <w:p>
            <w:pPr>
              <w:spacing w:after="40" w:line="245" w:lineRule="auto"/>
            </w:pPr>
            <w:r>
              <w:rPr>
                <w:sz w:val="18"/>
              </w:rPr>
              <w:t>Actual VPC/external routing and policy; same-host enforcement; no shared-connected bypass; storage, key and controller dependencies.</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VMware/NSX / RB-03</w:t>
            </w:r>
          </w:p>
        </w:tc>
        <w:tc>
          <w:tcPr>
            <w:tcW w:type="dxa" w:w="4262"/>
            <w:tcMar>
              <w:top w:w="70" w:type="dxa"/>
              <w:start w:w="90" w:type="dxa"/>
              <w:bottom w:w="70" w:type="dxa"/>
              <w:end w:w="90" w:type="dxa"/>
            </w:tcMar>
            <w:vAlign w:val="top"/>
            <w:shd w:fill="F4F7F9" w:val="clear"/>
          </w:tcPr>
          <w:p>
            <w:pPr>
              <w:spacing w:after="40" w:line="245" w:lineRule="auto"/>
            </w:pPr>
            <w:r>
              <w:rPr>
                <w:sz w:val="18"/>
              </w:rPr>
              <w:t>Supported vCenter/ESXi and storage; NSX management, transport/Edge topology, independent domain and upstream contexts.</w:t>
            </w:r>
          </w:p>
        </w:tc>
        <w:tc>
          <w:tcPr>
            <w:tcW w:type="dxa" w:w="4075"/>
            <w:tcMar>
              <w:top w:w="70" w:type="dxa"/>
              <w:start w:w="90" w:type="dxa"/>
              <w:bottom w:w="70" w:type="dxa"/>
              <w:end w:w="90" w:type="dxa"/>
            </w:tcMar>
            <w:vAlign w:val="top"/>
            <w:shd w:fill="F4F7F9" w:val="clear"/>
          </w:tcPr>
          <w:p>
            <w:pPr>
              <w:spacing w:after="40" w:line="245" w:lineRule="auto"/>
            </w:pPr>
            <w:r>
              <w:rPr>
                <w:sz w:val="18"/>
              </w:rPr>
              <w:t>Actual distributed and service-router paths; gateway mode compatibility; no unauthorized route propagation; DFW ownership and Edge failure behaviour.</w:t>
            </w:r>
          </w:p>
        </w:tc>
      </w:tr>
      <w:tr>
        <w:trPr>
          <w:cantSplit/>
        </w:trPr>
        <w:tc>
          <w:tcPr>
            <w:tcW w:type="dxa" w:w="1944"/>
            <w:tcMar>
              <w:top w:w="70" w:type="dxa"/>
              <w:start w:w="90" w:type="dxa"/>
              <w:bottom w:w="70" w:type="dxa"/>
              <w:end w:w="90" w:type="dxa"/>
            </w:tcMar>
            <w:vAlign w:val="top"/>
          </w:tcPr>
          <w:p>
            <w:pPr>
              <w:spacing w:after="40" w:line="245" w:lineRule="auto"/>
            </w:pPr>
            <w:r>
              <w:rPr>
                <w:sz w:val="18"/>
              </w:rPr>
              <w:t>OpenStack / RB-04</w:t>
            </w:r>
          </w:p>
        </w:tc>
        <w:tc>
          <w:tcPr>
            <w:tcW w:type="dxa" w:w="4262"/>
            <w:tcMar>
              <w:top w:w="70" w:type="dxa"/>
              <w:start w:w="90" w:type="dxa"/>
              <w:bottom w:w="70" w:type="dxa"/>
              <w:end w:w="90" w:type="dxa"/>
            </w:tcMar>
            <w:vAlign w:val="top"/>
          </w:tcPr>
          <w:p>
            <w:pPr>
              <w:spacing w:after="40" w:line="245" w:lineRule="auto"/>
            </w:pPr>
            <w:r>
              <w:rPr>
                <w:sz w:val="18"/>
              </w:rPr>
              <w:t>Selected distribution services, databases/messaging, Keystone/Nova/Placement, Neutron backend, Glance/Cinder and offered services.</w:t>
            </w:r>
          </w:p>
        </w:tc>
        <w:tc>
          <w:tcPr>
            <w:tcW w:type="dxa" w:w="4075"/>
            <w:tcMar>
              <w:top w:w="70" w:type="dxa"/>
              <w:start w:w="90" w:type="dxa"/>
              <w:bottom w:w="70" w:type="dxa"/>
              <w:end w:w="90" w:type="dxa"/>
            </w:tcMar>
            <w:vAlign w:val="top"/>
          </w:tcPr>
          <w:p>
            <w:pPr>
              <w:spacing w:after="40" w:line="245" w:lineRule="auto"/>
            </w:pPr>
            <w:r>
              <w:rPr>
                <w:sz w:val="18"/>
              </w:rPr>
              <w:t>Scheduler constraints; provider-owned mandatory network mutation; additive group behaviour; distributed paths, gateway and storage dependencies.</w:t>
            </w:r>
          </w:p>
        </w:tc>
      </w:tr>
    </w:tbl>
    <w:p>
      <w:pPr>
        <w:spacing w:after="0"/>
      </w:pPr>
      <w:r/>
    </w:p>
    <w:p>
      <w:pPr>
        <w:pStyle w:val="Heading2"/>
      </w:pPr>
      <w:r>
        <w:t>Common platform receipt</w:t>
      </w:r>
    </w:p>
    <w:p>
      <w:r>
        <w:t>Record product, API, provider and installer versions; firmware/drivers and hardware; enabled features and entitlements; control and storage placement; resource identity and authoritative writer; accepted management and data paths; actual tests; limitations; and supported upgrade/recovery approach.</w:t>
      </w:r>
    </w:p>
    <w:p>
      <w:r>
        <w:t>Terraform starts at the supported resource API boundary. A native installer can remain the owner of platform installation, upgrades or controller-managed objects. Do not import or directly edit backend objects owned by another control system merely to make every step appear to be Terraform.</w:t>
      </w:r>
    </w:p>
    <w:p>
      <w:pPr>
        <w:keepLines/>
        <w:spacing w:before="140" w:after="200"/>
        <w:shd w:fill="EEF5F7" w:val="clear"/>
        <w:pBdr>
          <w:left w:val="single" w:sz="12" w:space="8" w:color="0B6B70"/>
        </w:pBdr>
      </w:pPr>
      <w:r>
        <w:rPr>
          <w:b/>
        </w:rPr>
        <w:t>A documented vendor feature is not a qualified tuple. KIT-TN-01 adds an explicit NSX parent-gateway mode compatibility check; apply it to the selected release before choosing a Tier-0 VRF realization.</w:t>
      </w:r>
    </w:p>
    <w:p>
      <w:pPr>
        <w:pStyle w:val="Caption"/>
      </w:pPr>
      <w:r>
        <w:t xml:space="preserve">External mechanism context: </w:t>
      </w:r>
      <w:hyperlink r:id="rId24">
        <w:r>
          <w:rPr>
            <w:color w:val="0B6B70"/>
            <w:u w:val="single"/>
          </w:rPr>
          <w:t>K05 — Official Nutanix Terraform provider repository</w:t>
        </w:r>
      </w:hyperlink>
      <w:r>
        <w:t xml:space="preserve">  •  </w:t>
      </w:r>
      <w:hyperlink r:id="rId25">
        <w:r>
          <w:rPr>
            <w:color w:val="0B6B70"/>
            <w:u w:val="single"/>
          </w:rPr>
          <w:t>K06 — OpenStack Neutron networking concepts</w:t>
        </w:r>
      </w:hyperlink>
      <w:r>
        <w:t xml:space="preserve">  •  </w:t>
      </w:r>
      <w:hyperlink r:id="rId26">
        <w:r>
          <w:rPr>
            <w:color w:val="0B6B70"/>
            <w:u w:val="single"/>
          </w:rPr>
          <w:t>K07 — OpenStack OVN reference architecture</w:t>
        </w:r>
      </w:hyperlink>
      <w:r>
        <w:t xml:space="preserve">  •  </w:t>
      </w:r>
      <w:hyperlink r:id="rId27">
        <w:r>
          <w:rPr>
            <w:color w:val="0B6B70"/>
            <w:u w:val="single"/>
          </w:rPr>
          <w:t>K08 — OpenStack Nova host aggregates</w:t>
        </w:r>
      </w:hyperlink>
      <w:r>
        <w:t xml:space="preserve">  •  </w:t>
      </w:r>
      <w:hyperlink r:id="rId28">
        <w:r>
          <w:rPr>
            <w:color w:val="0B6B70"/>
            <w:u w:val="single"/>
          </w:rPr>
          <w:t>K09 — Broadcom KB 442835 — Tier-0 VRF and active-active stateful HA</w:t>
        </w:r>
      </w:hyperlink>
    </w:p>
    <w:p>
      <w:r>
        <w:br w:type="page"/>
      </w:r>
    </w:p>
    <w:p>
      <w:pPr>
        <w:pStyle w:val="Heading1"/>
      </w:pPr>
      <w:r>
        <w:t>5. Shared security, services and protection</w:t>
      </w:r>
      <w:bookmarkStart w:id="1004" w:name="IK_05"/>
      <w:bookmarkEnd w:id="1004"/>
    </w:p>
    <w:p>
      <w:r>
        <w:t>Use RB-05. Shared services and ZIP capacity are provider infrastructure, not incidental tenant modules.</w:t>
      </w:r>
    </w:p>
    <w:p>
      <w:pPr>
        <w:pStyle w:val="Caption"/>
      </w:pPr>
      <w:r>
        <w:t xml:space="preserve">Baseline and related records: </w:t>
      </w:r>
      <w:hyperlink r:id="rId29">
        <w:r>
          <w:rPr>
            <w:color w:val="0B6B70"/>
            <w:u w:val="single"/>
          </w:rPr>
          <w:t>RA §9</w:t>
        </w:r>
      </w:hyperlink>
      <w:r>
        <w:t xml:space="preserve">  •  </w:t>
      </w:r>
      <w:hyperlink r:id="rId30">
        <w:r>
          <w:rPr>
            <w:color w:val="0B6B70"/>
            <w:u w:val="single"/>
          </w:rPr>
          <w:t>RA §12</w:t>
        </w:r>
      </w:hyperlink>
      <w:r>
        <w:t xml:space="preserve">  •  </w:t>
      </w:r>
      <w:hyperlink r:id="rId31">
        <w:r>
          <w:rPr>
            <w:color w:val="0B6B70"/>
            <w:u w:val="single"/>
          </w:rPr>
          <w:t>SVC §1</w:t>
        </w:r>
      </w:hyperlink>
      <w:r>
        <w:t xml:space="preserve">  •  </w:t>
      </w:r>
      <w:hyperlink r:id="rId32">
        <w:r>
          <w:rPr>
            <w:color w:val="0B6B70"/>
            <w:u w:val="single"/>
          </w:rPr>
          <w:t>WD §7</w:t>
        </w:r>
      </w:hyperlink>
    </w:p>
    <w:tbl>
      <w:tblPr>
        <w:tblW w:type="auto" w:w="0"/>
        <w:jc w:val="center"/>
        <w:tblLayout w:type="fixed"/>
        <w:tblLook w:firstColumn="1" w:firstRow="1" w:lastColumn="0" w:lastRow="0" w:noHBand="0" w:noVBand="1" w:val="04A0"/>
      </w:tblPr>
      <w:tblGrid>
        <w:gridCol w:w="1757"/>
        <w:gridCol w:w="5429"/>
        <w:gridCol w:w="3096"/>
      </w:tblGrid>
      <w:tr>
        <w:trPr>
          <w:tblHeader/>
        </w:trPr>
        <w:tc>
          <w:tcPr>
            <w:tcW w:type="dxa" w:w="1757"/>
            <w:shd w:fill="15384A" w:val="clear"/>
            <w:tcMar>
              <w:top w:w="70" w:type="dxa"/>
              <w:start w:w="90" w:type="dxa"/>
              <w:bottom w:w="70" w:type="dxa"/>
              <w:end w:w="90" w:type="dxa"/>
            </w:tcMar>
          </w:tcPr>
          <w:p>
            <w:r>
              <w:rPr>
                <w:b/>
                <w:color w:val="FFFFFF"/>
                <w:sz w:val="18"/>
              </w:rPr>
              <w:t>Service boundary</w:t>
            </w:r>
          </w:p>
        </w:tc>
        <w:tc>
          <w:tcPr>
            <w:tcW w:type="dxa" w:w="5429"/>
            <w:shd w:fill="15384A" w:val="clear"/>
            <w:tcMar>
              <w:top w:w="70" w:type="dxa"/>
              <w:start w:w="90" w:type="dxa"/>
              <w:bottom w:w="70" w:type="dxa"/>
              <w:end w:w="90" w:type="dxa"/>
            </w:tcMar>
          </w:tcPr>
          <w:p>
            <w:r>
              <w:rPr>
                <w:b/>
                <w:color w:val="FFFFFF"/>
                <w:sz w:val="18"/>
              </w:rPr>
              <w:t>Commissioning observation</w:t>
            </w:r>
          </w:p>
        </w:tc>
        <w:tc>
          <w:tcPr>
            <w:tcW w:type="dxa" w:w="3096"/>
            <w:shd w:fill="15384A" w:val="clear"/>
            <w:tcMar>
              <w:top w:w="70" w:type="dxa"/>
              <w:start w:w="90" w:type="dxa"/>
              <w:bottom w:w="70" w:type="dxa"/>
              <w:end w:w="90" w:type="dxa"/>
            </w:tcMar>
          </w:tcPr>
          <w:p>
            <w:r>
              <w:rPr>
                <w:b/>
                <w:color w:val="FFFFFF"/>
                <w:sz w:val="18"/>
              </w:rPr>
              <w:t>Receipt / responsible owner</w:t>
            </w:r>
          </w:p>
        </w:tc>
      </w:tr>
      <w:tr>
        <w:trPr>
          <w:cantSplit/>
        </w:trPr>
        <w:tc>
          <w:tcPr>
            <w:tcW w:type="dxa" w:w="1757"/>
            <w:tcMar>
              <w:top w:w="70" w:type="dxa"/>
              <w:start w:w="90" w:type="dxa"/>
              <w:bottom w:w="70" w:type="dxa"/>
              <w:end w:w="90" w:type="dxa"/>
            </w:tcMar>
            <w:vAlign w:val="top"/>
          </w:tcPr>
          <w:p>
            <w:pPr>
              <w:spacing w:after="40" w:line="245" w:lineRule="auto"/>
            </w:pPr>
            <w:r>
              <w:rPr>
                <w:sz w:val="18"/>
              </w:rPr>
              <w:t>EC/SE and domain handoffs</w:t>
            </w:r>
          </w:p>
        </w:tc>
        <w:tc>
          <w:tcPr>
            <w:tcW w:type="dxa" w:w="5429"/>
            <w:tcMar>
              <w:top w:w="70" w:type="dxa"/>
              <w:start w:w="90" w:type="dxa"/>
              <w:bottom w:w="70" w:type="dxa"/>
              <w:end w:w="90" w:type="dxa"/>
            </w:tcMar>
            <w:vAlign w:val="top"/>
          </w:tcPr>
          <w:p>
            <w:pPr>
              <w:spacing w:after="40" w:line="245" w:lineRule="auto"/>
            </w:pPr>
            <w:r>
              <w:rPr>
                <w:sz w:val="18"/>
              </w:rPr>
              <w:t>Correct context membership, permitted prefixes, connected routes, forward/reply symmetry, no alternative inspection bypass; management separately controlled.</w:t>
            </w:r>
          </w:p>
        </w:tc>
        <w:tc>
          <w:tcPr>
            <w:tcW w:type="dxa" w:w="3096"/>
            <w:tcMar>
              <w:top w:w="70" w:type="dxa"/>
              <w:start w:w="90" w:type="dxa"/>
              <w:bottom w:w="70" w:type="dxa"/>
              <w:end w:w="90" w:type="dxa"/>
            </w:tcMar>
            <w:vAlign w:val="top"/>
          </w:tcPr>
          <w:p>
            <w:pPr>
              <w:spacing w:after="40" w:line="245" w:lineRule="auto"/>
            </w:pPr>
            <w:r>
              <w:rPr>
                <w:sz w:val="18"/>
              </w:rPr>
              <w:t>Context/interface identities, policies, capacity and test traces / security-edge owner.</w:t>
            </w:r>
          </w:p>
        </w:tc>
      </w:tr>
      <w:tr>
        <w:trPr>
          <w:cantSplit/>
        </w:trPr>
        <w:tc>
          <w:tcPr>
            <w:tcW w:type="dxa" w:w="1757"/>
            <w:tcMar>
              <w:top w:w="70" w:type="dxa"/>
              <w:start w:w="90" w:type="dxa"/>
              <w:bottom w:w="70" w:type="dxa"/>
              <w:end w:w="90" w:type="dxa"/>
            </w:tcMar>
            <w:vAlign w:val="top"/>
            <w:shd w:fill="F4F7F9" w:val="clear"/>
          </w:tcPr>
          <w:p>
            <w:pPr>
              <w:spacing w:after="40" w:line="245" w:lineRule="auto"/>
            </w:pPr>
            <w:r>
              <w:rPr>
                <w:sz w:val="18"/>
              </w:rPr>
              <w:t>Names, addresses and time</w:t>
            </w:r>
          </w:p>
        </w:tc>
        <w:tc>
          <w:tcPr>
            <w:tcW w:type="dxa" w:w="5429"/>
            <w:tcMar>
              <w:top w:w="70" w:type="dxa"/>
              <w:start w:w="90" w:type="dxa"/>
              <w:bottom w:w="70" w:type="dxa"/>
              <w:end w:w="90" w:type="dxa"/>
            </w:tcMar>
            <w:vAlign w:val="top"/>
            <w:shd w:fill="F4F7F9" w:val="clear"/>
          </w:tcPr>
          <w:p>
            <w:pPr>
              <w:spacing w:after="40" w:line="245" w:lineRule="auto"/>
            </w:pPr>
            <w:r>
              <w:rPr>
                <w:sz w:val="18"/>
              </w:rPr>
              <w:t>One authoritative allocator per delegated scope; forward/reverse lifecycle and reuse; DNS UDP/TCP and fallback; selected time service.</w:t>
            </w:r>
          </w:p>
        </w:tc>
        <w:tc>
          <w:tcPr>
            <w:tcW w:type="dxa" w:w="3096"/>
            <w:tcMar>
              <w:top w:w="70" w:type="dxa"/>
              <w:start w:w="90" w:type="dxa"/>
              <w:bottom w:w="70" w:type="dxa"/>
              <w:end w:w="90" w:type="dxa"/>
            </w:tcMar>
            <w:vAlign w:val="top"/>
            <w:shd w:fill="F4F7F9" w:val="clear"/>
          </w:tcPr>
          <w:p>
            <w:pPr>
              <w:spacing w:after="40" w:line="245" w:lineRule="auto"/>
            </w:pPr>
            <w:r>
              <w:rPr>
                <w:sz w:val="18"/>
              </w:rPr>
              <w:t>Allocations, names, TTL/lease constraints, protocol checks / network-service owner.</w:t>
            </w:r>
          </w:p>
        </w:tc>
      </w:tr>
      <w:tr>
        <w:trPr>
          <w:cantSplit/>
        </w:trPr>
        <w:tc>
          <w:tcPr>
            <w:tcW w:type="dxa" w:w="1757"/>
            <w:tcMar>
              <w:top w:w="70" w:type="dxa"/>
              <w:start w:w="90" w:type="dxa"/>
              <w:bottom w:w="70" w:type="dxa"/>
              <w:end w:w="90" w:type="dxa"/>
            </w:tcMar>
            <w:vAlign w:val="top"/>
          </w:tcPr>
          <w:p>
            <w:pPr>
              <w:spacing w:after="40" w:line="245" w:lineRule="auto"/>
            </w:pPr>
            <w:r>
              <w:rPr>
                <w:sz w:val="18"/>
              </w:rPr>
              <w:t>Identity and privileges</w:t>
            </w:r>
          </w:p>
        </w:tc>
        <w:tc>
          <w:tcPr>
            <w:tcW w:type="dxa" w:w="5429"/>
            <w:tcMar>
              <w:top w:w="70" w:type="dxa"/>
              <w:start w:w="90" w:type="dxa"/>
              <w:bottom w:w="70" w:type="dxa"/>
              <w:end w:w="90" w:type="dxa"/>
            </w:tcMar>
            <w:vAlign w:val="top"/>
          </w:tcPr>
          <w:p>
            <w:pPr>
              <w:spacing w:after="40" w:line="245" w:lineRule="auto"/>
            </w:pPr>
            <w:r>
              <w:rPr>
                <w:sz w:val="18"/>
              </w:rPr>
              <w:t>Actual native roles match approved duties; tenant cannot modify baseline or foreign resources; recovery path is controlled.</w:t>
            </w:r>
          </w:p>
        </w:tc>
        <w:tc>
          <w:tcPr>
            <w:tcW w:type="dxa" w:w="3096"/>
            <w:tcMar>
              <w:top w:w="70" w:type="dxa"/>
              <w:start w:w="90" w:type="dxa"/>
              <w:bottom w:w="70" w:type="dxa"/>
              <w:end w:w="90" w:type="dxa"/>
            </w:tcMar>
            <w:vAlign w:val="top"/>
          </w:tcPr>
          <w:p>
            <w:pPr>
              <w:spacing w:after="40" w:line="245" w:lineRule="auto"/>
            </w:pPr>
            <w:r>
              <w:rPr>
                <w:sz w:val="18"/>
              </w:rPr>
              <w:t>Role and target-scope review, grant/revocation evidence / identity and platform owners.</w:t>
            </w:r>
          </w:p>
        </w:tc>
      </w:tr>
      <w:tr>
        <w:trPr>
          <w:cantSplit/>
        </w:trPr>
        <w:tc>
          <w:tcPr>
            <w:tcW w:type="dxa" w:w="1757"/>
            <w:tcMar>
              <w:top w:w="70" w:type="dxa"/>
              <w:start w:w="90" w:type="dxa"/>
              <w:bottom w:w="70" w:type="dxa"/>
              <w:end w:w="90" w:type="dxa"/>
            </w:tcMar>
            <w:vAlign w:val="top"/>
            <w:shd w:fill="F4F7F9" w:val="clear"/>
          </w:tcPr>
          <w:p>
            <w:pPr>
              <w:spacing w:after="40" w:line="245" w:lineRule="auto"/>
            </w:pPr>
            <w:r>
              <w:rPr>
                <w:sz w:val="18"/>
              </w:rPr>
              <w:t>Certificates and keys</w:t>
            </w:r>
          </w:p>
        </w:tc>
        <w:tc>
          <w:tcPr>
            <w:tcW w:type="dxa" w:w="5429"/>
            <w:tcMar>
              <w:top w:w="70" w:type="dxa"/>
              <w:start w:w="90" w:type="dxa"/>
              <w:bottom w:w="70" w:type="dxa"/>
              <w:end w:w="90" w:type="dxa"/>
            </w:tcMar>
            <w:vAlign w:val="top"/>
            <w:shd w:fill="F4F7F9" w:val="clear"/>
          </w:tcPr>
          <w:p>
            <w:pPr>
              <w:spacing w:after="40" w:line="245" w:lineRule="auto"/>
            </w:pPr>
            <w:r>
              <w:rPr>
                <w:sz w:val="18"/>
              </w:rPr>
              <w:t>Correct client/issuer/trust relationship, endpoint validation, use versus administration, retained-copy key continuity; no plaintext fallback.</w:t>
            </w:r>
          </w:p>
        </w:tc>
        <w:tc>
          <w:tcPr>
            <w:tcW w:type="dxa" w:w="3096"/>
            <w:tcMar>
              <w:top w:w="70" w:type="dxa"/>
              <w:start w:w="90" w:type="dxa"/>
              <w:bottom w:w="70" w:type="dxa"/>
              <w:end w:w="90" w:type="dxa"/>
            </w:tcMar>
            <w:vAlign w:val="top"/>
            <w:shd w:fill="F4F7F9" w:val="clear"/>
          </w:tcPr>
          <w:p>
            <w:pPr>
              <w:spacing w:after="40" w:line="245" w:lineRule="auto"/>
            </w:pPr>
            <w:r>
              <w:rPr>
                <w:sz w:val="18"/>
              </w:rPr>
              <w:t>Key/certificate references and observed recovery behaviour / trust custodians.</w:t>
            </w:r>
          </w:p>
        </w:tc>
      </w:tr>
      <w:tr>
        <w:trPr>
          <w:cantSplit/>
        </w:trPr>
        <w:tc>
          <w:tcPr>
            <w:tcW w:type="dxa" w:w="1757"/>
            <w:tcMar>
              <w:top w:w="70" w:type="dxa"/>
              <w:start w:w="90" w:type="dxa"/>
              <w:bottom w:w="70" w:type="dxa"/>
              <w:end w:w="90" w:type="dxa"/>
            </w:tcMar>
            <w:vAlign w:val="top"/>
          </w:tcPr>
          <w:p>
            <w:pPr>
              <w:spacing w:after="40" w:line="245" w:lineRule="auto"/>
            </w:pPr>
            <w:r>
              <w:rPr>
                <w:sz w:val="18"/>
              </w:rPr>
              <w:t>Logging and monitoring</w:t>
            </w:r>
          </w:p>
        </w:tc>
        <w:tc>
          <w:tcPr>
            <w:tcW w:type="dxa" w:w="5429"/>
            <w:tcMar>
              <w:top w:w="70" w:type="dxa"/>
              <w:start w:w="90" w:type="dxa"/>
              <w:bottom w:w="70" w:type="dxa"/>
              <w:end w:w="90" w:type="dxa"/>
            </w:tcMar>
            <w:vAlign w:val="top"/>
          </w:tcPr>
          <w:p>
            <w:pPr>
              <w:spacing w:after="40" w:line="245" w:lineRule="auto"/>
            </w:pPr>
            <w:r>
              <w:rPr>
                <w:sz w:val="18"/>
              </w:rPr>
              <w:t>Events carry usable domain/workload identity; approved collection and time; loss/buffering visible; no broad management access.</w:t>
            </w:r>
          </w:p>
        </w:tc>
        <w:tc>
          <w:tcPr>
            <w:tcW w:type="dxa" w:w="3096"/>
            <w:tcMar>
              <w:top w:w="70" w:type="dxa"/>
              <w:start w:w="90" w:type="dxa"/>
              <w:bottom w:w="70" w:type="dxa"/>
              <w:end w:w="90" w:type="dxa"/>
            </w:tcMar>
            <w:vAlign w:val="top"/>
          </w:tcPr>
          <w:p>
            <w:pPr>
              <w:spacing w:after="40" w:line="245" w:lineRule="auto"/>
            </w:pPr>
            <w:r>
              <w:rPr>
                <w:sz w:val="18"/>
              </w:rPr>
              <w:t>Event examples, coverage and alert routing / operations owner.</w:t>
            </w:r>
          </w:p>
        </w:tc>
      </w:tr>
      <w:tr>
        <w:trPr>
          <w:cantSplit/>
        </w:trPr>
        <w:tc>
          <w:tcPr>
            <w:tcW w:type="dxa" w:w="1757"/>
            <w:tcMar>
              <w:top w:w="70" w:type="dxa"/>
              <w:start w:w="90" w:type="dxa"/>
              <w:bottom w:w="70" w:type="dxa"/>
              <w:end w:w="90" w:type="dxa"/>
            </w:tcMar>
            <w:vAlign w:val="top"/>
            <w:shd w:fill="F4F7F9" w:val="clear"/>
          </w:tcPr>
          <w:p>
            <w:pPr>
              <w:spacing w:after="40" w:line="245" w:lineRule="auto"/>
            </w:pPr>
            <w:r>
              <w:rPr>
                <w:sz w:val="18"/>
              </w:rPr>
              <w:t>Storage and protection</w:t>
            </w:r>
          </w:p>
        </w:tc>
        <w:tc>
          <w:tcPr>
            <w:tcW w:type="dxa" w:w="5429"/>
            <w:tcMar>
              <w:top w:w="70" w:type="dxa"/>
              <w:start w:w="90" w:type="dxa"/>
              <w:bottom w:w="70" w:type="dxa"/>
              <w:end w:w="90" w:type="dxa"/>
            </w:tcMar>
            <w:vAlign w:val="top"/>
            <w:shd w:fill="F4F7F9" w:val="clear"/>
          </w:tcPr>
          <w:p>
            <w:pPr>
              <w:spacing w:after="40" w:line="245" w:lineRule="auto"/>
            </w:pPr>
            <w:r>
              <w:rPr>
                <w:sz w:val="18"/>
              </w:rPr>
              <w:t>Owned attachments/copies, supported capture path, separate transfer/admin, retained catalogue and protected keys; actual isolated restore.</w:t>
            </w:r>
          </w:p>
        </w:tc>
        <w:tc>
          <w:tcPr>
            <w:tcW w:type="dxa" w:w="3096"/>
            <w:tcMar>
              <w:top w:w="70" w:type="dxa"/>
              <w:start w:w="90" w:type="dxa"/>
              <w:bottom w:w="70" w:type="dxa"/>
              <w:end w:w="90" w:type="dxa"/>
            </w:tcMar>
            <w:vAlign w:val="top"/>
            <w:shd w:fill="F4F7F9" w:val="clear"/>
          </w:tcPr>
          <w:p>
            <w:pPr>
              <w:spacing w:after="40" w:line="245" w:lineRule="auto"/>
            </w:pPr>
            <w:r>
              <w:rPr>
                <w:sz w:val="18"/>
              </w:rPr>
              <w:t>Copy lineage, protection assignment and restore result / storage and backup owners.</w:t>
            </w:r>
          </w:p>
        </w:tc>
      </w:tr>
    </w:tbl>
    <w:p>
      <w:pPr>
        <w:spacing w:after="0"/>
      </w:pPr>
      <w:r/>
    </w:p>
    <w:p>
      <w:r>
        <w:t>Service reachability is not service entitlement. A shared resolver or repository must not forward tenant traffic or grant administrative rights. For the dedicated service-handoff example, service replies must select the originating tenant context; a convenient default route is not proof of symmetric enforcement.</w:t>
      </w:r>
    </w:p>
    <w:p>
      <w:r>
        <w:br w:type="page"/>
      </w:r>
    </w:p>
    <w:p>
      <w:pPr>
        <w:pStyle w:val="Heading1"/>
      </w:pPr>
      <w:r>
        <w:t>6. Restricted qualification and meaningful observations</w:t>
      </w:r>
      <w:bookmarkStart w:id="1005" w:name="IK_06"/>
      <w:bookmarkEnd w:id="1005"/>
    </w:p>
    <w:p>
      <w:r>
        <w:t>Use RB-06 under an explicit non-production test authorization. Candidate capacity can host a restricted disposable fixture to obtain qualification evidence; that permission is not production acceptance.</w:t>
      </w:r>
    </w:p>
    <w:p>
      <w:pPr>
        <w:pStyle w:val="Caption"/>
      </w:pPr>
      <w:r>
        <w:t xml:space="preserve">Baseline and related records: </w:t>
      </w:r>
      <w:hyperlink r:id="rId33">
        <w:r>
          <w:rPr>
            <w:color w:val="0B6B70"/>
            <w:u w:val="single"/>
          </w:rPr>
          <w:t>WD §11</w:t>
        </w:r>
      </w:hyperlink>
      <w:r>
        <w:t xml:space="preserve">  •  </w:t>
      </w:r>
      <w:hyperlink r:id="rId34">
        <w:r>
          <w:rPr>
            <w:color w:val="0B6B70"/>
            <w:u w:val="single"/>
          </w:rPr>
          <w:t>WD §13</w:t>
        </w:r>
      </w:hyperlink>
      <w:r>
        <w:t xml:space="preserve">  •  </w:t>
      </w:r>
      <w:hyperlink r:id="rId35">
        <w:r>
          <w:rPr>
            <w:color w:val="0B6B70"/>
            <w:u w:val="single"/>
          </w:rPr>
          <w:t>QUAL §5</w:t>
        </w:r>
      </w:hyperlink>
    </w:p>
    <w:tbl>
      <w:tblPr>
        <w:tblW w:type="auto" w:w="0"/>
        <w:jc w:val="center"/>
        <w:tblLayout w:type="fixed"/>
        <w:tblLook w:firstColumn="1" w:firstRow="1" w:lastColumn="0" w:lastRow="0" w:noHBand="0" w:noVBand="1" w:val="04A0"/>
      </w:tblPr>
      <w:tblGrid>
        <w:gridCol w:w="1771"/>
        <w:gridCol w:w="4392"/>
        <w:gridCol w:w="4118"/>
      </w:tblGrid>
      <w:tr>
        <w:trPr>
          <w:tblHeader/>
        </w:trPr>
        <w:tc>
          <w:tcPr>
            <w:tcW w:type="dxa" w:w="1771"/>
            <w:shd w:fill="15384A" w:val="clear"/>
            <w:tcMar>
              <w:top w:w="70" w:type="dxa"/>
              <w:start w:w="90" w:type="dxa"/>
              <w:bottom w:w="70" w:type="dxa"/>
              <w:end w:w="90" w:type="dxa"/>
            </w:tcMar>
          </w:tcPr>
          <w:p>
            <w:r>
              <w:rPr>
                <w:b/>
                <w:color w:val="FFFFFF"/>
                <w:sz w:val="18"/>
              </w:rPr>
              <w:t>Campaign step</w:t>
            </w:r>
          </w:p>
        </w:tc>
        <w:tc>
          <w:tcPr>
            <w:tcW w:type="dxa" w:w="4392"/>
            <w:shd w:fill="15384A" w:val="clear"/>
            <w:tcMar>
              <w:top w:w="70" w:type="dxa"/>
              <w:start w:w="90" w:type="dxa"/>
              <w:bottom w:w="70" w:type="dxa"/>
              <w:end w:w="90" w:type="dxa"/>
            </w:tcMar>
          </w:tcPr>
          <w:p>
            <w:r>
              <w:rPr>
                <w:b/>
                <w:color w:val="FFFFFF"/>
                <w:sz w:val="18"/>
              </w:rPr>
              <w:t>What to record</w:t>
            </w:r>
          </w:p>
        </w:tc>
        <w:tc>
          <w:tcPr>
            <w:tcW w:type="dxa" w:w="4118"/>
            <w:shd w:fill="15384A" w:val="clear"/>
            <w:tcMar>
              <w:top w:w="70" w:type="dxa"/>
              <w:start w:w="90" w:type="dxa"/>
              <w:bottom w:w="70" w:type="dxa"/>
              <w:end w:w="90" w:type="dxa"/>
            </w:tcMar>
          </w:tcPr>
          <w:p>
            <w:r>
              <w:rPr>
                <w:b/>
                <w:color w:val="FFFFFF"/>
                <w:sz w:val="18"/>
              </w:rPr>
              <w:t>Evidence quality check</w:t>
            </w:r>
          </w:p>
        </w:tc>
      </w:tr>
      <w:tr>
        <w:trPr>
          <w:cantSplit/>
        </w:trPr>
        <w:tc>
          <w:tcPr>
            <w:tcW w:type="dxa" w:w="1771"/>
            <w:tcMar>
              <w:top w:w="70" w:type="dxa"/>
              <w:start w:w="90" w:type="dxa"/>
              <w:bottom w:w="70" w:type="dxa"/>
              <w:end w:w="90" w:type="dxa"/>
            </w:tcMar>
            <w:vAlign w:val="top"/>
          </w:tcPr>
          <w:p>
            <w:pPr>
              <w:spacing w:after="40" w:line="245" w:lineRule="auto"/>
            </w:pPr>
            <w:r>
              <w:rPr>
                <w:sz w:val="18"/>
              </w:rPr>
              <w:t>Select scope</w:t>
            </w:r>
          </w:p>
        </w:tc>
        <w:tc>
          <w:tcPr>
            <w:tcW w:type="dxa" w:w="4392"/>
            <w:tcMar>
              <w:top w:w="70" w:type="dxa"/>
              <w:start w:w="90" w:type="dxa"/>
              <w:bottom w:w="70" w:type="dxa"/>
              <w:end w:w="90" w:type="dxa"/>
            </w:tcMar>
            <w:vAlign w:val="top"/>
          </w:tcPr>
          <w:p>
            <w:pPr>
              <w:spacing w:after="40" w:line="245" w:lineRule="auto"/>
            </w:pPr>
            <w:r>
              <w:rPr>
                <w:sz w:val="18"/>
              </w:rPr>
              <w:t>Service class, tuple, topology, sharing, families, changed features and requirement assertions.</w:t>
            </w:r>
          </w:p>
        </w:tc>
        <w:tc>
          <w:tcPr>
            <w:tcW w:type="dxa" w:w="4118"/>
            <w:tcMar>
              <w:top w:w="70" w:type="dxa"/>
              <w:start w:w="90" w:type="dxa"/>
              <w:bottom w:w="70" w:type="dxa"/>
              <w:end w:w="90" w:type="dxa"/>
            </w:tcMar>
            <w:vAlign w:val="top"/>
          </w:tcPr>
          <w:p>
            <w:pPr>
              <w:spacing w:after="40" w:line="245" w:lineRule="auto"/>
            </w:pPr>
            <w:r>
              <w:rPr>
                <w:sz w:val="18"/>
              </w:rPr>
              <w:t>Select applicable observations; do not make a second qualified stack a prerequisite to the first.</w:t>
            </w:r>
          </w:p>
        </w:tc>
      </w:tr>
      <w:tr>
        <w:trPr>
          <w:cantSplit/>
        </w:trPr>
        <w:tc>
          <w:tcPr>
            <w:tcW w:type="dxa" w:w="1771"/>
            <w:tcMar>
              <w:top w:w="70" w:type="dxa"/>
              <w:start w:w="90" w:type="dxa"/>
              <w:bottom w:w="70" w:type="dxa"/>
              <w:end w:w="90" w:type="dxa"/>
            </w:tcMar>
            <w:vAlign w:val="top"/>
            <w:shd w:fill="F4F7F9" w:val="clear"/>
          </w:tcPr>
          <w:p>
            <w:pPr>
              <w:spacing w:after="40" w:line="245" w:lineRule="auto"/>
            </w:pPr>
            <w:r>
              <w:rPr>
                <w:sz w:val="18"/>
              </w:rPr>
              <w:t>Authorize and prepare</w:t>
            </w:r>
          </w:p>
        </w:tc>
        <w:tc>
          <w:tcPr>
            <w:tcW w:type="dxa" w:w="4392"/>
            <w:tcMar>
              <w:top w:w="70" w:type="dxa"/>
              <w:start w:w="90" w:type="dxa"/>
              <w:bottom w:w="70" w:type="dxa"/>
              <w:end w:w="90" w:type="dxa"/>
            </w:tcMar>
            <w:vAlign w:val="top"/>
            <w:shd w:fill="F4F7F9" w:val="clear"/>
          </w:tcPr>
          <w:p>
            <w:pPr>
              <w:spacing w:after="40" w:line="245" w:lineRule="auto"/>
            </w:pPr>
            <w:r>
              <w:rPr>
                <w:sz w:val="18"/>
              </w:rPr>
              <w:t>Permitted fault/probe scope, disposable data, time window, restoration and stop authority.</w:t>
            </w:r>
          </w:p>
        </w:tc>
        <w:tc>
          <w:tcPr>
            <w:tcW w:type="dxa" w:w="4118"/>
            <w:tcMar>
              <w:top w:w="70" w:type="dxa"/>
              <w:start w:w="90" w:type="dxa"/>
              <w:bottom w:w="70" w:type="dxa"/>
              <w:end w:w="90" w:type="dxa"/>
            </w:tcMar>
            <w:vAlign w:val="top"/>
            <w:shd w:fill="F4F7F9" w:val="clear"/>
          </w:tcPr>
          <w:p>
            <w:pPr>
              <w:spacing w:after="40" w:line="245" w:lineRule="auto"/>
            </w:pPr>
            <w:r>
              <w:rPr>
                <w:sz w:val="18"/>
              </w:rPr>
              <w:t>Protect unrelated tenants; no intrusive or destructive test outside this scope.</w:t>
            </w:r>
          </w:p>
        </w:tc>
      </w:tr>
      <w:tr>
        <w:trPr>
          <w:cantSplit/>
        </w:trPr>
        <w:tc>
          <w:tcPr>
            <w:tcW w:type="dxa" w:w="1771"/>
            <w:tcMar>
              <w:top w:w="70" w:type="dxa"/>
              <w:start w:w="90" w:type="dxa"/>
              <w:bottom w:w="70" w:type="dxa"/>
              <w:end w:w="90" w:type="dxa"/>
            </w:tcMar>
            <w:vAlign w:val="top"/>
          </w:tcPr>
          <w:p>
            <w:pPr>
              <w:spacing w:after="40" w:line="245" w:lineRule="auto"/>
            </w:pPr>
            <w:r>
              <w:rPr>
                <w:sz w:val="18"/>
              </w:rPr>
              <w:t>Build fixture</w:t>
            </w:r>
          </w:p>
        </w:tc>
        <w:tc>
          <w:tcPr>
            <w:tcW w:type="dxa" w:w="4392"/>
            <w:tcMar>
              <w:top w:w="70" w:type="dxa"/>
              <w:start w:w="90" w:type="dxa"/>
              <w:bottom w:w="70" w:type="dxa"/>
              <w:end w:w="90" w:type="dxa"/>
            </w:tcMar>
            <w:vAlign w:val="top"/>
          </w:tcPr>
          <w:p>
            <w:pPr>
              <w:spacing w:after="40" w:line="245" w:lineRule="auto"/>
            </w:pPr>
            <w:r>
              <w:rPr>
                <w:sz w:val="18"/>
              </w:rPr>
              <w:t>Two tenants/four domains; approved services and one temporary sequential same-domain probe.</w:t>
            </w:r>
          </w:p>
        </w:tc>
        <w:tc>
          <w:tcPr>
            <w:tcW w:type="dxa" w:w="4118"/>
            <w:tcMar>
              <w:top w:w="70" w:type="dxa"/>
              <w:start w:w="90" w:type="dxa"/>
              <w:bottom w:w="70" w:type="dxa"/>
              <w:end w:w="90" w:type="dxa"/>
            </w:tcMar>
            <w:vAlign w:val="top"/>
          </w:tcPr>
          <w:p>
            <w:pPr>
              <w:spacing w:after="40" w:line="245" w:lineRule="auto"/>
            </w:pPr>
            <w:r>
              <w:rPr>
                <w:sz w:val="18"/>
              </w:rPr>
              <w:t>Peak guest fixture demand is accounted for separately from infrastructure overhead.</w:t>
            </w:r>
          </w:p>
        </w:tc>
      </w:tr>
      <w:tr>
        <w:trPr>
          <w:cantSplit/>
        </w:trPr>
        <w:tc>
          <w:tcPr>
            <w:tcW w:type="dxa" w:w="1771"/>
            <w:tcMar>
              <w:top w:w="70" w:type="dxa"/>
              <w:start w:w="90" w:type="dxa"/>
              <w:bottom w:w="70" w:type="dxa"/>
              <w:end w:w="90" w:type="dxa"/>
            </w:tcMar>
            <w:vAlign w:val="top"/>
            <w:shd w:fill="F4F7F9" w:val="clear"/>
          </w:tcPr>
          <w:p>
            <w:pPr>
              <w:spacing w:after="40" w:line="245" w:lineRule="auto"/>
            </w:pPr>
            <w:r>
              <w:rPr>
                <w:sz w:val="18"/>
              </w:rPr>
              <w:t>Prove control paths</w:t>
            </w:r>
          </w:p>
        </w:tc>
        <w:tc>
          <w:tcPr>
            <w:tcW w:type="dxa" w:w="4392"/>
            <w:tcMar>
              <w:top w:w="70" w:type="dxa"/>
              <w:start w:w="90" w:type="dxa"/>
              <w:bottom w:w="70" w:type="dxa"/>
              <w:end w:w="90" w:type="dxa"/>
            </w:tcMar>
            <w:vAlign w:val="top"/>
            <w:shd w:fill="F4F7F9" w:val="clear"/>
          </w:tcPr>
          <w:p>
            <w:pPr>
              <w:spacing w:after="40" w:line="245" w:lineRule="auto"/>
            </w:pPr>
            <w:r>
              <w:rPr>
                <w:sz w:val="18"/>
              </w:rPr>
              <w:t>Establish healthy endpoints and expected permitted functions before negative observations.</w:t>
            </w:r>
          </w:p>
        </w:tc>
        <w:tc>
          <w:tcPr>
            <w:tcW w:type="dxa" w:w="4118"/>
            <w:tcMar>
              <w:top w:w="70" w:type="dxa"/>
              <w:start w:w="90" w:type="dxa"/>
              <w:bottom w:w="70" w:type="dxa"/>
              <w:end w:w="90" w:type="dxa"/>
            </w:tcMar>
            <w:vAlign w:val="top"/>
            <w:shd w:fill="F4F7F9" w:val="clear"/>
          </w:tcPr>
          <w:p>
            <w:pPr>
              <w:spacing w:after="40" w:line="245" w:lineRule="auto"/>
            </w:pPr>
            <w:r>
              <w:rPr>
                <w:sz w:val="18"/>
              </w:rPr>
              <w:t>A timeout from a dead endpoint cannot establish a successful isolation result.</w:t>
            </w:r>
          </w:p>
        </w:tc>
      </w:tr>
      <w:tr>
        <w:trPr>
          <w:cantSplit/>
        </w:trPr>
        <w:tc>
          <w:tcPr>
            <w:tcW w:type="dxa" w:w="1771"/>
            <w:tcMar>
              <w:top w:w="70" w:type="dxa"/>
              <w:start w:w="90" w:type="dxa"/>
              <w:bottom w:w="70" w:type="dxa"/>
              <w:end w:w="90" w:type="dxa"/>
            </w:tcMar>
            <w:vAlign w:val="top"/>
          </w:tcPr>
          <w:p>
            <w:pPr>
              <w:spacing w:after="40" w:line="245" w:lineRule="auto"/>
            </w:pPr>
            <w:r>
              <w:rPr>
                <w:sz w:val="18"/>
              </w:rPr>
              <w:t>Observe outcomes</w:t>
            </w:r>
          </w:p>
        </w:tc>
        <w:tc>
          <w:tcPr>
            <w:tcW w:type="dxa" w:w="4392"/>
            <w:tcMar>
              <w:top w:w="70" w:type="dxa"/>
              <w:start w:w="90" w:type="dxa"/>
              <w:bottom w:w="70" w:type="dxa"/>
              <w:end w:w="90" w:type="dxa"/>
            </w:tcMar>
            <w:vAlign w:val="top"/>
          </w:tcPr>
          <w:p>
            <w:pPr>
              <w:spacing w:after="40" w:line="245" w:lineRule="auto"/>
            </w:pPr>
            <w:r>
              <w:rPr>
                <w:sz w:val="18"/>
              </w:rPr>
              <w:t>Capture intended versus realized path, native roles, policy, resource/copy ownership, fault and recovery result.</w:t>
            </w:r>
          </w:p>
        </w:tc>
        <w:tc>
          <w:tcPr>
            <w:tcW w:type="dxa" w:w="4118"/>
            <w:tcMar>
              <w:top w:w="70" w:type="dxa"/>
              <w:start w:w="90" w:type="dxa"/>
              <w:bottom w:w="70" w:type="dxa"/>
              <w:end w:w="90" w:type="dxa"/>
            </w:tcMar>
            <w:vAlign w:val="top"/>
          </w:tcPr>
          <w:p>
            <w:pPr>
              <w:spacing w:after="40" w:line="245" w:lineRule="auto"/>
            </w:pPr>
            <w:r>
              <w:rPr>
                <w:sz w:val="18"/>
              </w:rPr>
              <w:t>Distinguish security continuity, availability and actual recovery; no success inferred from tool exit alone.</w:t>
            </w:r>
          </w:p>
        </w:tc>
      </w:tr>
      <w:tr>
        <w:trPr>
          <w:cantSplit/>
        </w:trPr>
        <w:tc>
          <w:tcPr>
            <w:tcW w:type="dxa" w:w="1771"/>
            <w:tcMar>
              <w:top w:w="70" w:type="dxa"/>
              <w:start w:w="90" w:type="dxa"/>
              <w:bottom w:w="70" w:type="dxa"/>
              <w:end w:w="90" w:type="dxa"/>
            </w:tcMar>
            <w:vAlign w:val="top"/>
            <w:shd w:fill="F4F7F9" w:val="clear"/>
          </w:tcPr>
          <w:p>
            <w:pPr>
              <w:spacing w:after="40" w:line="245" w:lineRule="auto"/>
            </w:pPr>
            <w:r>
              <w:rPr>
                <w:sz w:val="18"/>
              </w:rPr>
              <w:t>Review and release</w:t>
            </w:r>
          </w:p>
        </w:tc>
        <w:tc>
          <w:tcPr>
            <w:tcW w:type="dxa" w:w="4392"/>
            <w:tcMar>
              <w:top w:w="70" w:type="dxa"/>
              <w:start w:w="90" w:type="dxa"/>
              <w:bottom w:w="70" w:type="dxa"/>
              <w:end w:w="90" w:type="dxa"/>
            </w:tcMar>
            <w:vAlign w:val="top"/>
            <w:shd w:fill="F4F7F9" w:val="clear"/>
          </w:tcPr>
          <w:p>
            <w:pPr>
              <w:spacing w:after="40" w:line="245" w:lineRule="auto"/>
            </w:pPr>
            <w:r>
              <w:rPr>
                <w:sz w:val="18"/>
              </w:rPr>
              <w:t>Record passed, failed, blocked, not-run or justified not-applicable; reviewer and immutable artifact references.</w:t>
            </w:r>
          </w:p>
        </w:tc>
        <w:tc>
          <w:tcPr>
            <w:tcW w:type="dxa" w:w="4118"/>
            <w:tcMar>
              <w:top w:w="70" w:type="dxa"/>
              <w:start w:w="90" w:type="dxa"/>
              <w:bottom w:w="70" w:type="dxa"/>
              <w:end w:w="90" w:type="dxa"/>
            </w:tcMar>
            <w:vAlign w:val="top"/>
            <w:shd w:fill="F4F7F9" w:val="clear"/>
          </w:tcPr>
          <w:p>
            <w:pPr>
              <w:spacing w:after="40" w:line="245" w:lineRule="auto"/>
            </w:pPr>
            <w:r>
              <w:rPr>
                <w:sz w:val="18"/>
              </w:rPr>
              <w:t>Unexecuted or missing mandatory evidence blocks the corresponding qualification.</w:t>
            </w:r>
          </w:p>
        </w:tc>
      </w:tr>
    </w:tbl>
    <w:p>
      <w:pPr>
        <w:spacing w:after="0"/>
      </w:pPr>
      <w:r/>
    </w:p>
    <w:p>
      <w:r>
        <w:t>The kit carries 80 historical CT procedures, 12 realization addenda and 12 W14 assertions as reference material. They are not 104 executed tests. Applicability must be resolved for the target, and individual assertions may require several observations.</w:t>
      </w:r>
    </w:p>
    <w:p>
      <w:pPr>
        <w:keepLines/>
        <w:spacing w:before="140" w:after="200"/>
        <w:shd w:fill="EEF5F7" w:val="clear"/>
        <w:pBdr>
          <w:left w:val="single" w:sz="12" w:space="8" w:color="0B6B70"/>
        </w:pBdr>
      </w:pPr>
      <w:r>
        <w:rPr>
          <w:b/>
        </w:rPr>
        <w:t>Use IT §4 for each test execution and IT §5 for recovery. Include the actual tuple, observation time, topology revision and target identity; never prefill an observed result from an expected result.</w:t>
      </w:r>
    </w:p>
    <w:p>
      <w:r>
        <w:br w:type="page"/>
      </w:r>
    </w:p>
    <w:p>
      <w:pPr>
        <w:pStyle w:val="Heading1"/>
      </w:pPr>
      <w:r>
        <w:t>7. Tenant provisioning and controlled production activation</w:t>
      </w:r>
      <w:bookmarkStart w:id="1006" w:name="IK_07"/>
      <w:bookmarkEnd w:id="1006"/>
    </w:p>
    <w:p>
      <w:r>
        <w:t>Normal tenant allocation consumes accepted capacity. Production activation has additional prerequisites that a successful infrastructure build cannot waive.</w:t>
      </w:r>
    </w:p>
    <w:p>
      <w:pPr>
        <w:pStyle w:val="Caption"/>
      </w:pPr>
      <w:r>
        <w:t xml:space="preserve">Baseline and related records: </w:t>
      </w:r>
      <w:hyperlink r:id="rId36">
        <w:r>
          <w:rPr>
            <w:color w:val="0B6B70"/>
            <w:u w:val="single"/>
          </w:rPr>
          <w:t>RA §23</w:t>
        </w:r>
      </w:hyperlink>
      <w:r>
        <w:t xml:space="preserve">  •  </w:t>
      </w:r>
      <w:hyperlink r:id="rId13">
        <w:r>
          <w:rPr>
            <w:color w:val="0B6B70"/>
            <w:u w:val="single"/>
          </w:rPr>
          <w:t>WD §9</w:t>
        </w:r>
      </w:hyperlink>
      <w:r>
        <w:t xml:space="preserve">  •  </w:t>
      </w:r>
      <w:hyperlink r:id="rId37">
        <w:r>
          <w:rPr>
            <w:color w:val="0B6B70"/>
            <w:u w:val="single"/>
          </w:rPr>
          <w:t>IT §7</w:t>
        </w:r>
      </w:hyperlink>
    </w:p>
    <w:tbl>
      <w:tblPr>
        <w:tblW w:type="auto" w:w="0"/>
        <w:jc w:val="center"/>
        <w:tblLayout w:type="fixed"/>
        <w:tblLook w:firstColumn="1" w:firstRow="1" w:lastColumn="0" w:lastRow="0" w:noHBand="0" w:noVBand="1" w:val="04A0"/>
      </w:tblPr>
      <w:tblGrid>
        <w:gridCol w:w="1958"/>
        <w:gridCol w:w="5141"/>
        <w:gridCol w:w="3182"/>
      </w:tblGrid>
      <w:tr>
        <w:trPr>
          <w:tblHeader/>
        </w:trPr>
        <w:tc>
          <w:tcPr>
            <w:tcW w:type="dxa" w:w="1958"/>
            <w:shd w:fill="15384A" w:val="clear"/>
            <w:tcMar>
              <w:top w:w="70" w:type="dxa"/>
              <w:start w:w="90" w:type="dxa"/>
              <w:bottom w:w="70" w:type="dxa"/>
              <w:end w:w="90" w:type="dxa"/>
            </w:tcMar>
          </w:tcPr>
          <w:p>
            <w:r>
              <w:rPr>
                <w:b/>
                <w:color w:val="FFFFFF"/>
                <w:sz w:val="18"/>
              </w:rPr>
              <w:t>Sequence</w:t>
            </w:r>
          </w:p>
        </w:tc>
        <w:tc>
          <w:tcPr>
            <w:tcW w:type="dxa" w:w="5141"/>
            <w:shd w:fill="15384A" w:val="clear"/>
            <w:tcMar>
              <w:top w:w="70" w:type="dxa"/>
              <w:start w:w="90" w:type="dxa"/>
              <w:bottom w:w="70" w:type="dxa"/>
              <w:end w:w="90" w:type="dxa"/>
            </w:tcMar>
          </w:tcPr>
          <w:p>
            <w:r>
              <w:rPr>
                <w:b/>
                <w:color w:val="FFFFFF"/>
                <w:sz w:val="18"/>
              </w:rPr>
              <w:t>Execute within accepted scope</w:t>
            </w:r>
          </w:p>
        </w:tc>
        <w:tc>
          <w:tcPr>
            <w:tcW w:type="dxa" w:w="3182"/>
            <w:shd w:fill="15384A" w:val="clear"/>
            <w:tcMar>
              <w:top w:w="70" w:type="dxa"/>
              <w:start w:w="90" w:type="dxa"/>
              <w:bottom w:w="70" w:type="dxa"/>
              <w:end w:w="90" w:type="dxa"/>
            </w:tcMar>
          </w:tcPr>
          <w:p>
            <w:r>
              <w:rPr>
                <w:b/>
                <w:color w:val="FFFFFF"/>
                <w:sz w:val="18"/>
              </w:rPr>
              <w:t>Stop / preserve</w:t>
            </w:r>
          </w:p>
        </w:tc>
      </w:tr>
      <w:tr>
        <w:trPr>
          <w:cantSplit/>
        </w:trPr>
        <w:tc>
          <w:tcPr>
            <w:tcW w:type="dxa" w:w="1958"/>
            <w:tcMar>
              <w:top w:w="70" w:type="dxa"/>
              <w:start w:w="90" w:type="dxa"/>
              <w:bottom w:w="70" w:type="dxa"/>
              <w:end w:w="90" w:type="dxa"/>
            </w:tcMar>
            <w:vAlign w:val="top"/>
          </w:tcPr>
          <w:p>
            <w:pPr>
              <w:spacing w:after="40" w:line="245" w:lineRule="auto"/>
            </w:pPr>
            <w:r>
              <w:rPr>
                <w:sz w:val="18"/>
              </w:rPr>
              <w:t>1 — Confirm prerequisites</w:t>
            </w:r>
          </w:p>
        </w:tc>
        <w:tc>
          <w:tcPr>
            <w:tcW w:type="dxa" w:w="5141"/>
            <w:tcMar>
              <w:top w:w="70" w:type="dxa"/>
              <w:start w:w="90" w:type="dxa"/>
              <w:bottom w:w="70" w:type="dxa"/>
              <w:end w:w="90" w:type="dxa"/>
            </w:tcMar>
            <w:vAlign w:val="top"/>
          </w:tcPr>
          <w:p>
            <w:pPr>
              <w:spacing w:after="40" w:line="245" w:lineRule="auto"/>
            </w:pPr>
            <w:r>
              <w:rPr>
                <w:sz w:val="18"/>
              </w:rPr>
              <w:t>Check G0/G1/G2 for the offered service; confirm current service authority, initial G4 readiness and owner acceptance requirements.</w:t>
            </w:r>
          </w:p>
        </w:tc>
        <w:tc>
          <w:tcPr>
            <w:tcW w:type="dxa" w:w="3182"/>
            <w:tcMar>
              <w:top w:w="70" w:type="dxa"/>
              <w:start w:w="90" w:type="dxa"/>
              <w:bottom w:w="70" w:type="dxa"/>
              <w:end w:w="90" w:type="dxa"/>
            </w:tcMar>
            <w:vAlign w:val="top"/>
          </w:tcPr>
          <w:p>
            <w:pPr>
              <w:spacing w:after="40" w:line="245" w:lineRule="auto"/>
            </w:pPr>
            <w:r>
              <w:rPr>
                <w:sz w:val="18"/>
              </w:rPr>
              <w:t>Missing scope or evidence prevents production activation.</w:t>
            </w:r>
          </w:p>
        </w:tc>
      </w:tr>
      <w:tr>
        <w:trPr>
          <w:cantSplit/>
        </w:trPr>
        <w:tc>
          <w:tcPr>
            <w:tcW w:type="dxa" w:w="1958"/>
            <w:tcMar>
              <w:top w:w="70" w:type="dxa"/>
              <w:start w:w="90" w:type="dxa"/>
              <w:bottom w:w="70" w:type="dxa"/>
              <w:end w:w="90" w:type="dxa"/>
            </w:tcMar>
            <w:vAlign w:val="top"/>
            <w:shd w:fill="F4F7F9" w:val="clear"/>
          </w:tcPr>
          <w:p>
            <w:pPr>
              <w:spacing w:after="40" w:line="245" w:lineRule="auto"/>
            </w:pPr>
            <w:r>
              <w:rPr>
                <w:sz w:val="18"/>
              </w:rPr>
              <w:t>2 — Reserve and establish scope</w:t>
            </w:r>
          </w:p>
        </w:tc>
        <w:tc>
          <w:tcPr>
            <w:tcW w:type="dxa" w:w="5141"/>
            <w:tcMar>
              <w:top w:w="70" w:type="dxa"/>
              <w:start w:w="90" w:type="dxa"/>
              <w:bottom w:w="70" w:type="dxa"/>
              <w:end w:w="90" w:type="dxa"/>
            </w:tcMar>
            <w:vAlign w:val="top"/>
            <w:shd w:fill="F4F7F9" w:val="clear"/>
          </w:tcPr>
          <w:p>
            <w:pPr>
              <w:spacing w:after="40" w:line="245" w:lineRule="auto"/>
            </w:pPr>
            <w:r>
              <w:rPr>
                <w:sz w:val="18"/>
              </w:rPr>
              <w:t>Resolve eligible cell/pools; reserve compute, storage, addresses and edge slots; establish tenant/domain ownership.</w:t>
            </w:r>
          </w:p>
        </w:tc>
        <w:tc>
          <w:tcPr>
            <w:tcW w:type="dxa" w:w="3182"/>
            <w:tcMar>
              <w:top w:w="70" w:type="dxa"/>
              <w:start w:w="90" w:type="dxa"/>
              <w:bottom w:w="70" w:type="dxa"/>
              <w:end w:w="90" w:type="dxa"/>
            </w:tcMar>
            <w:vAlign w:val="top"/>
            <w:shd w:fill="F4F7F9" w:val="clear"/>
          </w:tcPr>
          <w:p>
            <w:pPr>
              <w:spacing w:after="40" w:line="245" w:lineRule="auto"/>
            </w:pPr>
            <w:r>
              <w:rPr>
                <w:sz w:val="18"/>
              </w:rPr>
              <w:t>No guessed addresses or capacity borrowed from failure reserve.</w:t>
            </w:r>
          </w:p>
        </w:tc>
      </w:tr>
      <w:tr>
        <w:trPr>
          <w:cantSplit/>
        </w:trPr>
        <w:tc>
          <w:tcPr>
            <w:tcW w:type="dxa" w:w="1958"/>
            <w:tcMar>
              <w:top w:w="70" w:type="dxa"/>
              <w:start w:w="90" w:type="dxa"/>
              <w:bottom w:w="70" w:type="dxa"/>
              <w:end w:w="90" w:type="dxa"/>
            </w:tcMar>
            <w:vAlign w:val="top"/>
          </w:tcPr>
          <w:p>
            <w:pPr>
              <w:spacing w:after="40" w:line="245" w:lineRule="auto"/>
            </w:pPr>
            <w:r>
              <w:rPr>
                <w:sz w:val="18"/>
              </w:rPr>
              <w:t>3 — Denied networks and boundary</w:t>
            </w:r>
          </w:p>
        </w:tc>
        <w:tc>
          <w:tcPr>
            <w:tcW w:type="dxa" w:w="5141"/>
            <w:tcMar>
              <w:top w:w="70" w:type="dxa"/>
              <w:start w:w="90" w:type="dxa"/>
              <w:bottom w:w="70" w:type="dxa"/>
              <w:end w:w="90" w:type="dxa"/>
            </w:tcMar>
            <w:vAlign w:val="top"/>
          </w:tcPr>
          <w:p>
            <w:pPr>
              <w:spacing w:after="40" w:line="245" w:lineRule="auto"/>
            </w:pPr>
            <w:r>
              <w:rPr>
                <w:sz w:val="18"/>
              </w:rPr>
              <w:t>Create native networks/gateways and mandatory policies before endpoint connection; configure paired edge routes and flows under their owner.</w:t>
            </w:r>
          </w:p>
        </w:tc>
        <w:tc>
          <w:tcPr>
            <w:tcW w:type="dxa" w:w="3182"/>
            <w:tcMar>
              <w:top w:w="70" w:type="dxa"/>
              <w:start w:w="90" w:type="dxa"/>
              <w:bottom w:w="70" w:type="dxa"/>
              <w:end w:w="90" w:type="dxa"/>
            </w:tcMar>
            <w:vAlign w:val="top"/>
          </w:tcPr>
          <w:p>
            <w:pPr>
              <w:spacing w:after="40" w:line="245" w:lineRule="auto"/>
            </w:pPr>
            <w:r>
              <w:rPr>
                <w:sz w:val="18"/>
              </w:rPr>
              <w:t>No fallback public/default route; unverified resources remain isolated.</w:t>
            </w:r>
          </w:p>
        </w:tc>
      </w:tr>
      <w:tr>
        <w:trPr>
          <w:cantSplit/>
        </w:trPr>
        <w:tc>
          <w:tcPr>
            <w:tcW w:type="dxa" w:w="1958"/>
            <w:tcMar>
              <w:top w:w="70" w:type="dxa"/>
              <w:start w:w="90" w:type="dxa"/>
              <w:bottom w:w="70" w:type="dxa"/>
              <w:end w:w="90" w:type="dxa"/>
            </w:tcMar>
            <w:vAlign w:val="top"/>
            <w:shd w:fill="F4F7F9" w:val="clear"/>
          </w:tcPr>
          <w:p>
            <w:pPr>
              <w:spacing w:after="40" w:line="245" w:lineRule="auto"/>
            </w:pPr>
            <w:r>
              <w:rPr>
                <w:sz w:val="18"/>
              </w:rPr>
              <w:t>4 — Resources and services</w:t>
            </w:r>
          </w:p>
        </w:tc>
        <w:tc>
          <w:tcPr>
            <w:tcW w:type="dxa" w:w="5141"/>
            <w:tcMar>
              <w:top w:w="70" w:type="dxa"/>
              <w:start w:w="90" w:type="dxa"/>
              <w:bottom w:w="70" w:type="dxa"/>
              <w:end w:w="90" w:type="dxa"/>
            </w:tcMar>
            <w:vAlign w:val="top"/>
            <w:shd w:fill="F4F7F9" w:val="clear"/>
          </w:tcPr>
          <w:p>
            <w:pPr>
              <w:spacing w:after="40" w:line="245" w:lineRule="auto"/>
            </w:pPr>
            <w:r>
              <w:rPr>
                <w:sz w:val="18"/>
              </w:rPr>
              <w:t>Use approved images, owned disks and eligible hosts; register names, identities, telemetry and protection.</w:t>
            </w:r>
          </w:p>
        </w:tc>
        <w:tc>
          <w:tcPr>
            <w:tcW w:type="dxa" w:w="3182"/>
            <w:tcMar>
              <w:top w:w="70" w:type="dxa"/>
              <w:start w:w="90" w:type="dxa"/>
              <w:bottom w:w="70" w:type="dxa"/>
              <w:end w:w="90" w:type="dxa"/>
            </w:tcMar>
            <w:vAlign w:val="top"/>
            <w:shd w:fill="F4F7F9" w:val="clear"/>
          </w:tcPr>
          <w:p>
            <w:pPr>
              <w:spacing w:after="40" w:line="245" w:lineRule="auto"/>
            </w:pPr>
            <w:r>
              <w:rPr>
                <w:sz w:val="18"/>
              </w:rPr>
              <w:t>Do not relax placement or grant broad service-management access to finish a build.</w:t>
            </w:r>
          </w:p>
        </w:tc>
      </w:tr>
      <w:tr>
        <w:trPr>
          <w:cantSplit/>
        </w:trPr>
        <w:tc>
          <w:tcPr>
            <w:tcW w:type="dxa" w:w="1958"/>
            <w:tcMar>
              <w:top w:w="70" w:type="dxa"/>
              <w:start w:w="90" w:type="dxa"/>
              <w:bottom w:w="70" w:type="dxa"/>
              <w:end w:w="90" w:type="dxa"/>
            </w:tcMar>
            <w:vAlign w:val="top"/>
          </w:tcPr>
          <w:p>
            <w:pPr>
              <w:spacing w:after="40" w:line="245" w:lineRule="auto"/>
            </w:pPr>
            <w:r>
              <w:rPr>
                <w:sz w:val="18"/>
              </w:rPr>
              <w:t>5 — Verify and review</w:t>
            </w:r>
          </w:p>
        </w:tc>
        <w:tc>
          <w:tcPr>
            <w:tcW w:type="dxa" w:w="5141"/>
            <w:tcMar>
              <w:top w:w="70" w:type="dxa"/>
              <w:start w:w="90" w:type="dxa"/>
              <w:bottom w:w="70" w:type="dxa"/>
              <w:end w:w="90" w:type="dxa"/>
            </w:tcMar>
            <w:vAlign w:val="top"/>
          </w:tcPr>
          <w:p>
            <w:pPr>
              <w:spacing w:after="40" w:line="245" w:lineRule="auto"/>
            </w:pPr>
            <w:r>
              <w:rPr>
                <w:sz w:val="18"/>
              </w:rPr>
              <w:t>Compare actual placement, attachments, permitted/denied paths, service scope, protection and current evidence.</w:t>
            </w:r>
          </w:p>
        </w:tc>
        <w:tc>
          <w:tcPr>
            <w:tcW w:type="dxa" w:w="3182"/>
            <w:tcMar>
              <w:top w:w="70" w:type="dxa"/>
              <w:start w:w="90" w:type="dxa"/>
              <w:bottom w:w="70" w:type="dxa"/>
              <w:end w:w="90" w:type="dxa"/>
            </w:tcMar>
            <w:vAlign w:val="top"/>
          </w:tcPr>
          <w:p>
            <w:pPr>
              <w:spacing w:after="40" w:line="245" w:lineRule="auto"/>
            </w:pPr>
            <w:r>
              <w:rPr>
                <w:sz w:val="18"/>
              </w:rPr>
              <w:t>Unknown, stale or failed mandatory observation keeps the environment restricted.</w:t>
            </w:r>
          </w:p>
        </w:tc>
      </w:tr>
      <w:tr>
        <w:trPr>
          <w:cantSplit/>
        </w:trPr>
        <w:tc>
          <w:tcPr>
            <w:tcW w:type="dxa" w:w="1958"/>
            <w:tcMar>
              <w:top w:w="70" w:type="dxa"/>
              <w:start w:w="90" w:type="dxa"/>
              <w:bottom w:w="70" w:type="dxa"/>
              <w:end w:w="90" w:type="dxa"/>
            </w:tcMar>
            <w:vAlign w:val="top"/>
            <w:shd w:fill="F4F7F9" w:val="clear"/>
          </w:tcPr>
          <w:p>
            <w:pPr>
              <w:spacing w:after="40" w:line="245" w:lineRule="auto"/>
            </w:pPr>
            <w:r>
              <w:rPr>
                <w:sz w:val="18"/>
              </w:rPr>
              <w:t>6 — Controlled activation</w:t>
            </w:r>
          </w:p>
        </w:tc>
        <w:tc>
          <w:tcPr>
            <w:tcW w:type="dxa" w:w="5141"/>
            <w:tcMar>
              <w:top w:w="70" w:type="dxa"/>
              <w:start w:w="90" w:type="dxa"/>
              <w:bottom w:w="70" w:type="dxa"/>
              <w:end w:w="90" w:type="dxa"/>
            </w:tcMar>
            <w:vAlign w:val="top"/>
            <w:shd w:fill="F4F7F9" w:val="clear"/>
          </w:tcPr>
          <w:p>
            <w:pPr>
              <w:spacing w:after="40" w:line="245" w:lineRule="auto"/>
            </w:pPr>
            <w:r>
              <w:rPr>
                <w:sz w:val="18"/>
              </w:rPr>
              <w:t>Authorized service owner accepts the exact scope; enable only approved exposure and verify the live path.</w:t>
            </w:r>
          </w:p>
        </w:tc>
        <w:tc>
          <w:tcPr>
            <w:tcW w:type="dxa" w:w="3182"/>
            <w:tcMar>
              <w:top w:w="70" w:type="dxa"/>
              <w:start w:w="90" w:type="dxa"/>
              <w:bottom w:w="70" w:type="dxa"/>
              <w:end w:w="90" w:type="dxa"/>
            </w:tcMar>
            <w:vAlign w:val="top"/>
            <w:shd w:fill="F4F7F9" w:val="clear"/>
          </w:tcPr>
          <w:p>
            <w:pPr>
              <w:spacing w:after="40" w:line="245" w:lineRule="auto"/>
            </w:pPr>
            <w:r>
              <w:rPr>
                <w:sz w:val="18"/>
              </w:rPr>
              <w:t>On failed activation, withdraw exposure while preserving owned data and evidence.</w:t>
            </w:r>
          </w:p>
        </w:tc>
      </w:tr>
      <w:tr>
        <w:trPr>
          <w:cantSplit/>
        </w:trPr>
        <w:tc>
          <w:tcPr>
            <w:tcW w:type="dxa" w:w="1958"/>
            <w:tcMar>
              <w:top w:w="70" w:type="dxa"/>
              <w:start w:w="90" w:type="dxa"/>
              <w:bottom w:w="70" w:type="dxa"/>
              <w:end w:w="90" w:type="dxa"/>
            </w:tcMar>
            <w:vAlign w:val="top"/>
          </w:tcPr>
          <w:p>
            <w:pPr>
              <w:spacing w:after="40" w:line="245" w:lineRule="auto"/>
            </w:pPr>
            <w:r>
              <w:rPr>
                <w:sz w:val="18"/>
              </w:rPr>
              <w:t>7 — Confirm as-built</w:t>
            </w:r>
          </w:p>
        </w:tc>
        <w:tc>
          <w:tcPr>
            <w:tcW w:type="dxa" w:w="5141"/>
            <w:tcMar>
              <w:top w:w="70" w:type="dxa"/>
              <w:start w:w="90" w:type="dxa"/>
              <w:bottom w:w="70" w:type="dxa"/>
              <w:end w:w="90" w:type="dxa"/>
            </w:tcMar>
            <w:vAlign w:val="top"/>
          </w:tcPr>
          <w:p>
            <w:pPr>
              <w:spacing w:after="40" w:line="245" w:lineRule="auto"/>
            </w:pPr>
            <w:r>
              <w:rPr>
                <w:sz w:val="18"/>
              </w:rPr>
              <w:t>Record native identities, actual state, acceptance and support handover.</w:t>
            </w:r>
          </w:p>
        </w:tc>
        <w:tc>
          <w:tcPr>
            <w:tcW w:type="dxa" w:w="3182"/>
            <w:tcMar>
              <w:top w:w="70" w:type="dxa"/>
              <w:start w:w="90" w:type="dxa"/>
              <w:bottom w:w="70" w:type="dxa"/>
              <w:end w:w="90" w:type="dxa"/>
            </w:tcMar>
            <w:vAlign w:val="top"/>
          </w:tcPr>
          <w:p>
            <w:pPr>
              <w:spacing w:after="40" w:line="245" w:lineRule="auto"/>
            </w:pPr>
            <w:r>
              <w:rPr>
                <w:sz w:val="18"/>
              </w:rPr>
              <w:t>This confirms already assigned owners; it is not where readiness is first discovered.</w:t>
            </w:r>
          </w:p>
        </w:tc>
      </w:tr>
    </w:tbl>
    <w:p>
      <w:pPr>
        <w:spacing w:after="0"/>
      </w:pPr>
      <w:r/>
    </w:p>
    <w:p>
      <w:pPr>
        <w:keepLines/>
        <w:spacing w:before="140" w:after="200"/>
        <w:shd w:fill="EEF5F7" w:val="clear"/>
        <w:pBdr>
          <w:left w:val="single" w:sz="12" w:space="8" w:color="0B6B70"/>
        </w:pBdr>
      </w:pPr>
      <w:r>
        <w:rPr>
          <w:b/>
        </w:rPr>
        <w:t>G4 initial readiness precedes G3 production activation. Continuing G4 exercises after activation do not replace the initial proof supporting a promised service. Restricted fixture permission is a separate record.</w:t>
      </w:r>
    </w:p>
    <w:p>
      <w:r>
        <w:br w:type="page"/>
      </w:r>
    </w:p>
    <w:p>
      <w:pPr>
        <w:pStyle w:val="Heading1"/>
      </w:pPr>
      <w:r>
        <w:t>8. Interrupted work, brownfield adoption and change</w:t>
      </w:r>
      <w:bookmarkStart w:id="1007" w:name="IK_08"/>
      <w:bookmarkEnd w:id="1007"/>
    </w:p>
    <w:p>
      <w:r>
        <w:t>Use RB-07. A timeout, lost executor lease or revoked credential does not prove that an accepted native operation stopped.</w:t>
      </w:r>
    </w:p>
    <w:p>
      <w:pPr>
        <w:pStyle w:val="Caption"/>
      </w:pPr>
      <w:r>
        <w:t xml:space="preserve">Baseline and related records: </w:t>
      </w:r>
      <w:hyperlink r:id="rId38">
        <w:r>
          <w:rPr>
            <w:color w:val="0B6B70"/>
            <w:u w:val="single"/>
          </w:rPr>
          <w:t>PROV §5</w:t>
        </w:r>
      </w:hyperlink>
      <w:r>
        <w:t xml:space="preserve">  •  </w:t>
      </w:r>
      <w:hyperlink r:id="rId39">
        <w:r>
          <w:rPr>
            <w:color w:val="0B6B70"/>
            <w:u w:val="single"/>
          </w:rPr>
          <w:t>PROV §6</w:t>
        </w:r>
      </w:hyperlink>
      <w:r>
        <w:t xml:space="preserve">  •  </w:t>
      </w:r>
      <w:hyperlink r:id="rId16">
        <w:r>
          <w:rPr>
            <w:color w:val="0B6B70"/>
            <w:u w:val="single"/>
          </w:rPr>
          <w:t>WD §10</w:t>
        </w:r>
      </w:hyperlink>
    </w:p>
    <w:tbl>
      <w:tblPr>
        <w:tblW w:type="auto" w:w="0"/>
        <w:jc w:val="center"/>
        <w:tblLayout w:type="fixed"/>
        <w:tblLook w:firstColumn="1" w:firstRow="1" w:lastColumn="0" w:lastRow="0" w:noHBand="0" w:noVBand="1" w:val="04A0"/>
      </w:tblPr>
      <w:tblGrid>
        <w:gridCol w:w="1944"/>
        <w:gridCol w:w="4579"/>
        <w:gridCol w:w="3758"/>
      </w:tblGrid>
      <w:tr>
        <w:trPr>
          <w:tblHeader/>
        </w:trPr>
        <w:tc>
          <w:tcPr>
            <w:tcW w:type="dxa" w:w="1944"/>
            <w:shd w:fill="15384A" w:val="clear"/>
            <w:tcMar>
              <w:top w:w="70" w:type="dxa"/>
              <w:start w:w="90" w:type="dxa"/>
              <w:bottom w:w="70" w:type="dxa"/>
              <w:end w:w="90" w:type="dxa"/>
            </w:tcMar>
          </w:tcPr>
          <w:p>
            <w:r>
              <w:rPr>
                <w:b/>
                <w:color w:val="FFFFFF"/>
                <w:sz w:val="18"/>
              </w:rPr>
              <w:t>Situation</w:t>
            </w:r>
          </w:p>
        </w:tc>
        <w:tc>
          <w:tcPr>
            <w:tcW w:type="dxa" w:w="4579"/>
            <w:shd w:fill="15384A" w:val="clear"/>
            <w:tcMar>
              <w:top w:w="70" w:type="dxa"/>
              <w:start w:w="90" w:type="dxa"/>
              <w:bottom w:w="70" w:type="dxa"/>
              <w:end w:w="90" w:type="dxa"/>
            </w:tcMar>
          </w:tcPr>
          <w:p>
            <w:r>
              <w:rPr>
                <w:b/>
                <w:color w:val="FFFFFF"/>
                <w:sz w:val="18"/>
              </w:rPr>
              <w:t>Safe response</w:t>
            </w:r>
          </w:p>
        </w:tc>
        <w:tc>
          <w:tcPr>
            <w:tcW w:type="dxa" w:w="3758"/>
            <w:shd w:fill="15384A" w:val="clear"/>
            <w:tcMar>
              <w:top w:w="70" w:type="dxa"/>
              <w:start w:w="90" w:type="dxa"/>
              <w:bottom w:w="70" w:type="dxa"/>
              <w:end w:w="90" w:type="dxa"/>
            </w:tcMar>
          </w:tcPr>
          <w:p>
            <w:r>
              <w:rPr>
                <w:b/>
                <w:color w:val="FFFFFF"/>
                <w:sz w:val="18"/>
              </w:rPr>
              <w:t>Before work resumes</w:t>
            </w:r>
          </w:p>
        </w:tc>
      </w:tr>
      <w:tr>
        <w:trPr>
          <w:cantSplit/>
        </w:trPr>
        <w:tc>
          <w:tcPr>
            <w:tcW w:type="dxa" w:w="1944"/>
            <w:tcMar>
              <w:top w:w="70" w:type="dxa"/>
              <w:start w:w="90" w:type="dxa"/>
              <w:bottom w:w="70" w:type="dxa"/>
              <w:end w:w="90" w:type="dxa"/>
            </w:tcMar>
            <w:vAlign w:val="top"/>
          </w:tcPr>
          <w:p>
            <w:pPr>
              <w:spacing w:after="40" w:line="245" w:lineRule="auto"/>
            </w:pPr>
            <w:r>
              <w:rPr>
                <w:sz w:val="18"/>
              </w:rPr>
              <w:t>Unknown native outcome</w:t>
            </w:r>
          </w:p>
        </w:tc>
        <w:tc>
          <w:tcPr>
            <w:tcW w:type="dxa" w:w="4579"/>
            <w:tcMar>
              <w:top w:w="70" w:type="dxa"/>
              <w:start w:w="90" w:type="dxa"/>
              <w:bottom w:w="70" w:type="dxa"/>
              <w:end w:w="90" w:type="dxa"/>
            </w:tcMar>
            <w:vAlign w:val="top"/>
          </w:tcPr>
          <w:p>
            <w:pPr>
              <w:spacing w:after="40" w:line="245" w:lineRule="auto"/>
            </w:pPr>
            <w:r>
              <w:rPr>
                <w:sz w:val="18"/>
              </w:rPr>
              <w:t>Freeze competing writes, identify the owning executor, inspect native tasks and actual side effects. Preserve data and logs.</w:t>
            </w:r>
          </w:p>
        </w:tc>
        <w:tc>
          <w:tcPr>
            <w:tcW w:type="dxa" w:w="3758"/>
            <w:tcMar>
              <w:top w:w="70" w:type="dxa"/>
              <w:start w:w="90" w:type="dxa"/>
              <w:bottom w:w="70" w:type="dxa"/>
              <w:end w:w="90" w:type="dxa"/>
            </w:tcMar>
            <w:vAlign w:val="top"/>
          </w:tcPr>
          <w:p>
            <w:pPr>
              <w:spacing w:after="40" w:line="245" w:lineRule="auto"/>
            </w:pPr>
            <w:r>
              <w:rPr>
                <w:sz w:val="18"/>
              </w:rPr>
              <w:t>Accountable owner selects resume, supported compensation or forward repair; resource identity is reconciled.</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Failed downstream package</w:t>
            </w:r>
          </w:p>
        </w:tc>
        <w:tc>
          <w:tcPr>
            <w:tcW w:type="dxa" w:w="4579"/>
            <w:tcMar>
              <w:top w:w="70" w:type="dxa"/>
              <w:start w:w="90" w:type="dxa"/>
              <w:bottom w:w="70" w:type="dxa"/>
              <w:end w:w="90" w:type="dxa"/>
            </w:tcMar>
            <w:vAlign w:val="top"/>
            <w:shd w:fill="F4F7F9" w:val="clear"/>
          </w:tcPr>
          <w:p>
            <w:pPr>
              <w:spacing w:after="40" w:line="245" w:lineRule="auto"/>
            </w:pPr>
            <w:r>
              <w:rPr>
                <w:sz w:val="18"/>
              </w:rPr>
              <w:t>Keep incomplete endpoints denied. Release only proven unused reservations; do not delete shared objects or new production data.</w:t>
            </w:r>
          </w:p>
        </w:tc>
        <w:tc>
          <w:tcPr>
            <w:tcW w:type="dxa" w:w="3758"/>
            <w:tcMar>
              <w:top w:w="70" w:type="dxa"/>
              <w:start w:w="90" w:type="dxa"/>
              <w:bottom w:w="70" w:type="dxa"/>
              <w:end w:w="90" w:type="dxa"/>
            </w:tcMar>
            <w:vAlign w:val="top"/>
            <w:shd w:fill="F4F7F9" w:val="clear"/>
          </w:tcPr>
          <w:p>
            <w:pPr>
              <w:spacing w:after="40" w:line="245" w:lineRule="auto"/>
            </w:pPr>
            <w:r>
              <w:rPr>
                <w:sz w:val="18"/>
              </w:rPr>
              <w:t>Dependent owner accepts the handoff and verifies the changed paths.</w:t>
            </w:r>
          </w:p>
        </w:tc>
      </w:tr>
      <w:tr>
        <w:trPr>
          <w:cantSplit/>
        </w:trPr>
        <w:tc>
          <w:tcPr>
            <w:tcW w:type="dxa" w:w="1944"/>
            <w:tcMar>
              <w:top w:w="70" w:type="dxa"/>
              <w:start w:w="90" w:type="dxa"/>
              <w:bottom w:w="70" w:type="dxa"/>
              <w:end w:w="90" w:type="dxa"/>
            </w:tcMar>
            <w:vAlign w:val="top"/>
          </w:tcPr>
          <w:p>
            <w:pPr>
              <w:spacing w:after="40" w:line="245" w:lineRule="auto"/>
            </w:pPr>
            <w:r>
              <w:rPr>
                <w:sz w:val="18"/>
              </w:rPr>
              <w:t>Stale plan or changed approval</w:t>
            </w:r>
          </w:p>
        </w:tc>
        <w:tc>
          <w:tcPr>
            <w:tcW w:type="dxa" w:w="4579"/>
            <w:tcMar>
              <w:top w:w="70" w:type="dxa"/>
              <w:start w:w="90" w:type="dxa"/>
              <w:bottom w:w="70" w:type="dxa"/>
              <w:end w:w="90" w:type="dxa"/>
            </w:tcMar>
            <w:vAlign w:val="top"/>
          </w:tcPr>
          <w:p>
            <w:pPr>
              <w:spacing w:after="40" w:line="245" w:lineRule="auto"/>
            </w:pPr>
            <w:r>
              <w:rPr>
                <w:sz w:val="18"/>
              </w:rPr>
              <w:t>Reject reuse of a plan whose relevant inputs, policies or state no longer match the approved change.</w:t>
            </w:r>
          </w:p>
        </w:tc>
        <w:tc>
          <w:tcPr>
            <w:tcW w:type="dxa" w:w="3758"/>
            <w:tcMar>
              <w:top w:w="70" w:type="dxa"/>
              <w:start w:w="90" w:type="dxa"/>
              <w:bottom w:w="70" w:type="dxa"/>
              <w:end w:w="90" w:type="dxa"/>
            </w:tcMar>
            <w:vAlign w:val="top"/>
          </w:tcPr>
          <w:p>
            <w:pPr>
              <w:spacing w:after="40" w:line="245" w:lineRule="auto"/>
            </w:pPr>
            <w:r>
              <w:rPr>
                <w:sz w:val="18"/>
              </w:rPr>
              <w:t>Re-evaluate differences and obtain the correct scope decision.</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Brownfield adoption</w:t>
            </w:r>
          </w:p>
        </w:tc>
        <w:tc>
          <w:tcPr>
            <w:tcW w:type="dxa" w:w="4579"/>
            <w:tcMar>
              <w:top w:w="70" w:type="dxa"/>
              <w:start w:w="90" w:type="dxa"/>
              <w:bottom w:w="70" w:type="dxa"/>
              <w:end w:w="90" w:type="dxa"/>
            </w:tcMar>
            <w:vAlign w:val="top"/>
            <w:shd w:fill="F4F7F9" w:val="clear"/>
          </w:tcPr>
          <w:p>
            <w:pPr>
              <w:spacing w:after="40" w:line="245" w:lineRule="auto"/>
            </w:pPr>
            <w:r>
              <w:rPr>
                <w:sz w:val="18"/>
              </w:rPr>
              <w:t>Discover actual ownership and dependency before import; review non-destructive changes and remove dual writers deliberately.</w:t>
            </w:r>
          </w:p>
        </w:tc>
        <w:tc>
          <w:tcPr>
            <w:tcW w:type="dxa" w:w="3758"/>
            <w:tcMar>
              <w:top w:w="70" w:type="dxa"/>
              <w:start w:w="90" w:type="dxa"/>
              <w:bottom w:w="70" w:type="dxa"/>
              <w:end w:w="90" w:type="dxa"/>
            </w:tcMar>
            <w:vAlign w:val="top"/>
            <w:shd w:fill="F4F7F9" w:val="clear"/>
          </w:tcPr>
          <w:p>
            <w:pPr>
              <w:spacing w:after="40" w:line="245" w:lineRule="auto"/>
            </w:pPr>
            <w:r>
              <w:rPr>
                <w:sz w:val="18"/>
              </w:rPr>
              <w:t>A state import is not compliance or permission to replace live disks/gateways.</w:t>
            </w:r>
          </w:p>
        </w:tc>
      </w:tr>
      <w:tr>
        <w:trPr>
          <w:cantSplit/>
        </w:trPr>
        <w:tc>
          <w:tcPr>
            <w:tcW w:type="dxa" w:w="1944"/>
            <w:tcMar>
              <w:top w:w="70" w:type="dxa"/>
              <w:start w:w="90" w:type="dxa"/>
              <w:bottom w:w="70" w:type="dxa"/>
              <w:end w:w="90" w:type="dxa"/>
            </w:tcMar>
            <w:vAlign w:val="top"/>
          </w:tcPr>
          <w:p>
            <w:pPr>
              <w:spacing w:after="40" w:line="245" w:lineRule="auto"/>
            </w:pPr>
            <w:r>
              <w:rPr>
                <w:sz w:val="18"/>
              </w:rPr>
              <w:t>Emergency containment</w:t>
            </w:r>
          </w:p>
        </w:tc>
        <w:tc>
          <w:tcPr>
            <w:tcW w:type="dxa" w:w="4579"/>
            <w:tcMar>
              <w:top w:w="70" w:type="dxa"/>
              <w:start w:w="90" w:type="dxa"/>
              <w:bottom w:w="70" w:type="dxa"/>
              <w:end w:w="90" w:type="dxa"/>
            </w:tcMar>
            <w:vAlign w:val="top"/>
          </w:tcPr>
          <w:p>
            <w:pPr>
              <w:spacing w:after="40" w:line="245" w:lineRule="auto"/>
            </w:pPr>
            <w:r>
              <w:rPr>
                <w:sz w:val="18"/>
              </w:rPr>
              <w:t>Preserve the authorized containment action while reconciling ordinary desired configuration.</w:t>
            </w:r>
          </w:p>
        </w:tc>
        <w:tc>
          <w:tcPr>
            <w:tcW w:type="dxa" w:w="3758"/>
            <w:tcMar>
              <w:top w:w="70" w:type="dxa"/>
              <w:start w:w="90" w:type="dxa"/>
              <w:bottom w:w="70" w:type="dxa"/>
              <w:end w:w="90" w:type="dxa"/>
            </w:tcMar>
            <w:vAlign w:val="top"/>
          </w:tcPr>
          <w:p>
            <w:pPr>
              <w:spacing w:after="40" w:line="245" w:lineRule="auto"/>
            </w:pPr>
            <w:r>
              <w:rPr>
                <w:sz w:val="18"/>
              </w:rPr>
              <w:t>Only the designated authority releases the block; record before/after evidence.</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Upgrade or capacity expansion</w:t>
            </w:r>
          </w:p>
        </w:tc>
        <w:tc>
          <w:tcPr>
            <w:tcW w:type="dxa" w:w="4579"/>
            <w:tcMar>
              <w:top w:w="70" w:type="dxa"/>
              <w:start w:w="90" w:type="dxa"/>
              <w:bottom w:w="70" w:type="dxa"/>
              <w:end w:w="90" w:type="dxa"/>
            </w:tcMar>
            <w:vAlign w:val="top"/>
            <w:shd w:fill="F4F7F9" w:val="clear"/>
          </w:tcPr>
          <w:p>
            <w:pPr>
              <w:spacing w:after="40" w:line="245" w:lineRule="auto"/>
            </w:pPr>
            <w:r>
              <w:rPr>
                <w:sz w:val="18"/>
              </w:rPr>
              <w:t>Recheck support tuple, survivor capacity, actual rollback limits and changed assurance paths.</w:t>
            </w:r>
          </w:p>
        </w:tc>
        <w:tc>
          <w:tcPr>
            <w:tcW w:type="dxa" w:w="3758"/>
            <w:tcMar>
              <w:top w:w="70" w:type="dxa"/>
              <w:start w:w="90" w:type="dxa"/>
              <w:bottom w:w="70" w:type="dxa"/>
              <w:end w:w="90" w:type="dxa"/>
            </w:tcMar>
            <w:vAlign w:val="top"/>
            <w:shd w:fill="F4F7F9" w:val="clear"/>
          </w:tcPr>
          <w:p>
            <w:pPr>
              <w:spacing w:after="40" w:line="245" w:lineRule="auto"/>
            </w:pPr>
            <w:r>
              <w:rPr>
                <w:sz w:val="18"/>
              </w:rPr>
              <w:t>Qualify/canary the changed scope before broad promotion; preserve a recovery path.</w:t>
            </w:r>
          </w:p>
        </w:tc>
      </w:tr>
    </w:tbl>
    <w:p>
      <w:pPr>
        <w:spacing w:after="0"/>
      </w:pPr>
      <w:r/>
    </w:p>
    <w:p>
      <w:r>
        <w:t>A saved Terraform plan can be reviewed offline using the supplied review_tfplan.py. It reports selected review triggers without inspecting secret-bearing before/after values. It does not evaluate all policy semantics, qualify the provider or approve an apply.</w:t>
      </w:r>
    </w:p>
    <w:p>
      <w:pPr>
        <w:pStyle w:val="Caption"/>
      </w:pPr>
      <w:r>
        <w:t xml:space="preserve">External mechanism context: </w:t>
      </w:r>
      <w:hyperlink r:id="rId40">
        <w:r>
          <w:rPr>
            <w:color w:val="0B6B70"/>
            <w:u w:val="single"/>
          </w:rPr>
          <w:t>K03 — Terraform providers within modules</w:t>
        </w:r>
      </w:hyperlink>
      <w:r>
        <w:t xml:space="preserve">  •  </w:t>
      </w:r>
      <w:hyperlink r:id="rId41">
        <w:r>
          <w:rPr>
            <w:color w:val="0B6B70"/>
            <w:u w:val="single"/>
          </w:rPr>
          <w:t>K04 — Terraform dependency lock file</w:t>
        </w:r>
      </w:hyperlink>
      <w:r>
        <w:t xml:space="preserve">  •  </w:t>
      </w:r>
      <w:hyperlink r:id="rId42">
        <w:r>
          <w:rPr>
            <w:color w:val="0B6B70"/>
            <w:u w:val="single"/>
          </w:rPr>
          <w:t>K11 — Terraform plan command reference</w:t>
        </w:r>
      </w:hyperlink>
    </w:p>
    <w:p>
      <w:r>
        <w:br w:type="page"/>
      </w:r>
    </w:p>
    <w:p>
      <w:pPr>
        <w:pStyle w:val="Heading1"/>
      </w:pPr>
      <w:r>
        <w:t>9. Operational handover, recovery, migration and retirement</w:t>
      </w:r>
      <w:bookmarkStart w:id="1008" w:name="IK_09"/>
      <w:bookmarkEnd w:id="1008"/>
    </w:p>
    <w:p>
      <w:r>
        <w:t>Use RB-08 and RB-09. Treat change, recovery and retirement as infrastructure lifecycle operations with data and security consequences.</w:t>
      </w:r>
    </w:p>
    <w:p>
      <w:pPr>
        <w:pStyle w:val="Caption"/>
      </w:pPr>
      <w:r>
        <w:t xml:space="preserve">Baseline and related records: </w:t>
      </w:r>
      <w:hyperlink r:id="rId43">
        <w:r>
          <w:rPr>
            <w:color w:val="0B6B70"/>
            <w:u w:val="single"/>
          </w:rPr>
          <w:t>RA §27</w:t>
        </w:r>
      </w:hyperlink>
      <w:r>
        <w:t xml:space="preserve">  •  </w:t>
      </w:r>
      <w:hyperlink r:id="rId44">
        <w:r>
          <w:rPr>
            <w:color w:val="0B6B70"/>
            <w:u w:val="single"/>
          </w:rPr>
          <w:t>SVC §6</w:t>
        </w:r>
      </w:hyperlink>
      <w:r>
        <w:t xml:space="preserve">  •  </w:t>
      </w:r>
      <w:hyperlink r:id="rId45">
        <w:r>
          <w:rPr>
            <w:color w:val="0B6B70"/>
            <w:u w:val="single"/>
          </w:rPr>
          <w:t>QUAL §7</w:t>
        </w:r>
      </w:hyperlink>
      <w:r>
        <w:t xml:space="preserve">  •  </w:t>
      </w:r>
      <w:hyperlink r:id="rId46">
        <w:r>
          <w:rPr>
            <w:color w:val="0B6B70"/>
            <w:u w:val="single"/>
          </w:rPr>
          <w:t>IT §8</w:t>
        </w:r>
      </w:hyperlink>
    </w:p>
    <w:tbl>
      <w:tblPr>
        <w:tblW w:type="auto" w:w="0"/>
        <w:jc w:val="center"/>
        <w:tblLayout w:type="fixed"/>
        <w:tblLook w:firstColumn="1" w:firstRow="1" w:lastColumn="0" w:lastRow="0" w:noHBand="0" w:noVBand="1" w:val="04A0"/>
      </w:tblPr>
      <w:tblGrid>
        <w:gridCol w:w="1973"/>
        <w:gridCol w:w="4651"/>
        <w:gridCol w:w="3658"/>
      </w:tblGrid>
      <w:tr>
        <w:trPr>
          <w:tblHeader/>
        </w:trPr>
        <w:tc>
          <w:tcPr>
            <w:tcW w:type="dxa" w:w="1973"/>
            <w:shd w:fill="15384A" w:val="clear"/>
            <w:tcMar>
              <w:top w:w="70" w:type="dxa"/>
              <w:start w:w="90" w:type="dxa"/>
              <w:bottom w:w="70" w:type="dxa"/>
              <w:end w:w="90" w:type="dxa"/>
            </w:tcMar>
          </w:tcPr>
          <w:p>
            <w:r>
              <w:rPr>
                <w:b/>
                <w:color w:val="FFFFFF"/>
                <w:sz w:val="18"/>
              </w:rPr>
              <w:t>Lifecycle outcome</w:t>
            </w:r>
          </w:p>
        </w:tc>
        <w:tc>
          <w:tcPr>
            <w:tcW w:type="dxa" w:w="4651"/>
            <w:shd w:fill="15384A" w:val="clear"/>
            <w:tcMar>
              <w:top w:w="70" w:type="dxa"/>
              <w:start w:w="90" w:type="dxa"/>
              <w:bottom w:w="70" w:type="dxa"/>
              <w:end w:w="90" w:type="dxa"/>
            </w:tcMar>
          </w:tcPr>
          <w:p>
            <w:r>
              <w:rPr>
                <w:b/>
                <w:color w:val="FFFFFF"/>
                <w:sz w:val="18"/>
              </w:rPr>
              <w:t>Required work</w:t>
            </w:r>
          </w:p>
        </w:tc>
        <w:tc>
          <w:tcPr>
            <w:tcW w:type="dxa" w:w="3658"/>
            <w:shd w:fill="15384A" w:val="clear"/>
            <w:tcMar>
              <w:top w:w="70" w:type="dxa"/>
              <w:start w:w="90" w:type="dxa"/>
              <w:bottom w:w="70" w:type="dxa"/>
              <w:end w:w="90" w:type="dxa"/>
            </w:tcMar>
          </w:tcPr>
          <w:p>
            <w:r>
              <w:rPr>
                <w:b/>
                <w:color w:val="FFFFFF"/>
                <w:sz w:val="18"/>
              </w:rPr>
              <w:t>Acceptance record</w:t>
            </w:r>
          </w:p>
        </w:tc>
      </w:tr>
      <w:tr>
        <w:trPr>
          <w:cantSplit/>
        </w:trPr>
        <w:tc>
          <w:tcPr>
            <w:tcW w:type="dxa" w:w="1973"/>
            <w:tcMar>
              <w:top w:w="70" w:type="dxa"/>
              <w:start w:w="90" w:type="dxa"/>
              <w:bottom w:w="70" w:type="dxa"/>
              <w:end w:w="90" w:type="dxa"/>
            </w:tcMar>
            <w:vAlign w:val="top"/>
          </w:tcPr>
          <w:p>
            <w:pPr>
              <w:spacing w:after="40" w:line="245" w:lineRule="auto"/>
            </w:pPr>
            <w:r>
              <w:rPr>
                <w:sz w:val="18"/>
              </w:rPr>
              <w:t>Operational handover</w:t>
            </w:r>
          </w:p>
        </w:tc>
        <w:tc>
          <w:tcPr>
            <w:tcW w:type="dxa" w:w="4651"/>
            <w:tcMar>
              <w:top w:w="70" w:type="dxa"/>
              <w:start w:w="90" w:type="dxa"/>
              <w:bottom w:w="70" w:type="dxa"/>
              <w:end w:w="90" w:type="dxa"/>
            </w:tcMar>
            <w:vAlign w:val="top"/>
          </w:tcPr>
          <w:p>
            <w:pPr>
              <w:spacing w:after="40" w:line="245" w:lineRule="auto"/>
            </w:pPr>
            <w:r>
              <w:rPr>
                <w:sz w:val="18"/>
              </w:rPr>
              <w:t>Confirm support/escalation, actual as-built, telemetry, incident authority, credential custody, capacity limits and maintenance.</w:t>
            </w:r>
          </w:p>
        </w:tc>
        <w:tc>
          <w:tcPr>
            <w:tcW w:type="dxa" w:w="3658"/>
            <w:tcMar>
              <w:top w:w="70" w:type="dxa"/>
              <w:start w:w="90" w:type="dxa"/>
              <w:bottom w:w="70" w:type="dxa"/>
              <w:end w:w="90" w:type="dxa"/>
            </w:tcMar>
            <w:vAlign w:val="top"/>
          </w:tcPr>
          <w:p>
            <w:pPr>
              <w:spacing w:after="40" w:line="245" w:lineRule="auto"/>
            </w:pPr>
            <w:r>
              <w:rPr>
                <w:sz w:val="18"/>
              </w:rPr>
              <w:t>Operations accepts a specific service envelope with current evidence, not receipt of generic documentation.</w:t>
            </w:r>
          </w:p>
        </w:tc>
      </w:tr>
      <w:tr>
        <w:trPr>
          <w:cantSplit/>
        </w:trPr>
        <w:tc>
          <w:tcPr>
            <w:tcW w:type="dxa" w:w="1973"/>
            <w:tcMar>
              <w:top w:w="70" w:type="dxa"/>
              <w:start w:w="90" w:type="dxa"/>
              <w:bottom w:w="70" w:type="dxa"/>
              <w:end w:w="90" w:type="dxa"/>
            </w:tcMar>
            <w:vAlign w:val="top"/>
            <w:shd w:fill="F4F7F9" w:val="clear"/>
          </w:tcPr>
          <w:p>
            <w:pPr>
              <w:spacing w:after="40" w:line="245" w:lineRule="auto"/>
            </w:pPr>
            <w:r>
              <w:rPr>
                <w:sz w:val="18"/>
              </w:rPr>
              <w:t>Restore or site recovery</w:t>
            </w:r>
          </w:p>
        </w:tc>
        <w:tc>
          <w:tcPr>
            <w:tcW w:type="dxa" w:w="4651"/>
            <w:tcMar>
              <w:top w:w="70" w:type="dxa"/>
              <w:start w:w="90" w:type="dxa"/>
              <w:bottom w:w="70" w:type="dxa"/>
              <w:end w:w="90" w:type="dxa"/>
            </w:tcMar>
            <w:vAlign w:val="top"/>
            <w:shd w:fill="F4F7F9" w:val="clear"/>
          </w:tcPr>
          <w:p>
            <w:pPr>
              <w:spacing w:after="40" w:line="245" w:lineRule="auto"/>
            </w:pPr>
            <w:r>
              <w:rPr>
                <w:sz w:val="18"/>
              </w:rPr>
              <w:t>Establish authority and fence ambiguous writers; recover trust/catalogue/keys and foundations; restore isolated data and dependencies.</w:t>
            </w:r>
          </w:p>
        </w:tc>
        <w:tc>
          <w:tcPr>
            <w:tcW w:type="dxa" w:w="3658"/>
            <w:tcMar>
              <w:top w:w="70" w:type="dxa"/>
              <w:start w:w="90" w:type="dxa"/>
              <w:bottom w:w="70" w:type="dxa"/>
              <w:end w:w="90" w:type="dxa"/>
            </w:tcMar>
            <w:vAlign w:val="top"/>
            <w:shd w:fill="F4F7F9" w:val="clear"/>
          </w:tcPr>
          <w:p>
            <w:pPr>
              <w:spacing w:after="40" w:line="245" w:lineRule="auto"/>
            </w:pPr>
            <w:r>
              <w:rPr>
                <w:sz w:val="18"/>
              </w:rPr>
              <w:t>Measured consistency point and recovery time; useful data and required security verified before reconnection.</w:t>
            </w:r>
          </w:p>
        </w:tc>
      </w:tr>
      <w:tr>
        <w:trPr>
          <w:cantSplit/>
        </w:trPr>
        <w:tc>
          <w:tcPr>
            <w:tcW w:type="dxa" w:w="1973"/>
            <w:tcMar>
              <w:top w:w="70" w:type="dxa"/>
              <w:start w:w="90" w:type="dxa"/>
              <w:bottom w:w="70" w:type="dxa"/>
              <w:end w:w="90" w:type="dxa"/>
            </w:tcMar>
            <w:vAlign w:val="top"/>
          </w:tcPr>
          <w:p>
            <w:pPr>
              <w:spacing w:after="40" w:line="245" w:lineRule="auto"/>
            </w:pPr>
            <w:r>
              <w:rPr>
                <w:sz w:val="18"/>
              </w:rPr>
              <w:t>Cross-platform migration</w:t>
            </w:r>
          </w:p>
        </w:tc>
        <w:tc>
          <w:tcPr>
            <w:tcW w:type="dxa" w:w="4651"/>
            <w:tcMar>
              <w:top w:w="70" w:type="dxa"/>
              <w:start w:w="90" w:type="dxa"/>
              <w:bottom w:w="70" w:type="dxa"/>
              <w:end w:w="90" w:type="dxa"/>
            </w:tcMar>
            <w:vAlign w:val="top"/>
          </w:tcPr>
          <w:p>
            <w:pPr>
              <w:spacing w:after="40" w:line="245" w:lineRule="auto"/>
            </w:pPr>
            <w:r>
              <w:rPr>
                <w:sz w:val="18"/>
              </w:rPr>
              <w:t>Qualify target, transfer state through bounded approved access, verify device/driver/boot/key/data compatibility and final consistency.</w:t>
            </w:r>
          </w:p>
        </w:tc>
        <w:tc>
          <w:tcPr>
            <w:tcW w:type="dxa" w:w="3658"/>
            <w:tcMar>
              <w:top w:w="70" w:type="dxa"/>
              <w:start w:w="90" w:type="dxa"/>
              <w:bottom w:w="70" w:type="dxa"/>
              <w:end w:w="90" w:type="dxa"/>
            </w:tcMar>
            <w:vAlign w:val="top"/>
          </w:tcPr>
          <w:p>
            <w:pPr>
              <w:spacing w:after="40" w:line="245" w:lineRule="auto"/>
            </w:pPr>
            <w:r>
              <w:rPr>
                <w:sz w:val="18"/>
              </w:rPr>
              <w:t>Controlled cutover and feasibility of return after new writes; Terraform is not the data conversion engine.</w:t>
            </w:r>
          </w:p>
        </w:tc>
      </w:tr>
      <w:tr>
        <w:trPr>
          <w:cantSplit/>
        </w:trPr>
        <w:tc>
          <w:tcPr>
            <w:tcW w:type="dxa" w:w="1973"/>
            <w:tcMar>
              <w:top w:w="70" w:type="dxa"/>
              <w:start w:w="90" w:type="dxa"/>
              <w:bottom w:w="70" w:type="dxa"/>
              <w:end w:w="90" w:type="dxa"/>
            </w:tcMar>
            <w:vAlign w:val="top"/>
            <w:shd w:fill="F4F7F9" w:val="clear"/>
          </w:tcPr>
          <w:p>
            <w:pPr>
              <w:spacing w:after="40" w:line="245" w:lineRule="auto"/>
            </w:pPr>
            <w:r>
              <w:rPr>
                <w:sz w:val="18"/>
              </w:rPr>
              <w:t>Retirement</w:t>
            </w:r>
          </w:p>
        </w:tc>
        <w:tc>
          <w:tcPr>
            <w:tcW w:type="dxa" w:w="4651"/>
            <w:tcMar>
              <w:top w:w="70" w:type="dxa"/>
              <w:start w:w="90" w:type="dxa"/>
              <w:bottom w:w="70" w:type="dxa"/>
              <w:end w:w="90" w:type="dxa"/>
            </w:tcMar>
            <w:vAlign w:val="top"/>
            <w:shd w:fill="F4F7F9" w:val="clear"/>
          </w:tcPr>
          <w:p>
            <w:pPr>
              <w:spacing w:after="40" w:line="245" w:lineRule="auto"/>
            </w:pPr>
            <w:r>
              <w:rPr>
                <w:sz w:val="18"/>
              </w:rPr>
              <w:t>Reconcile consumers and holds, create required recovery/export first, withdraw live routes/grants and remove only owned eligible resources.</w:t>
            </w:r>
          </w:p>
        </w:tc>
        <w:tc>
          <w:tcPr>
            <w:tcW w:type="dxa" w:w="3658"/>
            <w:tcMar>
              <w:top w:w="70" w:type="dxa"/>
              <w:start w:w="90" w:type="dxa"/>
              <w:bottom w:w="70" w:type="dxa"/>
              <w:end w:w="90" w:type="dxa"/>
            </w:tcMar>
            <w:vAlign w:val="top"/>
            <w:shd w:fill="F4F7F9" w:val="clear"/>
          </w:tcPr>
          <w:p>
            <w:pPr>
              <w:spacing w:after="40" w:line="245" w:lineRule="auto"/>
            </w:pPr>
            <w:r>
              <w:rPr>
                <w:sz w:val="18"/>
              </w:rPr>
              <w:t>Remaining copies, keys, owners and disposition are explicit; sanitization receipt before reuse.</w:t>
            </w:r>
          </w:p>
        </w:tc>
      </w:tr>
      <w:tr>
        <w:trPr>
          <w:cantSplit/>
        </w:trPr>
        <w:tc>
          <w:tcPr>
            <w:tcW w:type="dxa" w:w="1973"/>
            <w:tcMar>
              <w:top w:w="70" w:type="dxa"/>
              <w:start w:w="90" w:type="dxa"/>
              <w:bottom w:w="70" w:type="dxa"/>
              <w:end w:w="90" w:type="dxa"/>
            </w:tcMar>
            <w:vAlign w:val="top"/>
          </w:tcPr>
          <w:p>
            <w:pPr>
              <w:spacing w:after="40" w:line="245" w:lineRule="auto"/>
            </w:pPr>
            <w:r>
              <w:rPr>
                <w:sz w:val="18"/>
              </w:rPr>
              <w:t>Continuing acceptance</w:t>
            </w:r>
          </w:p>
        </w:tc>
        <w:tc>
          <w:tcPr>
            <w:tcW w:type="dxa" w:w="4651"/>
            <w:tcMar>
              <w:top w:w="70" w:type="dxa"/>
              <w:start w:w="90" w:type="dxa"/>
              <w:bottom w:w="70" w:type="dxa"/>
              <w:end w:w="90" w:type="dxa"/>
            </w:tcMar>
            <w:vAlign w:val="top"/>
          </w:tcPr>
          <w:p>
            <w:pPr>
              <w:spacing w:after="40" w:line="245" w:lineRule="auto"/>
            </w:pPr>
            <w:r>
              <w:rPr>
                <w:sz w:val="18"/>
              </w:rPr>
              <w:t>Revisit actual service targets, exception expiry, support, resource headroom and periodic recovery after material change.</w:t>
            </w:r>
          </w:p>
        </w:tc>
        <w:tc>
          <w:tcPr>
            <w:tcW w:type="dxa" w:w="3658"/>
            <w:tcMar>
              <w:top w:w="70" w:type="dxa"/>
              <w:start w:w="90" w:type="dxa"/>
              <w:bottom w:w="70" w:type="dxa"/>
              <w:end w:w="90" w:type="dxa"/>
            </w:tcMar>
            <w:vAlign w:val="top"/>
          </w:tcPr>
          <w:p>
            <w:pPr>
              <w:spacing w:after="40" w:line="245" w:lineRule="auto"/>
            </w:pPr>
            <w:r>
              <w:rPr>
                <w:sz w:val="18"/>
              </w:rPr>
              <w:t>Current scope accepted or restricted; historical authorization is not rewritten.</w:t>
            </w:r>
          </w:p>
        </w:tc>
      </w:tr>
    </w:tbl>
    <w:p>
      <w:pPr>
        <w:spacing w:after="0"/>
      </w:pPr>
      <w:r/>
    </w:p>
    <w:p>
      <w:pPr>
        <w:keepLines/>
        <w:spacing w:before="140" w:after="200"/>
        <w:shd w:fill="EEF5F7" w:val="clear"/>
        <w:pBdr>
          <w:left w:val="single" w:sz="12" w:space="8" w:color="0B6B70"/>
        </w:pBdr>
      </w:pPr>
      <w:r>
        <w:rPr>
          <w:b/>
        </w:rPr>
        <w:t>Kit completion means the working records and methods are available. Site completion requires filled values, actual execution evidence, independent review where required and decisions by the designated authorities.</w:t>
      </w:r>
    </w:p>
    <w:sectPr w:rsidR="00FC693F" w:rsidRPr="0006063C" w:rsidSect="00034616">
      <w:headerReference w:type="default" r:id="rId9"/>
      <w:footerReference w:type="default" r:id="rId10"/>
      <w:pgSz w:w="12240" w:h="15840"/>
      <w:pgMar w:top="936" w:right="979" w:bottom="936" w:left="979"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v1.0  •  Architecture baseline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0_Delivery_Map.docx#DEL_03" TargetMode="External"/><Relationship Id="rId12" Type="http://schemas.openxmlformats.org/officeDocument/2006/relationships/hyperlink" Target="../02_Engineering/Engineering_Kit.docx#EK_08" TargetMode="External"/><Relationship Id="rId13" Type="http://schemas.openxmlformats.org/officeDocument/2006/relationships/hyperlink" Target="../05_Reference_v1_4/07_Worked_Infrastructure_Design_and_Acceptance_v1_4.docx#WD14_S09" TargetMode="External"/><Relationship Id="rId14" Type="http://schemas.openxmlformats.org/officeDocument/2006/relationships/hyperlink" Target="../05_Reference_v1_4/00_Reference_Architecture_v1_4.docx#RA_s_020" TargetMode="External"/><Relationship Id="rId15" Type="http://schemas.openxmlformats.org/officeDocument/2006/relationships/hyperlink" Target="../05_Reference_v1_4/04_Provisioning_and_Commissioning_v1_4.docx#PROV_s_001" TargetMode="External"/><Relationship Id="rId16" Type="http://schemas.openxmlformats.org/officeDocument/2006/relationships/hyperlink" Target="../05_Reference_v1_4/07_Worked_Infrastructure_Design_and_Acceptance_v1_4.docx#WD14_S10" TargetMode="External"/><Relationship Id="rId17" Type="http://schemas.openxmlformats.org/officeDocument/2006/relationships/hyperlink" Target="../05_Reference_v1_4/00_Reference_Architecture_v1_4.docx#RA_s_021" TargetMode="External"/><Relationship Id="rId18" Type="http://schemas.openxmlformats.org/officeDocument/2006/relationships/hyperlink" Target="../02_Engineering/LLD_and_Engineering_Review_Template.docx#ET_02" TargetMode="External"/><Relationship Id="rId19" Type="http://schemas.openxmlformats.org/officeDocument/2006/relationships/hyperlink" Target="../05_Reference_v1_4/04_Provisioning_and_Commissioning_v1_4.docx#PROV_s_002" TargetMode="External"/><Relationship Id="rId20" Type="http://schemas.openxmlformats.org/officeDocument/2006/relationships/hyperlink" Target="../02_Engineering/Vendor_Realization_Cards.docx#VC_02" TargetMode="External"/><Relationship Id="rId21" Type="http://schemas.openxmlformats.org/officeDocument/2006/relationships/hyperlink" Target="../02_Engineering/Vendor_Realization_Cards.docx#VC_03" TargetMode="External"/><Relationship Id="rId22" Type="http://schemas.openxmlformats.org/officeDocument/2006/relationships/hyperlink" Target="../02_Engineering/Vendor_Realization_Cards.docx#VC_04" TargetMode="External"/><Relationship Id="rId23" Type="http://schemas.openxmlformats.org/officeDocument/2006/relationships/hyperlink" Target="../05_Reference_v1_4/00_Reference_Architecture_v1_4.docx#RA_s_022" TargetMode="External"/><Relationship Id="rId24" Type="http://schemas.openxmlformats.org/officeDocument/2006/relationships/hyperlink" Target="https://github.com/nutanix/terraform-provider-nutanix" TargetMode="External"/><Relationship Id="rId25" Type="http://schemas.openxmlformats.org/officeDocument/2006/relationships/hyperlink" Target="https://docs.openstack.org/neutron/latest/admin/intro-os-networking.html" TargetMode="External"/><Relationship Id="rId26" Type="http://schemas.openxmlformats.org/officeDocument/2006/relationships/hyperlink" Target="https://docs.openstack.org/neutron/latest/admin/ovn/refarch/refarch.html" TargetMode="External"/><Relationship Id="rId27" Type="http://schemas.openxmlformats.org/officeDocument/2006/relationships/hyperlink" Target="https://docs.openstack.org/nova/latest/admin/aggregates.html" TargetMode="External"/><Relationship Id="rId28" Type="http://schemas.openxmlformats.org/officeDocument/2006/relationships/hyperlink" Target="https://knowledge.broadcom.com/external/article/442835/cannot-add-tier0-vrf-gateway-to-a-tier0.html" TargetMode="External"/><Relationship Id="rId29" Type="http://schemas.openxmlformats.org/officeDocument/2006/relationships/hyperlink" Target="../05_Reference_v1_4/00_Reference_Architecture_v1_4.docx#RA_s_009" TargetMode="External"/><Relationship Id="rId30" Type="http://schemas.openxmlformats.org/officeDocument/2006/relationships/hyperlink" Target="../05_Reference_v1_4/00_Reference_Architecture_v1_4.docx#RA_s_012" TargetMode="External"/><Relationship Id="rId31" Type="http://schemas.openxmlformats.org/officeDocument/2006/relationships/hyperlink" Target="../05_Reference_v1_4/05_Shared_Services_Data_and_Recovery_v1_4.docx#SVC_s_001" TargetMode="External"/><Relationship Id="rId32" Type="http://schemas.openxmlformats.org/officeDocument/2006/relationships/hyperlink" Target="../05_Reference_v1_4/07_Worked_Infrastructure_Design_and_Acceptance_v1_4.docx#WD14_S07" TargetMode="External"/><Relationship Id="rId33" Type="http://schemas.openxmlformats.org/officeDocument/2006/relationships/hyperlink" Target="../05_Reference_v1_4/07_Worked_Infrastructure_Design_and_Acceptance_v1_4.docx#WD14_S11" TargetMode="External"/><Relationship Id="rId34" Type="http://schemas.openxmlformats.org/officeDocument/2006/relationships/hyperlink" Target="../05_Reference_v1_4/07_Worked_Infrastructure_Design_and_Acceptance_v1_4.docx#WD14_S13" TargetMode="External"/><Relationship Id="rId35" Type="http://schemas.openxmlformats.org/officeDocument/2006/relationships/hyperlink" Target="../05_Reference_v1_4/06_Site_Design_Qualification_and_Operations_v1_4.docx#QUAL_s_005" TargetMode="External"/><Relationship Id="rId36" Type="http://schemas.openxmlformats.org/officeDocument/2006/relationships/hyperlink" Target="../05_Reference_v1_4/00_Reference_Architecture_v1_4.docx#RA_s_023" TargetMode="External"/><Relationship Id="rId37" Type="http://schemas.openxmlformats.org/officeDocument/2006/relationships/hyperlink" Target="MOP_Test_and_Handover_Template.docx#IT_07" TargetMode="External"/><Relationship Id="rId38" Type="http://schemas.openxmlformats.org/officeDocument/2006/relationships/hyperlink" Target="../05_Reference_v1_4/04_Provisioning_and_Commissioning_v1_4.docx#PROV_s_005" TargetMode="External"/><Relationship Id="rId39" Type="http://schemas.openxmlformats.org/officeDocument/2006/relationships/hyperlink" Target="../05_Reference_v1_4/04_Provisioning_and_Commissioning_v1_4.docx#PROV_s_006" TargetMode="External"/><Relationship Id="rId40" Type="http://schemas.openxmlformats.org/officeDocument/2006/relationships/hyperlink" Target="https://developer.hashicorp.com/terraform/language/modules/develop/providers" TargetMode="External"/><Relationship Id="rId41" Type="http://schemas.openxmlformats.org/officeDocument/2006/relationships/hyperlink" Target="https://developer.hashicorp.com/terraform/language/files/dependency-lock" TargetMode="External"/><Relationship Id="rId42" Type="http://schemas.openxmlformats.org/officeDocument/2006/relationships/hyperlink" Target="https://developer.hashicorp.com/terraform/cli/commands/plan" TargetMode="External"/><Relationship Id="rId43" Type="http://schemas.openxmlformats.org/officeDocument/2006/relationships/hyperlink" Target="../05_Reference_v1_4/00_Reference_Architecture_v1_4.docx#RA_s_027" TargetMode="External"/><Relationship Id="rId44" Type="http://schemas.openxmlformats.org/officeDocument/2006/relationships/hyperlink" Target="../05_Reference_v1_4/05_Shared_Services_Data_and_Recovery_v1_4.docx#SVC_s_006" TargetMode="External"/><Relationship Id="rId45" Type="http://schemas.openxmlformats.org/officeDocument/2006/relationships/hyperlink" Target="../05_Reference_v1_4/06_Site_Design_Qualification_and_Operations_v1_4.docx#QUAL_s_007" TargetMode="External"/><Relationship Id="rId46" Type="http://schemas.openxmlformats.org/officeDocument/2006/relationships/hyperlink" Target="MOP_Test_and_Handover_Template.docx#IT_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Kit — Commission, Qualify and Operate</dc:title>
  <dc:subject>Infrastructure architecture, engineering and implementation delivery kit</dc:subject>
  <dc:creator/>
  <cp:keywords>Portable hosting, infrastructure, architecture, engineering, implementation</cp:keywords>
  <dc:description/>
  <cp:lastModifiedBy/>
  <cp:revision>1</cp:revision>
  <dcterms:created xsi:type="dcterms:W3CDTF">2013-12-23T23:15:00Z</dcterms:created>
  <dcterms:modified xsi:type="dcterms:W3CDTF">2013-12-23T23:15:00Z</dcterms:modified>
  <cp:category/>
</cp:coreProperties>
</file>