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6B70"/>
        </w:rPr>
        <w:t>DESIGN DEVELOPMENT  /  OPS</w:t>
      </w:r>
    </w:p>
    <w:p>
      <w:pPr>
        <w:pStyle w:val="Title"/>
      </w:pPr>
      <w:r>
        <w:t>Operations, Recovery and Transition Playbook</w:t>
      </w:r>
    </w:p>
    <w:p>
      <w:pPr>
        <w:pStyle w:val="Subtitle"/>
      </w:pPr>
      <w:r>
        <w:t>Operate the actual service envelope, recover dependencies, and retire without losing data or authority.</w:t>
      </w:r>
    </w:p>
    <w:p>
      <w:r>
        <w:t>Kit release v1.1 • 17 September 2026 • Parent architecture v1.4 retained</w:t>
      </w:r>
    </w:p>
    <w:p>
      <w:pPr>
        <w:keepLines/>
        <w:spacing w:before="120"/>
        <w:shd w:fill="EEF5F7" w:val="clear"/>
        <w:pBdr>
          <w:left w:val="single" w:sz="12" w:space="8" w:color="0B6B70"/>
        </w:pBdr>
      </w:pPr>
      <w:r>
        <w:rPr>
          <w:b/>
        </w:rPr>
        <w:t>Proposed engineering development. Reference examples, site decisions, actual observations and approval remain separate.</w:t>
      </w:r>
    </w:p>
    <w:p>
      <w:r>
        <w:t>This supplement develops IK-07 and IK-10 and the existing recovery/retirement runbooks. It supplies dependency decisions, change handling, a worked recovery timeline and operational records. It does not replace an approved incident process, native product procedure or data-owner decision.</w:t>
      </w:r>
    </w:p>
    <w:p>
      <w:pPr>
        <w:pStyle w:val="Heading2"/>
      </w:pPr>
      <w:r>
        <w:t>Section navigation</w:t>
      </w:r>
    </w:p>
    <w:p>
      <w:pPr>
        <w:spacing w:after="60"/>
      </w:pPr>
      <w:hyperlink w:anchor="OPS_01">
        <w:r>
          <w:rPr>
            <w:color w:val="0B6B70"/>
            <w:u w:val="single"/>
          </w:rPr>
          <w:t>1. Operate service outcomes rather than isolated components</w:t>
        </w:r>
      </w:hyperlink>
    </w:p>
    <w:p>
      <w:pPr>
        <w:spacing w:after="60"/>
      </w:pPr>
      <w:hyperlink w:anchor="OPS_02">
        <w:r>
          <w:rPr>
            <w:color w:val="0B6B70"/>
            <w:u w:val="single"/>
          </w:rPr>
          <w:t>2. Specify dependency loss before it becomes an incident</w:t>
        </w:r>
      </w:hyperlink>
    </w:p>
    <w:p>
      <w:pPr>
        <w:spacing w:after="60"/>
      </w:pPr>
      <w:hyperlink w:anchor="OPS_03">
        <w:r>
          <w:rPr>
            <w:color w:val="0B6B70"/>
            <w:u w:val="single"/>
          </w:rPr>
          <w:t>3. Run maintenance and recover interrupted changes</w:t>
        </w:r>
      </w:hyperlink>
    </w:p>
    <w:p>
      <w:pPr>
        <w:spacing w:after="60"/>
      </w:pPr>
      <w:hyperlink w:anchor="OPS_04">
        <w:r>
          <w:rPr>
            <w:color w:val="0B6B70"/>
            <w:u w:val="single"/>
          </w:rPr>
          <w:t>4. Recover the service in dependency order</w:t>
        </w:r>
      </w:hyperlink>
    </w:p>
    <w:p>
      <w:pPr>
        <w:spacing w:after="60"/>
      </w:pPr>
      <w:hyperlink w:anchor="OPS_05">
        <w:r>
          <w:rPr>
            <w:color w:val="0B6B70"/>
            <w:u w:val="single"/>
          </w:rPr>
          <w:t>5. Calculate the recovery critical path and data point</w:t>
        </w:r>
      </w:hyperlink>
    </w:p>
    <w:p>
      <w:pPr>
        <w:spacing w:after="60"/>
      </w:pPr>
      <w:hyperlink w:anchor="OPS_06">
        <w:r>
          <w:rPr>
            <w:color w:val="0B6B70"/>
            <w:u w:val="single"/>
          </w:rPr>
          <w:t>6. Migrate and fail back without conflicting writers</w:t>
        </w:r>
      </w:hyperlink>
    </w:p>
    <w:p>
      <w:pPr>
        <w:spacing w:after="60"/>
      </w:pPr>
      <w:hyperlink w:anchor="OPS_07">
        <w:r>
          <w:rPr>
            <w:color w:val="0B6B70"/>
            <w:u w:val="single"/>
          </w:rPr>
          <w:t>7. Retire live service separately from retained data</w:t>
        </w:r>
      </w:hyperlink>
    </w:p>
    <w:p>
      <w:pPr>
        <w:spacing w:after="60"/>
      </w:pPr>
      <w:hyperlink w:anchor="OPS_08">
        <w:r>
          <w:rPr>
            <w:color w:val="0B6B70"/>
            <w:u w:val="single"/>
          </w:rPr>
          <w:t>8. Accept operational responsibility for the delivered scope</w:t>
        </w:r>
      </w:hyperlink>
    </w:p>
    <w:p>
      <w:pPr>
        <w:pStyle w:val="Caption"/>
      </w:pPr>
      <w:r>
        <w:t>Basis: linked RA/WD and role-kit sections retain their original authority. The elaborations, record formats and calculations in this supplement are local proposals, not new government requirements. D-source references identify freshly checked public mechanisms, not installed compatibility. Exact source locators are in 04_Shared/development/source_reviews.csv.</w:t>
      </w:r>
    </w:p>
    <w:p>
      <w:r>
        <w:br w:type="page"/>
      </w:r>
    </w:p>
    <w:p>
      <w:pPr>
        <w:pStyle w:val="Heading1"/>
      </w:pPr>
      <w:r>
        <w:t>1. Operate service outcomes rather than isolated components</w:t>
      </w:r>
      <w:bookmarkStart w:id="130" w:name="OPS_01"/>
      <w:bookmarkEnd w:id="130"/>
    </w:p>
    <w:p>
      <w:r>
        <w:t>The operator needs to know what the service promises, which controls make that promise valid and which team can repair each dependency.</w:t>
      </w:r>
    </w:p>
    <w:p>
      <w:pPr>
        <w:pStyle w:val="Caption"/>
      </w:pPr>
      <w:r>
        <w:t xml:space="preserve">Design basis and related records: </w:t>
      </w:r>
      <w:hyperlink r:id="rId11">
        <w:r>
          <w:rPr>
            <w:color w:val="0B6B70"/>
            <w:u w:val="single"/>
          </w:rPr>
          <w:t>RA §26</w:t>
        </w:r>
      </w:hyperlink>
      <w:r>
        <w:t xml:space="preserve">  •  </w:t>
      </w:r>
      <w:hyperlink r:id="rId12">
        <w:r>
          <w:rPr>
            <w:color w:val="0B6B70"/>
            <w:u w:val="single"/>
          </w:rPr>
          <w:t>QUAL §7</w:t>
        </w:r>
      </w:hyperlink>
      <w:r>
        <w:t xml:space="preserve">  •  </w:t>
      </w:r>
      <w:hyperlink r:id="rId13">
        <w:r>
          <w:rPr>
            <w:color w:val="0B6B70"/>
            <w:u w:val="single"/>
          </w:rPr>
          <w:t>IK §9</w:t>
        </w:r>
      </w:hyperlink>
    </w:p>
    <w:tbl>
      <w:tblPr>
        <w:tblW w:type="auto" w:w="0"/>
        <w:jc w:val="center"/>
        <w:tblLayout w:type="fixed"/>
        <w:tblLook w:firstColumn="1" w:firstRow="1" w:lastColumn="0" w:lastRow="0" w:noHBand="0" w:noVBand="1" w:val="04A0"/>
      </w:tblPr>
      <w:tblGrid>
        <w:gridCol w:w="2318"/>
        <w:gridCol w:w="4262"/>
        <w:gridCol w:w="3701"/>
      </w:tblGrid>
      <w:tr>
        <w:trPr>
          <w:tblHeader/>
        </w:trPr>
        <w:tc>
          <w:tcPr>
            <w:tcW w:type="dxa" w:w="2318"/>
            <w:tcMar>
              <w:top w:w="85" w:type="dxa"/>
              <w:bottom w:w="85" w:type="dxa"/>
              <w:start w:w="90" w:type="dxa"/>
              <w:end w:w="90" w:type="dxa"/>
            </w:tcMar>
            <w:vAlign w:val="top"/>
            <w:shd w:fill="15384A" w:val="clear"/>
          </w:tcPr>
          <w:p>
            <w:pPr>
              <w:spacing w:after="30" w:line="247" w:lineRule="auto"/>
            </w:pPr>
            <w:r>
              <w:rPr>
                <w:b/>
                <w:color w:val="FFFFFF"/>
                <w:sz w:val="18"/>
              </w:rPr>
              <w:t>Operating question</w:t>
            </w:r>
          </w:p>
        </w:tc>
        <w:tc>
          <w:tcPr>
            <w:tcW w:type="dxa" w:w="4262"/>
            <w:tcMar>
              <w:top w:w="85" w:type="dxa"/>
              <w:bottom w:w="85" w:type="dxa"/>
              <w:start w:w="90" w:type="dxa"/>
              <w:end w:w="90" w:type="dxa"/>
            </w:tcMar>
            <w:vAlign w:val="top"/>
            <w:shd w:fill="15384A" w:val="clear"/>
          </w:tcPr>
          <w:p>
            <w:pPr>
              <w:spacing w:after="30" w:line="247" w:lineRule="auto"/>
            </w:pPr>
            <w:r>
              <w:rPr>
                <w:b/>
                <w:color w:val="FFFFFF"/>
                <w:sz w:val="18"/>
              </w:rPr>
              <w:t>Required current record</w:t>
            </w:r>
          </w:p>
        </w:tc>
        <w:tc>
          <w:tcPr>
            <w:tcW w:type="dxa" w:w="3701"/>
            <w:tcMar>
              <w:top w:w="85" w:type="dxa"/>
              <w:bottom w:w="85" w:type="dxa"/>
              <w:start w:w="90" w:type="dxa"/>
              <w:end w:w="90" w:type="dxa"/>
            </w:tcMar>
            <w:vAlign w:val="top"/>
            <w:shd w:fill="15384A" w:val="clear"/>
          </w:tcPr>
          <w:p>
            <w:pPr>
              <w:spacing w:after="30" w:line="247" w:lineRule="auto"/>
            </w:pPr>
            <w:r>
              <w:rPr>
                <w:b/>
                <w:color w:val="FFFFFF"/>
                <w:sz w:val="18"/>
              </w:rPr>
              <w:t>Decision when the record is missing</w:t>
            </w:r>
          </w:p>
        </w:tc>
      </w:tr>
      <w:tr>
        <w:trPr>
          <w:cantSplit/>
        </w:trPr>
        <w:tc>
          <w:tcPr>
            <w:tcW w:type="dxa" w:w="2318"/>
            <w:tcMar>
              <w:top w:w="85" w:type="dxa"/>
              <w:bottom w:w="85" w:type="dxa"/>
              <w:start w:w="90" w:type="dxa"/>
              <w:end w:w="90" w:type="dxa"/>
            </w:tcMar>
            <w:vAlign w:val="top"/>
          </w:tcPr>
          <w:p>
            <w:pPr>
              <w:spacing w:after="30" w:line="247" w:lineRule="auto"/>
            </w:pPr>
            <w:r>
              <w:rPr>
                <w:b w:val="0"/>
                <w:sz w:val="18"/>
              </w:rPr>
              <w:t>Can new demand be accepted?</w:t>
            </w:r>
          </w:p>
        </w:tc>
        <w:tc>
          <w:tcPr>
            <w:tcW w:type="dxa" w:w="4262"/>
            <w:tcMar>
              <w:top w:w="85" w:type="dxa"/>
              <w:bottom w:w="85" w:type="dxa"/>
              <w:start w:w="90" w:type="dxa"/>
              <w:end w:w="90" w:type="dxa"/>
            </w:tcMar>
            <w:vAlign w:val="top"/>
          </w:tcPr>
          <w:p>
            <w:pPr>
              <w:spacing w:after="30" w:line="247" w:lineRule="auto"/>
            </w:pPr>
            <w:r>
              <w:rPr>
                <w:b w:val="0"/>
                <w:sz w:val="18"/>
              </w:rPr>
              <w:t>Service-class quota, actual commitments and all surviving capacity bottlenecks.</w:t>
            </w:r>
          </w:p>
        </w:tc>
        <w:tc>
          <w:tcPr>
            <w:tcW w:type="dxa" w:w="3701"/>
            <w:tcMar>
              <w:top w:w="85" w:type="dxa"/>
              <w:bottom w:w="85" w:type="dxa"/>
              <w:start w:w="90" w:type="dxa"/>
              <w:end w:w="90" w:type="dxa"/>
            </w:tcMar>
            <w:vAlign w:val="top"/>
          </w:tcPr>
          <w:p>
            <w:pPr>
              <w:spacing w:after="30" w:line="247" w:lineRule="auto"/>
            </w:pPr>
            <w:r>
              <w:rPr>
                <w:b w:val="0"/>
                <w:sz w:val="18"/>
              </w:rPr>
              <w:t>Queue, restrict or choose another already eligible placement; no borrowing security reserve.</w:t>
            </w:r>
          </w:p>
        </w:tc>
      </w:tr>
      <w:tr>
        <w:trPr>
          <w:cantSplit/>
        </w:trPr>
        <w:tc>
          <w:tcPr>
            <w:tcW w:type="dxa" w:w="2318"/>
            <w:tcMar>
              <w:top w:w="85" w:type="dxa"/>
              <w:bottom w:w="85" w:type="dxa"/>
              <w:start w:w="90" w:type="dxa"/>
              <w:end w:w="90" w:type="dxa"/>
            </w:tcMar>
            <w:vAlign w:val="top"/>
            <w:shd w:fill="EEF5F7" w:val="clear"/>
          </w:tcPr>
          <w:p>
            <w:pPr>
              <w:spacing w:after="30" w:line="247" w:lineRule="auto"/>
            </w:pPr>
            <w:r>
              <w:rPr>
                <w:b w:val="0"/>
                <w:sz w:val="18"/>
              </w:rPr>
              <w:t>Is the service still supported?</w:t>
            </w:r>
          </w:p>
        </w:tc>
        <w:tc>
          <w:tcPr>
            <w:tcW w:type="dxa" w:w="4262"/>
            <w:tcMar>
              <w:top w:w="85" w:type="dxa"/>
              <w:bottom w:w="85" w:type="dxa"/>
              <w:start w:w="90" w:type="dxa"/>
              <w:end w:w="90" w:type="dxa"/>
            </w:tcMar>
            <w:vAlign w:val="top"/>
            <w:shd w:fill="EEF5F7" w:val="clear"/>
          </w:tcPr>
          <w:p>
            <w:pPr>
              <w:spacing w:after="30" w:line="247" w:lineRule="auto"/>
            </w:pPr>
            <w:r>
              <w:rPr>
                <w:b w:val="0"/>
                <w:sz w:val="18"/>
              </w:rPr>
              <w:t>Installed versions, support horizon, vulnerabilities, exceptions and available recovery method.</w:t>
            </w:r>
          </w:p>
        </w:tc>
        <w:tc>
          <w:tcPr>
            <w:tcW w:type="dxa" w:w="3701"/>
            <w:tcMar>
              <w:top w:w="85" w:type="dxa"/>
              <w:bottom w:w="85" w:type="dxa"/>
              <w:start w:w="90" w:type="dxa"/>
              <w:end w:w="90" w:type="dxa"/>
            </w:tcMar>
            <w:vAlign w:val="top"/>
            <w:shd w:fill="EEF5F7" w:val="clear"/>
          </w:tcPr>
          <w:p>
            <w:pPr>
              <w:spacing w:after="30" w:line="247" w:lineRule="auto"/>
            </w:pPr>
            <w:r>
              <w:rPr>
                <w:b w:val="0"/>
                <w:sz w:val="18"/>
              </w:rPr>
              <w:t>Escalate and limit affected capability under the approved lifecycle policy.</w:t>
            </w:r>
          </w:p>
        </w:tc>
      </w:tr>
      <w:tr>
        <w:trPr>
          <w:cantSplit/>
        </w:trPr>
        <w:tc>
          <w:tcPr>
            <w:tcW w:type="dxa" w:w="2318"/>
            <w:tcMar>
              <w:top w:w="85" w:type="dxa"/>
              <w:bottom w:w="85" w:type="dxa"/>
              <w:start w:w="90" w:type="dxa"/>
              <w:end w:w="90" w:type="dxa"/>
            </w:tcMar>
            <w:vAlign w:val="top"/>
          </w:tcPr>
          <w:p>
            <w:pPr>
              <w:spacing w:after="30" w:line="247" w:lineRule="auto"/>
            </w:pPr>
            <w:r>
              <w:rPr>
                <w:b w:val="0"/>
                <w:sz w:val="18"/>
              </w:rPr>
              <w:t>Why does connectivity exist?</w:t>
            </w:r>
          </w:p>
        </w:tc>
        <w:tc>
          <w:tcPr>
            <w:tcW w:type="dxa" w:w="4262"/>
            <w:tcMar>
              <w:top w:w="85" w:type="dxa"/>
              <w:bottom w:w="85" w:type="dxa"/>
              <w:start w:w="90" w:type="dxa"/>
              <w:end w:w="90" w:type="dxa"/>
            </w:tcMar>
            <w:vAlign w:val="top"/>
          </w:tcPr>
          <w:p>
            <w:pPr>
              <w:spacing w:after="30" w:line="247" w:lineRule="auto"/>
            </w:pPr>
            <w:r>
              <w:rPr>
                <w:b w:val="0"/>
                <w:sz w:val="18"/>
              </w:rPr>
              <w:t>Domain authorities, approved operation, actual route and effective policy.</w:t>
            </w:r>
          </w:p>
        </w:tc>
        <w:tc>
          <w:tcPr>
            <w:tcW w:type="dxa" w:w="3701"/>
            <w:tcMar>
              <w:top w:w="85" w:type="dxa"/>
              <w:bottom w:w="85" w:type="dxa"/>
              <w:start w:w="90" w:type="dxa"/>
              <w:end w:w="90" w:type="dxa"/>
            </w:tcMar>
            <w:vAlign w:val="top"/>
          </w:tcPr>
          <w:p>
            <w:pPr>
              <w:spacing w:after="30" w:line="247" w:lineRule="auto"/>
            </w:pPr>
            <w:r>
              <w:rPr>
                <w:b w:val="0"/>
                <w:sz w:val="18"/>
              </w:rPr>
              <w:t>Investigate or restrict through the responsible authority; reachability is not permission.</w:t>
            </w:r>
          </w:p>
        </w:tc>
      </w:tr>
      <w:tr>
        <w:trPr>
          <w:cantSplit/>
        </w:trPr>
        <w:tc>
          <w:tcPr>
            <w:tcW w:type="dxa" w:w="2318"/>
            <w:tcMar>
              <w:top w:w="85" w:type="dxa"/>
              <w:bottom w:w="85" w:type="dxa"/>
              <w:start w:w="90" w:type="dxa"/>
              <w:end w:w="90" w:type="dxa"/>
            </w:tcMar>
            <w:vAlign w:val="top"/>
            <w:shd w:fill="EEF5F7" w:val="clear"/>
          </w:tcPr>
          <w:p>
            <w:pPr>
              <w:spacing w:after="30" w:line="247" w:lineRule="auto"/>
            </w:pPr>
            <w:r>
              <w:rPr>
                <w:b w:val="0"/>
                <w:sz w:val="18"/>
              </w:rPr>
              <w:t>Can this service be recovered?</w:t>
            </w:r>
          </w:p>
        </w:tc>
        <w:tc>
          <w:tcPr>
            <w:tcW w:type="dxa" w:w="4262"/>
            <w:tcMar>
              <w:top w:w="85" w:type="dxa"/>
              <w:bottom w:w="85" w:type="dxa"/>
              <w:start w:w="90" w:type="dxa"/>
              <w:end w:w="90" w:type="dxa"/>
            </w:tcMar>
            <w:vAlign w:val="top"/>
            <w:shd w:fill="EEF5F7" w:val="clear"/>
          </w:tcPr>
          <w:p>
            <w:pPr>
              <w:spacing w:after="30" w:line="247" w:lineRule="auto"/>
            </w:pPr>
            <w:r>
              <w:rPr>
                <w:b w:val="0"/>
                <w:sz w:val="18"/>
              </w:rPr>
              <w:t>Current copy/catalogue/key dependencies, useful restore evidence and accountable recovery owner.</w:t>
            </w:r>
          </w:p>
        </w:tc>
        <w:tc>
          <w:tcPr>
            <w:tcW w:type="dxa" w:w="3701"/>
            <w:tcMar>
              <w:top w:w="85" w:type="dxa"/>
              <w:bottom w:w="85" w:type="dxa"/>
              <w:start w:w="90" w:type="dxa"/>
              <w:end w:w="90" w:type="dxa"/>
            </w:tcMar>
            <w:vAlign w:val="top"/>
            <w:shd w:fill="EEF5F7" w:val="clear"/>
          </w:tcPr>
          <w:p>
            <w:pPr>
              <w:spacing w:after="30" w:line="247" w:lineRule="auto"/>
            </w:pPr>
            <w:r>
              <w:rPr>
                <w:b w:val="0"/>
                <w:sz w:val="18"/>
              </w:rPr>
              <w:t>Withdraw an unsupported promise or remediate; a completed backup job is insufficient.</w:t>
            </w:r>
          </w:p>
        </w:tc>
      </w:tr>
      <w:tr>
        <w:trPr>
          <w:cantSplit/>
        </w:trPr>
        <w:tc>
          <w:tcPr>
            <w:tcW w:type="dxa" w:w="2318"/>
            <w:tcMar>
              <w:top w:w="85" w:type="dxa"/>
              <w:bottom w:w="85" w:type="dxa"/>
              <w:start w:w="90" w:type="dxa"/>
              <w:end w:w="90" w:type="dxa"/>
            </w:tcMar>
            <w:vAlign w:val="top"/>
          </w:tcPr>
          <w:p>
            <w:pPr>
              <w:spacing w:after="30" w:line="247" w:lineRule="auto"/>
            </w:pPr>
            <w:r>
              <w:rPr>
                <w:b w:val="0"/>
                <w:sz w:val="18"/>
              </w:rPr>
              <w:t>Who accepts a change?</w:t>
            </w:r>
          </w:p>
        </w:tc>
        <w:tc>
          <w:tcPr>
            <w:tcW w:type="dxa" w:w="4262"/>
            <w:tcMar>
              <w:top w:w="85" w:type="dxa"/>
              <w:bottom w:w="85" w:type="dxa"/>
              <w:start w:w="90" w:type="dxa"/>
              <w:end w:w="90" w:type="dxa"/>
            </w:tcMar>
            <w:vAlign w:val="top"/>
          </w:tcPr>
          <w:p>
            <w:pPr>
              <w:spacing w:after="30" w:line="247" w:lineRule="auto"/>
            </w:pPr>
            <w:r>
              <w:rPr>
                <w:b w:val="0"/>
                <w:sz w:val="18"/>
              </w:rPr>
              <w:t>Scope owner, affected consumers, operating conditions and evidence dependencies.</w:t>
            </w:r>
          </w:p>
        </w:tc>
        <w:tc>
          <w:tcPr>
            <w:tcW w:type="dxa" w:w="3701"/>
            <w:tcMar>
              <w:top w:w="85" w:type="dxa"/>
              <w:bottom w:w="85" w:type="dxa"/>
              <w:start w:w="90" w:type="dxa"/>
              <w:end w:w="90" w:type="dxa"/>
            </w:tcMar>
            <w:vAlign w:val="top"/>
          </w:tcPr>
          <w:p>
            <w:pPr>
              <w:spacing w:after="30" w:line="247" w:lineRule="auto"/>
            </w:pPr>
            <w:r>
              <w:rPr>
                <w:b w:val="0"/>
                <w:sz w:val="18"/>
              </w:rPr>
              <w:t>Resolve authority before execution; a technical role name is not an assigned approver.</w:t>
            </w:r>
          </w:p>
        </w:tc>
      </w:tr>
    </w:tbl>
    <w:p>
      <w:pPr>
        <w:spacing w:after="0" w:before="0" w:line="120"/>
      </w:pPr>
    </w:p>
    <w:p>
      <w:r>
        <w:t>Define an observation cadence and material-change triggers for each service parameter. This playbook does not invent organization-wide maintenance or incident deadlines. Use the actual service agreement to set response objectives, review intervals, support coverage and escalation contacts.</w:t>
      </w:r>
    </w:p>
    <w:p>
      <w:r>
        <w:t>Monitoring spans data-path success, denied-path enforcement, controller health, storage/copy integrity, identity/key use, native task completion and capacity. Tenant-provided logs alone do not establish provider enforcement. Account for collection loss, clock quality and protected access to cross-tenant evidence.</w:t>
      </w:r>
    </w:p>
    <w:p>
      <w:pPr>
        <w:pStyle w:val="Caption"/>
      </w:pPr>
      <w:r>
        <w:t xml:space="preserve">Continue with: </w:t>
      </w:r>
      <w:hyperlink r:id="rId14">
        <w:r>
          <w:rPr>
            <w:color w:val="0B6B70"/>
            <w:u w:val="single"/>
          </w:rPr>
          <w:t>OPS §2</w:t>
        </w:r>
      </w:hyperlink>
      <w:r>
        <w:t xml:space="preserve">  •  </w:t>
      </w:r>
      <w:hyperlink r:id="rId15">
        <w:r>
          <w:rPr>
            <w:color w:val="0B6B70"/>
            <w:u w:val="single"/>
          </w:rPr>
          <w:t>OPS §8</w:t>
        </w:r>
      </w:hyperlink>
    </w:p>
    <w:p>
      <w:r>
        <w:br w:type="page"/>
      </w:r>
    </w:p>
    <w:p>
      <w:pPr>
        <w:pStyle w:val="Heading1"/>
      </w:pPr>
      <w:r>
        <w:t>2. Specify dependency loss before it becomes an incident</w:t>
      </w:r>
      <w:bookmarkStart w:id="131" w:name="OPS_02"/>
      <w:bookmarkEnd w:id="131"/>
    </w:p>
    <w:p>
      <w:r>
        <w:t>Loss behaviour is different for established traffic, new operations and recovery. Record all three using the actual supported implementation.</w:t>
      </w:r>
    </w:p>
    <w:p>
      <w:pPr>
        <w:pStyle w:val="Caption"/>
      </w:pPr>
      <w:r>
        <w:t xml:space="preserve">Design basis and related records: </w:t>
      </w:r>
      <w:hyperlink r:id="rId16">
        <w:r>
          <w:rPr>
            <w:color w:val="0B6B70"/>
            <w:u w:val="single"/>
          </w:rPr>
          <w:t>RA §14</w:t>
        </w:r>
      </w:hyperlink>
      <w:r>
        <w:t xml:space="preserve">  •  </w:t>
      </w:r>
      <w:hyperlink r:id="rId17">
        <w:r>
          <w:rPr>
            <w:color w:val="0B6B70"/>
            <w:u w:val="single"/>
          </w:rPr>
          <w:t>SVC §6</w:t>
        </w:r>
      </w:hyperlink>
      <w:r>
        <w:t xml:space="preserve">  •  </w:t>
      </w:r>
      <w:hyperlink r:id="rId18">
        <w:r>
          <w:rPr>
            <w:color w:val="0B6B70"/>
            <w:u w:val="single"/>
          </w:rPr>
          <w:t>IK §8</w:t>
        </w:r>
      </w:hyperlink>
    </w:p>
    <w:tbl>
      <w:tblPr>
        <w:tblW w:type="auto" w:w="0"/>
        <w:jc w:val="center"/>
        <w:tblLayout w:type="fixed"/>
        <w:tblLook w:firstColumn="1" w:firstRow="1" w:lastColumn="0" w:lastRow="0" w:noHBand="0" w:noVBand="1" w:val="04A0"/>
      </w:tblPr>
      <w:tblGrid>
        <w:gridCol w:w="1973"/>
        <w:gridCol w:w="4392"/>
        <w:gridCol w:w="3917"/>
      </w:tblGrid>
      <w:tr>
        <w:trPr>
          <w:tblHeader/>
        </w:trPr>
        <w:tc>
          <w:tcPr>
            <w:tcW w:type="dxa" w:w="1973"/>
            <w:tcMar>
              <w:top w:w="85" w:type="dxa"/>
              <w:bottom w:w="85" w:type="dxa"/>
              <w:start w:w="90" w:type="dxa"/>
              <w:end w:w="90" w:type="dxa"/>
            </w:tcMar>
            <w:vAlign w:val="top"/>
            <w:shd w:fill="15384A" w:val="clear"/>
          </w:tcPr>
          <w:p>
            <w:pPr>
              <w:spacing w:after="30" w:line="247" w:lineRule="auto"/>
            </w:pPr>
            <w:r>
              <w:rPr>
                <w:b/>
                <w:color w:val="FFFFFF"/>
                <w:sz w:val="18"/>
              </w:rPr>
              <w:t>Dependency loss</w:t>
            </w:r>
          </w:p>
        </w:tc>
        <w:tc>
          <w:tcPr>
            <w:tcW w:type="dxa" w:w="4392"/>
            <w:tcMar>
              <w:top w:w="85" w:type="dxa"/>
              <w:bottom w:w="85" w:type="dxa"/>
              <w:start w:w="90" w:type="dxa"/>
              <w:end w:w="90" w:type="dxa"/>
            </w:tcMar>
            <w:vAlign w:val="top"/>
            <w:shd w:fill="15384A" w:val="clear"/>
          </w:tcPr>
          <w:p>
            <w:pPr>
              <w:spacing w:after="30" w:line="247" w:lineRule="auto"/>
            </w:pPr>
            <w:r>
              <w:rPr>
                <w:b/>
                <w:color w:val="FFFFFF"/>
                <w:sz w:val="18"/>
              </w:rPr>
              <w:t>Existing / new operation</w:t>
            </w:r>
          </w:p>
        </w:tc>
        <w:tc>
          <w:tcPr>
            <w:tcW w:type="dxa" w:w="3917"/>
            <w:tcMar>
              <w:top w:w="85" w:type="dxa"/>
              <w:bottom w:w="85" w:type="dxa"/>
              <w:start w:w="90" w:type="dxa"/>
              <w:end w:w="90" w:type="dxa"/>
            </w:tcMar>
            <w:vAlign w:val="top"/>
            <w:shd w:fill="15384A" w:val="clear"/>
          </w:tcPr>
          <w:p>
            <w:pPr>
              <w:spacing w:after="30" w:line="247" w:lineRule="auto"/>
            </w:pPr>
            <w:r>
              <w:rPr>
                <w:b/>
                <w:color w:val="FFFFFF"/>
                <w:sz w:val="18"/>
              </w:rPr>
              <w:t>Recovery and authority condition</w:t>
            </w:r>
          </w:p>
        </w:tc>
      </w:tr>
      <w:tr>
        <w:trPr>
          <w:cantSplit/>
        </w:trPr>
        <w:tc>
          <w:tcPr>
            <w:tcW w:type="dxa" w:w="1973"/>
            <w:tcMar>
              <w:top w:w="85" w:type="dxa"/>
              <w:bottom w:w="85" w:type="dxa"/>
              <w:start w:w="90" w:type="dxa"/>
              <w:end w:w="90" w:type="dxa"/>
            </w:tcMar>
            <w:vAlign w:val="top"/>
          </w:tcPr>
          <w:p>
            <w:pPr>
              <w:spacing w:after="30" w:line="247" w:lineRule="auto"/>
            </w:pPr>
            <w:r>
              <w:rPr>
                <w:b w:val="0"/>
                <w:sz w:val="18"/>
              </w:rPr>
              <w:t>Platform manager or runner</w:t>
            </w:r>
          </w:p>
        </w:tc>
        <w:tc>
          <w:tcPr>
            <w:tcW w:type="dxa" w:w="4392"/>
            <w:tcMar>
              <w:top w:w="85" w:type="dxa"/>
              <w:bottom w:w="85" w:type="dxa"/>
              <w:start w:w="90" w:type="dxa"/>
              <w:end w:w="90" w:type="dxa"/>
            </w:tcMar>
            <w:vAlign w:val="top"/>
          </w:tcPr>
          <w:p>
            <w:pPr>
              <w:spacing w:after="30" w:line="247" w:lineRule="auto"/>
            </w:pPr>
            <w:r>
              <w:rPr>
                <w:b w:val="0"/>
                <w:sz w:val="18"/>
              </w:rPr>
              <w:t>Existing data plane follows the qualified behaviour; new uncertain changes pause.</w:t>
            </w:r>
          </w:p>
        </w:tc>
        <w:tc>
          <w:tcPr>
            <w:tcW w:type="dxa" w:w="3917"/>
            <w:tcMar>
              <w:top w:w="85" w:type="dxa"/>
              <w:bottom w:w="85" w:type="dxa"/>
              <w:start w:w="90" w:type="dxa"/>
              <w:end w:w="90" w:type="dxa"/>
            </w:tcMar>
            <w:vAlign w:val="top"/>
          </w:tcPr>
          <w:p>
            <w:pPr>
              <w:spacing w:after="30" w:line="247" w:lineRule="auto"/>
            </w:pPr>
            <w:r>
              <w:rPr>
                <w:b w:val="0"/>
                <w:sz w:val="18"/>
              </w:rPr>
              <w:t>Discover accepted native tasks before restart. Do not infer that a timed-out action stopped.</w:t>
            </w:r>
          </w:p>
        </w:tc>
      </w:tr>
      <w:tr>
        <w:trPr>
          <w:cantSplit/>
        </w:trPr>
        <w:tc>
          <w:tcPr>
            <w:tcW w:type="dxa" w:w="1973"/>
            <w:tcMar>
              <w:top w:w="85" w:type="dxa"/>
              <w:bottom w:w="85" w:type="dxa"/>
              <w:start w:w="90" w:type="dxa"/>
              <w:end w:w="90" w:type="dxa"/>
            </w:tcMar>
            <w:vAlign w:val="top"/>
            <w:shd w:fill="EEF5F7" w:val="clear"/>
          </w:tcPr>
          <w:p>
            <w:pPr>
              <w:spacing w:after="30" w:line="247" w:lineRule="auto"/>
            </w:pPr>
            <w:r>
              <w:rPr>
                <w:b w:val="0"/>
                <w:sz w:val="18"/>
              </w:rPr>
              <w:t>IPAM / naming</w:t>
            </w:r>
          </w:p>
        </w:tc>
        <w:tc>
          <w:tcPr>
            <w:tcW w:type="dxa" w:w="4392"/>
            <w:tcMar>
              <w:top w:w="85" w:type="dxa"/>
              <w:bottom w:w="85" w:type="dxa"/>
              <w:start w:w="90" w:type="dxa"/>
              <w:end w:w="90" w:type="dxa"/>
            </w:tcMar>
            <w:vAlign w:val="top"/>
            <w:shd w:fill="EEF5F7" w:val="clear"/>
          </w:tcPr>
          <w:p>
            <w:pPr>
              <w:spacing w:after="30" w:line="247" w:lineRule="auto"/>
            </w:pPr>
            <w:r>
              <w:rPr>
                <w:b w:val="0"/>
                <w:sz w:val="18"/>
              </w:rPr>
              <w:t>Existing addresses and records follow their accepted lease/continuity policy; no guessed new allocation.</w:t>
            </w:r>
          </w:p>
        </w:tc>
        <w:tc>
          <w:tcPr>
            <w:tcW w:type="dxa" w:w="3917"/>
            <w:tcMar>
              <w:top w:w="85" w:type="dxa"/>
              <w:bottom w:w="85" w:type="dxa"/>
              <w:start w:w="90" w:type="dxa"/>
              <w:end w:w="90" w:type="dxa"/>
            </w:tcMar>
            <w:vAlign w:val="top"/>
            <w:shd w:fill="EEF5F7" w:val="clear"/>
          </w:tcPr>
          <w:p>
            <w:pPr>
              <w:spacing w:after="30" w:line="247" w:lineRule="auto"/>
            </w:pPr>
            <w:r>
              <w:rPr>
                <w:b w:val="0"/>
                <w:sz w:val="18"/>
              </w:rPr>
              <w:t>Restore authoritative history and reconcile reservations, DNS and actual resources before reuse.</w:t>
            </w:r>
          </w:p>
        </w:tc>
      </w:tr>
      <w:tr>
        <w:trPr>
          <w:cantSplit/>
        </w:trPr>
        <w:tc>
          <w:tcPr>
            <w:tcW w:type="dxa" w:w="1973"/>
            <w:tcMar>
              <w:top w:w="85" w:type="dxa"/>
              <w:bottom w:w="85" w:type="dxa"/>
              <w:start w:w="90" w:type="dxa"/>
              <w:end w:w="90" w:type="dxa"/>
            </w:tcMar>
            <w:vAlign w:val="top"/>
          </w:tcPr>
          <w:p>
            <w:pPr>
              <w:spacing w:after="30" w:line="247" w:lineRule="auto"/>
            </w:pPr>
            <w:r>
              <w:rPr>
                <w:b w:val="0"/>
                <w:sz w:val="18"/>
              </w:rPr>
              <w:t>Identity / privileged access</w:t>
            </w:r>
          </w:p>
        </w:tc>
        <w:tc>
          <w:tcPr>
            <w:tcW w:type="dxa" w:w="4392"/>
            <w:tcMar>
              <w:top w:w="85" w:type="dxa"/>
              <w:bottom w:w="85" w:type="dxa"/>
              <w:start w:w="90" w:type="dxa"/>
              <w:end w:w="90" w:type="dxa"/>
            </w:tcMar>
            <w:vAlign w:val="top"/>
          </w:tcPr>
          <w:p>
            <w:pPr>
              <w:spacing w:after="30" w:line="247" w:lineRule="auto"/>
            </w:pPr>
            <w:r>
              <w:rPr>
                <w:b w:val="0"/>
                <w:sz w:val="18"/>
              </w:rPr>
              <w:t>No automatic unrestricted local-account fallback for new administrative work.</w:t>
            </w:r>
          </w:p>
        </w:tc>
        <w:tc>
          <w:tcPr>
            <w:tcW w:type="dxa" w:w="3917"/>
            <w:tcMar>
              <w:top w:w="85" w:type="dxa"/>
              <w:bottom w:w="85" w:type="dxa"/>
              <w:start w:w="90" w:type="dxa"/>
              <w:end w:w="90" w:type="dxa"/>
            </w:tcMar>
            <w:vAlign w:val="top"/>
          </w:tcPr>
          <w:p>
            <w:pPr>
              <w:spacing w:after="30" w:line="247" w:lineRule="auto"/>
            </w:pPr>
            <w:r>
              <w:rPr>
                <w:b w:val="0"/>
                <w:sz w:val="18"/>
              </w:rPr>
              <w:t>Use the approved scoped emergency path; retain logs and revoke recovery grants after use.</w:t>
            </w:r>
          </w:p>
        </w:tc>
      </w:tr>
      <w:tr>
        <w:trPr>
          <w:cantSplit/>
        </w:trPr>
        <w:tc>
          <w:tcPr>
            <w:tcW w:type="dxa" w:w="1973"/>
            <w:tcMar>
              <w:top w:w="85" w:type="dxa"/>
              <w:bottom w:w="85" w:type="dxa"/>
              <w:start w:w="90" w:type="dxa"/>
              <w:end w:w="90" w:type="dxa"/>
            </w:tcMar>
            <w:vAlign w:val="top"/>
            <w:shd w:fill="EEF5F7" w:val="clear"/>
          </w:tcPr>
          <w:p>
            <w:pPr>
              <w:spacing w:after="30" w:line="247" w:lineRule="auto"/>
            </w:pPr>
            <w:r>
              <w:rPr>
                <w:b w:val="0"/>
                <w:sz w:val="18"/>
              </w:rPr>
              <w:t>KMS / certificate trust</w:t>
            </w:r>
          </w:p>
        </w:tc>
        <w:tc>
          <w:tcPr>
            <w:tcW w:type="dxa" w:w="4392"/>
            <w:tcMar>
              <w:top w:w="85" w:type="dxa"/>
              <w:bottom w:w="85" w:type="dxa"/>
              <w:start w:w="90" w:type="dxa"/>
              <w:end w:w="90" w:type="dxa"/>
            </w:tcMar>
            <w:vAlign w:val="top"/>
            <w:shd w:fill="EEF5F7" w:val="clear"/>
          </w:tcPr>
          <w:p>
            <w:pPr>
              <w:spacing w:after="30" w:line="247" w:lineRule="auto"/>
            </w:pPr>
            <w:r>
              <w:rPr>
                <w:b w:val="0"/>
                <w:sz w:val="18"/>
              </w:rPr>
              <w:t>Running access, cached keys and restart behaviour follow measured scope; no plaintext fallback.</w:t>
            </w:r>
          </w:p>
        </w:tc>
        <w:tc>
          <w:tcPr>
            <w:tcW w:type="dxa" w:w="3917"/>
            <w:tcMar>
              <w:top w:w="85" w:type="dxa"/>
              <w:bottom w:w="85" w:type="dxa"/>
              <w:start w:w="90" w:type="dxa"/>
              <w:end w:w="90" w:type="dxa"/>
            </w:tcMar>
            <w:vAlign w:val="top"/>
            <w:shd w:fill="EEF5F7" w:val="clear"/>
          </w:tcPr>
          <w:p>
            <w:pPr>
              <w:spacing w:after="30" w:line="247" w:lineRule="auto"/>
            </w:pPr>
            <w:r>
              <w:rPr>
                <w:b w:val="0"/>
                <w:sz w:val="18"/>
              </w:rPr>
              <w:t>Recover authorized keys/trust independently of resources that require them; preserve retained-copy access.</w:t>
            </w:r>
          </w:p>
        </w:tc>
      </w:tr>
      <w:tr>
        <w:trPr>
          <w:cantSplit/>
        </w:trPr>
        <w:tc>
          <w:tcPr>
            <w:tcW w:type="dxa" w:w="1973"/>
            <w:tcMar>
              <w:top w:w="85" w:type="dxa"/>
              <w:bottom w:w="85" w:type="dxa"/>
              <w:start w:w="90" w:type="dxa"/>
              <w:end w:w="90" w:type="dxa"/>
            </w:tcMar>
            <w:vAlign w:val="top"/>
          </w:tcPr>
          <w:p>
            <w:pPr>
              <w:spacing w:after="30" w:line="247" w:lineRule="auto"/>
            </w:pPr>
            <w:r>
              <w:rPr>
                <w:b w:val="0"/>
                <w:sz w:val="18"/>
              </w:rPr>
              <w:t>Logging / evidence collection</w:t>
            </w:r>
          </w:p>
        </w:tc>
        <w:tc>
          <w:tcPr>
            <w:tcW w:type="dxa" w:w="4392"/>
            <w:tcMar>
              <w:top w:w="85" w:type="dxa"/>
              <w:bottom w:w="85" w:type="dxa"/>
              <w:start w:w="90" w:type="dxa"/>
              <w:end w:w="90" w:type="dxa"/>
            </w:tcMar>
            <w:vAlign w:val="top"/>
          </w:tcPr>
          <w:p>
            <w:pPr>
              <w:spacing w:after="30" w:line="247" w:lineRule="auto"/>
            </w:pPr>
            <w:r>
              <w:rPr>
                <w:b w:val="0"/>
                <w:sz w:val="18"/>
              </w:rPr>
              <w:t>Enforcement remains; buffering and loss alerts follow the selected profile.</w:t>
            </w:r>
          </w:p>
        </w:tc>
        <w:tc>
          <w:tcPr>
            <w:tcW w:type="dxa" w:w="3917"/>
            <w:tcMar>
              <w:top w:w="85" w:type="dxa"/>
              <w:bottom w:w="85" w:type="dxa"/>
              <w:start w:w="90" w:type="dxa"/>
              <w:end w:w="90" w:type="dxa"/>
            </w:tcMar>
            <w:vAlign w:val="top"/>
          </w:tcPr>
          <w:p>
            <w:pPr>
              <w:spacing w:after="30" w:line="247" w:lineRule="auto"/>
            </w:pPr>
            <w:r>
              <w:rPr>
                <w:b w:val="0"/>
                <w:sz w:val="18"/>
              </w:rPr>
              <w:t>Record missing intervals and apply approved operating restrictions, rather than fabricate complete logs.</w:t>
            </w:r>
          </w:p>
        </w:tc>
      </w:tr>
      <w:tr>
        <w:trPr>
          <w:cantSplit/>
        </w:trPr>
        <w:tc>
          <w:tcPr>
            <w:tcW w:type="dxa" w:w="1973"/>
            <w:tcMar>
              <w:top w:w="85" w:type="dxa"/>
              <w:bottom w:w="85" w:type="dxa"/>
              <w:start w:w="90" w:type="dxa"/>
              <w:end w:w="90" w:type="dxa"/>
            </w:tcMar>
            <w:vAlign w:val="top"/>
            <w:shd w:fill="EEF5F7" w:val="clear"/>
          </w:tcPr>
          <w:p>
            <w:pPr>
              <w:spacing w:after="30" w:line="247" w:lineRule="auto"/>
            </w:pPr>
            <w:r>
              <w:rPr>
                <w:b w:val="0"/>
                <w:sz w:val="18"/>
              </w:rPr>
              <w:t>Storage, edge or site partition</w:t>
            </w:r>
          </w:p>
        </w:tc>
        <w:tc>
          <w:tcPr>
            <w:tcW w:type="dxa" w:w="4392"/>
            <w:tcMar>
              <w:top w:w="85" w:type="dxa"/>
              <w:bottom w:w="85" w:type="dxa"/>
              <w:start w:w="90" w:type="dxa"/>
              <w:end w:w="90" w:type="dxa"/>
            </w:tcMar>
            <w:vAlign w:val="top"/>
            <w:shd w:fill="EEF5F7" w:val="clear"/>
          </w:tcPr>
          <w:p>
            <w:pPr>
              <w:spacing w:after="30" w:line="247" w:lineRule="auto"/>
            </w:pPr>
            <w:r>
              <w:rPr>
                <w:b w:val="0"/>
                <w:sz w:val="18"/>
              </w:rPr>
              <w:t>Fail-safe enforcement and writer control precede any promotion or alternate path.</w:t>
            </w:r>
          </w:p>
        </w:tc>
        <w:tc>
          <w:tcPr>
            <w:tcW w:type="dxa" w:w="3917"/>
            <w:tcMar>
              <w:top w:w="85" w:type="dxa"/>
              <w:bottom w:w="85" w:type="dxa"/>
              <w:start w:w="90" w:type="dxa"/>
              <w:end w:w="90" w:type="dxa"/>
            </w:tcMar>
            <w:vAlign w:val="top"/>
            <w:shd w:fill="EEF5F7" w:val="clear"/>
          </w:tcPr>
          <w:p>
            <w:pPr>
              <w:spacing w:after="30" w:line="247" w:lineRule="auto"/>
            </w:pPr>
            <w:r>
              <w:rPr>
                <w:b w:val="0"/>
                <w:sz w:val="18"/>
              </w:rPr>
              <w:t>Select the authorized survivor/restore scope; verify capacity, consistency and current policy.</w:t>
            </w:r>
          </w:p>
        </w:tc>
      </w:tr>
    </w:tbl>
    <w:p>
      <w:pPr>
        <w:spacing w:after="0" w:before="0" w:line="120"/>
      </w:pPr>
    </w:p>
    <w:p>
      <w:r>
        <w:t>For each dependency record a named recovery owner, invocation conditions, observable safe state, local evidence location, dependent services and the point at which fresh acceptance is needed. A common identity or key service can couple otherwise separate sites; different site labels do not remove that dependency.</w:t>
      </w:r>
    </w:p>
    <w:p>
      <w:pPr>
        <w:keepLines/>
        <w:spacing w:before="120"/>
        <w:shd w:fill="EEF5F7" w:val="clear"/>
        <w:pBdr>
          <w:left w:val="single" w:sz="12" w:space="8" w:color="0B6B70"/>
        </w:pBdr>
      </w:pPr>
      <w:r>
        <w:rPr>
          <w:b/>
        </w:rPr>
        <w:t>“Fail closed” does not mean destroy workloads or data. It means unavailable authority must not create new permission or bypass. Existing-service continuity follows the approved control and risk conditions.</w:t>
      </w:r>
    </w:p>
    <w:p>
      <w:pPr>
        <w:pStyle w:val="Caption"/>
      </w:pPr>
      <w:r>
        <w:t xml:space="preserve">Continue with: </w:t>
      </w:r>
      <w:hyperlink r:id="rId19">
        <w:r>
          <w:rPr>
            <w:color w:val="0B6B70"/>
            <w:u w:val="single"/>
          </w:rPr>
          <w:t>QCP §5</w:t>
        </w:r>
      </w:hyperlink>
      <w:r>
        <w:t xml:space="preserve">  •  </w:t>
      </w:r>
      <w:hyperlink r:id="rId20">
        <w:r>
          <w:rPr>
            <w:color w:val="0B6B70"/>
            <w:u w:val="single"/>
          </w:rPr>
          <w:t>OPS §4</w:t>
        </w:r>
      </w:hyperlink>
    </w:p>
    <w:p>
      <w:r>
        <w:br w:type="page"/>
      </w:r>
    </w:p>
    <w:p>
      <w:pPr>
        <w:pStyle w:val="Heading1"/>
      </w:pPr>
      <w:r>
        <w:t>3. Run maintenance and recover interrupted changes</w:t>
      </w:r>
      <w:bookmarkStart w:id="132" w:name="OPS_03"/>
      <w:bookmarkEnd w:id="132"/>
    </w:p>
    <w:p>
      <w:r>
        <w:t>Classify a change by its effects on service, boundaries and data—not by the repository or tool that performs it.</w:t>
      </w:r>
    </w:p>
    <w:p>
      <w:pPr>
        <w:pStyle w:val="Caption"/>
      </w:pPr>
      <w:r>
        <w:t xml:space="preserve">Design basis and related records: </w:t>
      </w:r>
      <w:hyperlink r:id="rId21">
        <w:r>
          <w:rPr>
            <w:color w:val="0B6B70"/>
            <w:u w:val="single"/>
          </w:rPr>
          <w:t>RA §25</w:t>
        </w:r>
      </w:hyperlink>
      <w:r>
        <w:t xml:space="preserve">  •  </w:t>
      </w:r>
      <w:hyperlink r:id="rId22">
        <w:r>
          <w:rPr>
            <w:color w:val="0B6B70"/>
            <w:u w:val="single"/>
          </w:rPr>
          <w:t>PROV §5</w:t>
        </w:r>
      </w:hyperlink>
      <w:r>
        <w:t xml:space="preserve">  •  </w:t>
      </w:r>
      <w:hyperlink r:id="rId18">
        <w:r>
          <w:rPr>
            <w:color w:val="0B6B70"/>
            <w:u w:val="single"/>
          </w:rPr>
          <w:t>IK §8</w:t>
        </w:r>
      </w:hyperlink>
    </w:p>
    <w:tbl>
      <w:tblPr>
        <w:tblW w:type="auto" w:w="0"/>
        <w:jc w:val="center"/>
        <w:tblLayout w:type="fixed"/>
        <w:tblLook w:firstColumn="1" w:firstRow="1" w:lastColumn="0" w:lastRow="0" w:noHBand="0" w:noVBand="1" w:val="04A0"/>
      </w:tblPr>
      <w:tblGrid>
        <w:gridCol w:w="1944"/>
        <w:gridCol w:w="4464"/>
        <w:gridCol w:w="3874"/>
      </w:tblGrid>
      <w:tr>
        <w:trPr>
          <w:tblHeader/>
        </w:trPr>
        <w:tc>
          <w:tcPr>
            <w:tcW w:type="dxa" w:w="1944"/>
            <w:tcMar>
              <w:top w:w="85" w:type="dxa"/>
              <w:bottom w:w="85" w:type="dxa"/>
              <w:start w:w="90" w:type="dxa"/>
              <w:end w:w="90" w:type="dxa"/>
            </w:tcMar>
            <w:vAlign w:val="top"/>
            <w:shd w:fill="15384A" w:val="clear"/>
          </w:tcPr>
          <w:p>
            <w:pPr>
              <w:spacing w:after="30" w:line="247" w:lineRule="auto"/>
            </w:pPr>
            <w:r>
              <w:rPr>
                <w:b/>
                <w:color w:val="FFFFFF"/>
                <w:sz w:val="18"/>
              </w:rPr>
              <w:t>Stage</w:t>
            </w:r>
          </w:p>
        </w:tc>
        <w:tc>
          <w:tcPr>
            <w:tcW w:type="dxa" w:w="4464"/>
            <w:tcMar>
              <w:top w:w="85" w:type="dxa"/>
              <w:bottom w:w="85" w:type="dxa"/>
              <w:start w:w="90" w:type="dxa"/>
              <w:end w:w="90" w:type="dxa"/>
            </w:tcMar>
            <w:vAlign w:val="top"/>
            <w:shd w:fill="15384A" w:val="clear"/>
          </w:tcPr>
          <w:p>
            <w:pPr>
              <w:spacing w:after="30" w:line="247" w:lineRule="auto"/>
            </w:pPr>
            <w:r>
              <w:rPr>
                <w:b/>
                <w:color w:val="FFFFFF"/>
                <w:sz w:val="18"/>
              </w:rPr>
              <w:t>Owner action</w:t>
            </w:r>
          </w:p>
        </w:tc>
        <w:tc>
          <w:tcPr>
            <w:tcW w:type="dxa" w:w="3874"/>
            <w:tcMar>
              <w:top w:w="85" w:type="dxa"/>
              <w:bottom w:w="85" w:type="dxa"/>
              <w:start w:w="90" w:type="dxa"/>
              <w:end w:w="90" w:type="dxa"/>
            </w:tcMar>
            <w:vAlign w:val="top"/>
            <w:shd w:fill="15384A" w:val="clear"/>
          </w:tcPr>
          <w:p>
            <w:pPr>
              <w:spacing w:after="30" w:line="247" w:lineRule="auto"/>
            </w:pPr>
            <w:r>
              <w:rPr>
                <w:b/>
                <w:color w:val="FFFFFF"/>
                <w:sz w:val="18"/>
              </w:rPr>
              <w:t>Stop or re-evaluate when</w:t>
            </w:r>
          </w:p>
        </w:tc>
      </w:tr>
      <w:tr>
        <w:trPr>
          <w:cantSplit/>
        </w:trPr>
        <w:tc>
          <w:tcPr>
            <w:tcW w:type="dxa" w:w="1944"/>
            <w:tcMar>
              <w:top w:w="85" w:type="dxa"/>
              <w:bottom w:w="85" w:type="dxa"/>
              <w:start w:w="90" w:type="dxa"/>
              <w:end w:w="90" w:type="dxa"/>
            </w:tcMar>
            <w:vAlign w:val="top"/>
          </w:tcPr>
          <w:p>
            <w:pPr>
              <w:spacing w:after="30" w:line="247" w:lineRule="auto"/>
            </w:pPr>
            <w:r>
              <w:rPr>
                <w:b w:val="0"/>
                <w:sz w:val="18"/>
              </w:rPr>
              <w:t>Bound the change</w:t>
            </w:r>
          </w:p>
        </w:tc>
        <w:tc>
          <w:tcPr>
            <w:tcW w:type="dxa" w:w="4464"/>
            <w:tcMar>
              <w:top w:w="85" w:type="dxa"/>
              <w:bottom w:w="85" w:type="dxa"/>
              <w:start w:w="90" w:type="dxa"/>
              <w:end w:w="90" w:type="dxa"/>
            </w:tcMar>
            <w:vAlign w:val="top"/>
          </w:tcPr>
          <w:p>
            <w:pPr>
              <w:spacing w:after="30" w:line="247" w:lineRule="auto"/>
            </w:pPr>
            <w:r>
              <w:rPr>
                <w:b w:val="0"/>
                <w:sz w:val="18"/>
              </w:rPr>
              <w:t>Identify affected native objects, consumers, supported tuple, surviving load and approved window.</w:t>
            </w:r>
          </w:p>
        </w:tc>
        <w:tc>
          <w:tcPr>
            <w:tcW w:type="dxa" w:w="3874"/>
            <w:tcMar>
              <w:top w:w="85" w:type="dxa"/>
              <w:bottom w:w="85" w:type="dxa"/>
              <w:start w:w="90" w:type="dxa"/>
              <w:end w:w="90" w:type="dxa"/>
            </w:tcMar>
            <w:vAlign w:val="top"/>
          </w:tcPr>
          <w:p>
            <w:pPr>
              <w:spacing w:after="30" w:line="247" w:lineRule="auto"/>
            </w:pPr>
            <w:r>
              <w:rPr>
                <w:b w:val="0"/>
                <w:sz w:val="18"/>
              </w:rPr>
              <w:t>Authority is missing, a shared dependency is undisclosed, or recovery is unproven.</w:t>
            </w:r>
          </w:p>
        </w:tc>
      </w:tr>
      <w:tr>
        <w:trPr>
          <w:cantSplit/>
        </w:trPr>
        <w:tc>
          <w:tcPr>
            <w:tcW w:type="dxa" w:w="1944"/>
            <w:tcMar>
              <w:top w:w="85" w:type="dxa"/>
              <w:bottom w:w="85" w:type="dxa"/>
              <w:start w:w="90" w:type="dxa"/>
              <w:end w:w="90" w:type="dxa"/>
            </w:tcMar>
            <w:vAlign w:val="top"/>
            <w:shd w:fill="EEF5F7" w:val="clear"/>
          </w:tcPr>
          <w:p>
            <w:pPr>
              <w:spacing w:after="30" w:line="247" w:lineRule="auto"/>
            </w:pPr>
            <w:r>
              <w:rPr>
                <w:b w:val="0"/>
                <w:sz w:val="18"/>
              </w:rPr>
              <w:t>Freeze artifacts and ownership</w:t>
            </w:r>
          </w:p>
        </w:tc>
        <w:tc>
          <w:tcPr>
            <w:tcW w:type="dxa" w:w="4464"/>
            <w:tcMar>
              <w:top w:w="85" w:type="dxa"/>
              <w:bottom w:w="85" w:type="dxa"/>
              <w:start w:w="90" w:type="dxa"/>
              <w:end w:w="90" w:type="dxa"/>
            </w:tcMar>
            <w:vAlign w:val="top"/>
            <w:shd w:fill="EEF5F7" w:val="clear"/>
          </w:tcPr>
          <w:p>
            <w:pPr>
              <w:spacing w:after="30" w:line="247" w:lineRule="auto"/>
            </w:pPr>
            <w:r>
              <w:rPr>
                <w:b w:val="0"/>
                <w:sz w:val="18"/>
              </w:rPr>
              <w:t>Bind the accepted configuration/plan, actual state and credentials to one execution owner.</w:t>
            </w:r>
          </w:p>
        </w:tc>
        <w:tc>
          <w:tcPr>
            <w:tcW w:type="dxa" w:w="3874"/>
            <w:tcMar>
              <w:top w:w="85" w:type="dxa"/>
              <w:bottom w:w="85" w:type="dxa"/>
              <w:start w:w="90" w:type="dxa"/>
              <w:end w:w="90" w:type="dxa"/>
            </w:tcMar>
            <w:vAlign w:val="top"/>
            <w:shd w:fill="EEF5F7" w:val="clear"/>
          </w:tcPr>
          <w:p>
            <w:pPr>
              <w:spacing w:after="30" w:line="247" w:lineRule="auto"/>
            </w:pPr>
            <w:r>
              <w:rPr>
                <w:b w:val="0"/>
                <w:sz w:val="18"/>
              </w:rPr>
              <w:t>Another writer changes the target or approval-sensitive input after review.</w:t>
            </w:r>
          </w:p>
        </w:tc>
      </w:tr>
      <w:tr>
        <w:trPr>
          <w:cantSplit/>
        </w:trPr>
        <w:tc>
          <w:tcPr>
            <w:tcW w:type="dxa" w:w="1944"/>
            <w:tcMar>
              <w:top w:w="85" w:type="dxa"/>
              <w:bottom w:w="85" w:type="dxa"/>
              <w:start w:w="90" w:type="dxa"/>
              <w:end w:w="90" w:type="dxa"/>
            </w:tcMar>
            <w:vAlign w:val="top"/>
          </w:tcPr>
          <w:p>
            <w:pPr>
              <w:spacing w:after="30" w:line="247" w:lineRule="auto"/>
            </w:pPr>
            <w:r>
              <w:rPr>
                <w:b w:val="0"/>
                <w:sz w:val="18"/>
              </w:rPr>
              <w:t>Observe execution</w:t>
            </w:r>
          </w:p>
        </w:tc>
        <w:tc>
          <w:tcPr>
            <w:tcW w:type="dxa" w:w="4464"/>
            <w:tcMar>
              <w:top w:w="85" w:type="dxa"/>
              <w:bottom w:w="85" w:type="dxa"/>
              <w:start w:w="90" w:type="dxa"/>
              <w:end w:w="90" w:type="dxa"/>
            </w:tcMar>
            <w:vAlign w:val="top"/>
          </w:tcPr>
          <w:p>
            <w:pPr>
              <w:spacing w:after="30" w:line="247" w:lineRule="auto"/>
            </w:pPr>
            <w:r>
              <w:rPr>
                <w:b w:val="0"/>
                <w:sz w:val="18"/>
              </w:rPr>
              <w:t>Use supported native completion signals and capture actual side effects.</w:t>
            </w:r>
          </w:p>
        </w:tc>
        <w:tc>
          <w:tcPr>
            <w:tcW w:type="dxa" w:w="3874"/>
            <w:tcMar>
              <w:top w:w="85" w:type="dxa"/>
              <w:bottom w:w="85" w:type="dxa"/>
              <w:start w:w="90" w:type="dxa"/>
              <w:end w:w="90" w:type="dxa"/>
            </w:tcMar>
            <w:vAlign w:val="top"/>
          </w:tcPr>
          <w:p>
            <w:pPr>
              <w:spacing w:after="30" w:line="247" w:lineRule="auto"/>
            </w:pPr>
            <w:r>
              <w:rPr>
                <w:b w:val="0"/>
                <w:sz w:val="18"/>
              </w:rPr>
              <w:t>The response is lost, timeout expires or the executor lease ends without confirmed native completion.</w:t>
            </w:r>
          </w:p>
        </w:tc>
      </w:tr>
      <w:tr>
        <w:trPr>
          <w:cantSplit/>
        </w:trPr>
        <w:tc>
          <w:tcPr>
            <w:tcW w:type="dxa" w:w="1944"/>
            <w:tcMar>
              <w:top w:w="85" w:type="dxa"/>
              <w:bottom w:w="85" w:type="dxa"/>
              <w:start w:w="90" w:type="dxa"/>
              <w:end w:w="90" w:type="dxa"/>
            </w:tcMar>
            <w:vAlign w:val="top"/>
            <w:shd w:fill="EEF5F7" w:val="clear"/>
          </w:tcPr>
          <w:p>
            <w:pPr>
              <w:spacing w:after="30" w:line="247" w:lineRule="auto"/>
            </w:pPr>
            <w:r>
              <w:rPr>
                <w:b w:val="0"/>
                <w:sz w:val="18"/>
              </w:rPr>
              <w:t>Resolve uncertainty</w:t>
            </w:r>
          </w:p>
        </w:tc>
        <w:tc>
          <w:tcPr>
            <w:tcW w:type="dxa" w:w="4464"/>
            <w:tcMar>
              <w:top w:w="85" w:type="dxa"/>
              <w:bottom w:w="85" w:type="dxa"/>
              <w:start w:w="90" w:type="dxa"/>
              <w:end w:w="90" w:type="dxa"/>
            </w:tcMar>
            <w:vAlign w:val="top"/>
            <w:shd w:fill="EEF5F7" w:val="clear"/>
          </w:tcPr>
          <w:p>
            <w:pPr>
              <w:spacing w:after="30" w:line="247" w:lineRule="auto"/>
            </w:pPr>
            <w:r>
              <w:rPr>
                <w:b w:val="0"/>
                <w:sz w:val="18"/>
              </w:rPr>
              <w:t>Freeze competing writes; inspect native tasks, resources and data state; choose resume, forward repair or supported compensation.</w:t>
            </w:r>
          </w:p>
        </w:tc>
        <w:tc>
          <w:tcPr>
            <w:tcW w:type="dxa" w:w="3874"/>
            <w:tcMar>
              <w:top w:w="85" w:type="dxa"/>
              <w:bottom w:w="85" w:type="dxa"/>
              <w:start w:w="90" w:type="dxa"/>
              <w:end w:w="90" w:type="dxa"/>
            </w:tcMar>
            <w:vAlign w:val="top"/>
            <w:shd w:fill="EEF5F7" w:val="clear"/>
          </w:tcPr>
          <w:p>
            <w:pPr>
              <w:spacing w:after="30" w:line="247" w:lineRule="auto"/>
            </w:pPr>
            <w:r>
              <w:rPr>
                <w:b w:val="0"/>
                <w:sz w:val="18"/>
              </w:rPr>
              <w:t>A delayed task can still complete or compensation might delete shared or newly written data.</w:t>
            </w:r>
          </w:p>
        </w:tc>
      </w:tr>
      <w:tr>
        <w:trPr>
          <w:cantSplit/>
        </w:trPr>
        <w:tc>
          <w:tcPr>
            <w:tcW w:type="dxa" w:w="1944"/>
            <w:tcMar>
              <w:top w:w="85" w:type="dxa"/>
              <w:bottom w:w="85" w:type="dxa"/>
              <w:start w:w="90" w:type="dxa"/>
              <w:end w:w="90" w:type="dxa"/>
            </w:tcMar>
            <w:vAlign w:val="top"/>
          </w:tcPr>
          <w:p>
            <w:pPr>
              <w:spacing w:after="30" w:line="247" w:lineRule="auto"/>
            </w:pPr>
            <w:r>
              <w:rPr>
                <w:b w:val="0"/>
                <w:sz w:val="18"/>
              </w:rPr>
              <w:t>Reaccept and hand over</w:t>
            </w:r>
          </w:p>
        </w:tc>
        <w:tc>
          <w:tcPr>
            <w:tcW w:type="dxa" w:w="4464"/>
            <w:tcMar>
              <w:top w:w="85" w:type="dxa"/>
              <w:bottom w:w="85" w:type="dxa"/>
              <w:start w:w="90" w:type="dxa"/>
              <w:end w:w="90" w:type="dxa"/>
            </w:tcMar>
            <w:vAlign w:val="top"/>
          </w:tcPr>
          <w:p>
            <w:pPr>
              <w:spacing w:after="30" w:line="247" w:lineRule="auto"/>
            </w:pPr>
            <w:r>
              <w:rPr>
                <w:b w:val="0"/>
                <w:sz w:val="18"/>
              </w:rPr>
              <w:t>Recheck affected controls, capacity and data; record as-built and remaining defects.</w:t>
            </w:r>
          </w:p>
        </w:tc>
        <w:tc>
          <w:tcPr>
            <w:tcW w:type="dxa" w:w="3874"/>
            <w:tcMar>
              <w:top w:w="85" w:type="dxa"/>
              <w:bottom w:w="85" w:type="dxa"/>
              <w:start w:w="90" w:type="dxa"/>
              <w:end w:w="90" w:type="dxa"/>
            </w:tcMar>
            <w:vAlign w:val="top"/>
          </w:tcPr>
          <w:p>
            <w:pPr>
              <w:spacing w:after="30" w:line="247" w:lineRule="auto"/>
            </w:pPr>
            <w:r>
              <w:rPr>
                <w:b w:val="0"/>
                <w:sz w:val="18"/>
              </w:rPr>
              <w:t>Required observations are stale or incident containment has not been explicitly released.</w:t>
            </w:r>
          </w:p>
        </w:tc>
      </w:tr>
    </w:tbl>
    <w:p>
      <w:pPr>
        <w:spacing w:after="0" w:before="0" w:line="120"/>
      </w:pPr>
    </w:p>
    <w:p>
      <w:r>
        <w:t>A prior state snapshot does not revert the actual infrastructure. Similarly, credential revocation may prevent a new API call without cancelling work already accepted by a native system. Record the remaining task and resource identity, then obtain the owning team’s recovery decision before a new execution competes with it.</w:t>
      </w:r>
    </w:p>
    <w:p>
      <w:r>
        <w:t>For brownfield adoption, discover current routes, policies, data attachments, ownership and dependencies first. Review the non-destructive import/adoption scope and remove conflicting writers deliberately. Adoption is not conformance, and it is not permission to replace existing VMs, disks or gateways.</w:t>
      </w:r>
    </w:p>
    <w:p>
      <w:r>
        <w:t>An authorized incident block takes precedence over ordinary configuration reconciliation until the incident authority releases it. Repair must not restore an old allow path merely because it remains in source.</w:t>
      </w:r>
    </w:p>
    <w:p>
      <w:pPr>
        <w:pStyle w:val="Caption"/>
      </w:pPr>
      <w:r>
        <w:t xml:space="preserve">Continue with: </w:t>
      </w:r>
      <w:hyperlink r:id="rId23">
        <w:r>
          <w:rPr>
            <w:color w:val="0B6B70"/>
            <w:u w:val="single"/>
          </w:rPr>
          <w:t>PBS §9</w:t>
        </w:r>
      </w:hyperlink>
      <w:r>
        <w:t xml:space="preserve">  •  </w:t>
      </w:r>
      <w:hyperlink r:id="rId19">
        <w:r>
          <w:rPr>
            <w:color w:val="0B6B70"/>
            <w:u w:val="single"/>
          </w:rPr>
          <w:t>QCP §5</w:t>
        </w:r>
      </w:hyperlink>
    </w:p>
    <w:p>
      <w:r>
        <w:br w:type="page"/>
      </w:r>
    </w:p>
    <w:p>
      <w:pPr>
        <w:pStyle w:val="Heading1"/>
      </w:pPr>
      <w:r>
        <w:t>4. Recover the service in dependency order</w:t>
      </w:r>
      <w:bookmarkStart w:id="133" w:name="OPS_04"/>
      <w:bookmarkEnd w:id="133"/>
    </w:p>
    <w:p>
      <w:r>
        <w:t>Recovery begins with authority and trusted access, not with powering on every available copy of a VM.</w:t>
      </w:r>
    </w:p>
    <w:p>
      <w:pPr>
        <w:pStyle w:val="Caption"/>
      </w:pPr>
      <w:r>
        <w:t xml:space="preserve">Design basis and related records: </w:t>
      </w:r>
      <w:hyperlink r:id="rId17">
        <w:r>
          <w:rPr>
            <w:color w:val="0B6B70"/>
            <w:u w:val="single"/>
          </w:rPr>
          <w:t>SVC §6</w:t>
        </w:r>
      </w:hyperlink>
      <w:r>
        <w:t xml:space="preserve">  •  </w:t>
      </w:r>
      <w:hyperlink r:id="rId24">
        <w:r>
          <w:rPr>
            <w:color w:val="0B6B70"/>
            <w:u w:val="single"/>
          </w:rPr>
          <w:t>RA §27</w:t>
        </w:r>
      </w:hyperlink>
      <w:r>
        <w:t xml:space="preserve">  •  </w:t>
      </w:r>
      <w:hyperlink r:id="rId25">
        <w:r>
          <w:rPr>
            <w:color w:val="0B6B70"/>
            <w:u w:val="single"/>
          </w:rPr>
          <w:t>IT §5</w:t>
        </w:r>
      </w:hyperlink>
    </w:p>
    <w:tbl>
      <w:tblPr>
        <w:tblW w:type="auto" w:w="0"/>
        <w:jc w:val="center"/>
        <w:tblLayout w:type="fixed"/>
        <w:tblLook w:firstColumn="1" w:firstRow="1" w:lastColumn="0" w:lastRow="0" w:noHBand="0" w:noVBand="1" w:val="04A0"/>
      </w:tblPr>
      <w:tblGrid>
        <w:gridCol w:w="2002"/>
        <w:gridCol w:w="4464"/>
        <w:gridCol w:w="3816"/>
      </w:tblGrid>
      <w:tr>
        <w:trPr>
          <w:tblHeader/>
        </w:trPr>
        <w:tc>
          <w:tcPr>
            <w:tcW w:type="dxa" w:w="2002"/>
            <w:tcMar>
              <w:top w:w="85" w:type="dxa"/>
              <w:bottom w:w="85" w:type="dxa"/>
              <w:start w:w="90" w:type="dxa"/>
              <w:end w:w="90" w:type="dxa"/>
            </w:tcMar>
            <w:vAlign w:val="top"/>
            <w:shd w:fill="15384A" w:val="clear"/>
          </w:tcPr>
          <w:p>
            <w:pPr>
              <w:spacing w:after="30" w:line="247" w:lineRule="auto"/>
            </w:pPr>
            <w:r>
              <w:rPr>
                <w:b/>
                <w:color w:val="FFFFFF"/>
                <w:sz w:val="18"/>
              </w:rPr>
              <w:t>Recovery stage</w:t>
            </w:r>
          </w:p>
        </w:tc>
        <w:tc>
          <w:tcPr>
            <w:tcW w:type="dxa" w:w="4464"/>
            <w:tcMar>
              <w:top w:w="85" w:type="dxa"/>
              <w:bottom w:w="85" w:type="dxa"/>
              <w:start w:w="90" w:type="dxa"/>
              <w:end w:w="90" w:type="dxa"/>
            </w:tcMar>
            <w:vAlign w:val="top"/>
            <w:shd w:fill="15384A" w:val="clear"/>
          </w:tcPr>
          <w:p>
            <w:pPr>
              <w:spacing w:after="30" w:line="247" w:lineRule="auto"/>
            </w:pPr>
            <w:r>
              <w:rPr>
                <w:b/>
                <w:color w:val="FFFFFF"/>
                <w:sz w:val="18"/>
              </w:rPr>
              <w:t>Required action</w:t>
            </w:r>
          </w:p>
        </w:tc>
        <w:tc>
          <w:tcPr>
            <w:tcW w:type="dxa" w:w="3816"/>
            <w:tcMar>
              <w:top w:w="85" w:type="dxa"/>
              <w:bottom w:w="85" w:type="dxa"/>
              <w:start w:w="90" w:type="dxa"/>
              <w:end w:w="90" w:type="dxa"/>
            </w:tcMar>
            <w:vAlign w:val="top"/>
            <w:shd w:fill="15384A" w:val="clear"/>
          </w:tcPr>
          <w:p>
            <w:pPr>
              <w:spacing w:after="30" w:line="247" w:lineRule="auto"/>
            </w:pPr>
            <w:r>
              <w:rPr>
                <w:b/>
                <w:color w:val="FFFFFF"/>
                <w:sz w:val="18"/>
              </w:rPr>
              <w:t>Exit observation</w:t>
            </w:r>
          </w:p>
        </w:tc>
      </w:tr>
      <w:tr>
        <w:trPr>
          <w:cantSplit/>
        </w:trPr>
        <w:tc>
          <w:tcPr>
            <w:tcW w:type="dxa" w:w="2002"/>
            <w:tcMar>
              <w:top w:w="85" w:type="dxa"/>
              <w:bottom w:w="85" w:type="dxa"/>
              <w:start w:w="90" w:type="dxa"/>
              <w:end w:w="90" w:type="dxa"/>
            </w:tcMar>
            <w:vAlign w:val="top"/>
          </w:tcPr>
          <w:p>
            <w:pPr>
              <w:spacing w:after="30" w:line="247" w:lineRule="auto"/>
            </w:pPr>
            <w:r>
              <w:rPr>
                <w:b w:val="0"/>
                <w:sz w:val="18"/>
              </w:rPr>
              <w:t>1. Establish authority</w:t>
            </w:r>
          </w:p>
        </w:tc>
        <w:tc>
          <w:tcPr>
            <w:tcW w:type="dxa" w:w="4464"/>
            <w:tcMar>
              <w:top w:w="85" w:type="dxa"/>
              <w:bottom w:w="85" w:type="dxa"/>
              <w:start w:w="90" w:type="dxa"/>
              <w:end w:w="90" w:type="dxa"/>
            </w:tcMar>
            <w:vAlign w:val="top"/>
          </w:tcPr>
          <w:p>
            <w:pPr>
              <w:spacing w:after="30" w:line="247" w:lineRule="auto"/>
            </w:pPr>
            <w:r>
              <w:rPr>
                <w:b w:val="0"/>
                <w:sz w:val="18"/>
              </w:rPr>
              <w:t>Declare scope and recovery owner; preserve evidence and prevent ambiguous concurrent writers.</w:t>
            </w:r>
          </w:p>
        </w:tc>
        <w:tc>
          <w:tcPr>
            <w:tcW w:type="dxa" w:w="3816"/>
            <w:tcMar>
              <w:top w:w="85" w:type="dxa"/>
              <w:bottom w:w="85" w:type="dxa"/>
              <w:start w:w="90" w:type="dxa"/>
              <w:end w:w="90" w:type="dxa"/>
            </w:tcMar>
            <w:vAlign w:val="top"/>
          </w:tcPr>
          <w:p>
            <w:pPr>
              <w:spacing w:after="30" w:line="247" w:lineRule="auto"/>
            </w:pPr>
            <w:r>
              <w:rPr>
                <w:b w:val="0"/>
                <w:sz w:val="18"/>
              </w:rPr>
              <w:t>The selected data/service recovery point and writer authority are explicit.</w:t>
            </w:r>
          </w:p>
        </w:tc>
      </w:tr>
      <w:tr>
        <w:trPr>
          <w:cantSplit/>
        </w:trPr>
        <w:tc>
          <w:tcPr>
            <w:tcW w:type="dxa" w:w="2002"/>
            <w:tcMar>
              <w:top w:w="85" w:type="dxa"/>
              <w:bottom w:w="85" w:type="dxa"/>
              <w:start w:w="90" w:type="dxa"/>
              <w:end w:w="90" w:type="dxa"/>
            </w:tcMar>
            <w:vAlign w:val="top"/>
            <w:shd w:fill="EEF5F7" w:val="clear"/>
          </w:tcPr>
          <w:p>
            <w:pPr>
              <w:spacing w:after="30" w:line="247" w:lineRule="auto"/>
            </w:pPr>
            <w:r>
              <w:rPr>
                <w:b w:val="0"/>
                <w:sz w:val="18"/>
              </w:rPr>
              <w:t>2. Recover minimum trust</w:t>
            </w:r>
          </w:p>
        </w:tc>
        <w:tc>
          <w:tcPr>
            <w:tcW w:type="dxa" w:w="4464"/>
            <w:tcMar>
              <w:top w:w="85" w:type="dxa"/>
              <w:bottom w:w="85" w:type="dxa"/>
              <w:start w:w="90" w:type="dxa"/>
              <w:end w:w="90" w:type="dxa"/>
            </w:tcMar>
            <w:vAlign w:val="top"/>
            <w:shd w:fill="EEF5F7" w:val="clear"/>
          </w:tcPr>
          <w:p>
            <w:pPr>
              <w:spacing w:after="30" w:line="247" w:lineRule="auto"/>
            </w:pPr>
            <w:r>
              <w:rPr>
                <w:b w:val="0"/>
                <w:sz w:val="18"/>
              </w:rPr>
              <w:t>Establish approved management/OOB, name/time/identity and access to protected keys and recovery material.</w:t>
            </w:r>
          </w:p>
        </w:tc>
        <w:tc>
          <w:tcPr>
            <w:tcW w:type="dxa" w:w="3816"/>
            <w:tcMar>
              <w:top w:w="85" w:type="dxa"/>
              <w:bottom w:w="85" w:type="dxa"/>
              <w:start w:w="90" w:type="dxa"/>
              <w:end w:w="90" w:type="dxa"/>
            </w:tcMar>
            <w:vAlign w:val="top"/>
            <w:shd w:fill="EEF5F7" w:val="clear"/>
          </w:tcPr>
          <w:p>
            <w:pPr>
              <w:spacing w:after="30" w:line="247" w:lineRule="auto"/>
            </w:pPr>
            <w:r>
              <w:rPr>
                <w:b w:val="0"/>
                <w:sz w:val="18"/>
              </w:rPr>
              <w:t>Recovery does not depend solely on the failed encrypted or management platform.</w:t>
            </w:r>
          </w:p>
        </w:tc>
      </w:tr>
      <w:tr>
        <w:trPr>
          <w:cantSplit/>
        </w:trPr>
        <w:tc>
          <w:tcPr>
            <w:tcW w:type="dxa" w:w="2002"/>
            <w:tcMar>
              <w:top w:w="85" w:type="dxa"/>
              <w:bottom w:w="85" w:type="dxa"/>
              <w:start w:w="90" w:type="dxa"/>
              <w:end w:w="90" w:type="dxa"/>
            </w:tcMar>
            <w:vAlign w:val="top"/>
          </w:tcPr>
          <w:p>
            <w:pPr>
              <w:spacing w:after="30" w:line="247" w:lineRule="auto"/>
            </w:pPr>
            <w:r>
              <w:rPr>
                <w:b w:val="0"/>
                <w:sz w:val="18"/>
              </w:rPr>
              <w:t>3. Rebuild foundations</w:t>
            </w:r>
          </w:p>
        </w:tc>
        <w:tc>
          <w:tcPr>
            <w:tcW w:type="dxa" w:w="4464"/>
            <w:tcMar>
              <w:top w:w="85" w:type="dxa"/>
              <w:bottom w:w="85" w:type="dxa"/>
              <w:start w:w="90" w:type="dxa"/>
              <w:end w:w="90" w:type="dxa"/>
            </w:tcMar>
            <w:vAlign w:val="top"/>
          </w:tcPr>
          <w:p>
            <w:pPr>
              <w:spacing w:after="30" w:line="247" w:lineRule="auto"/>
            </w:pPr>
            <w:r>
              <w:rPr>
                <w:b w:val="0"/>
                <w:sz w:val="18"/>
              </w:rPr>
              <w:t>Recover accepted configuration, inventory/state, transport, storage and platform control; then denied security and service paths.</w:t>
            </w:r>
          </w:p>
        </w:tc>
        <w:tc>
          <w:tcPr>
            <w:tcW w:type="dxa" w:w="3816"/>
            <w:tcMar>
              <w:top w:w="85" w:type="dxa"/>
              <w:bottom w:w="85" w:type="dxa"/>
              <w:start w:w="90" w:type="dxa"/>
              <w:end w:w="90" w:type="dxa"/>
            </w:tcMar>
            <w:vAlign w:val="top"/>
          </w:tcPr>
          <w:p>
            <w:pPr>
              <w:spacing w:after="30" w:line="247" w:lineRule="auto"/>
            </w:pPr>
            <w:r>
              <w:rPr>
                <w:b w:val="0"/>
                <w:sz w:val="18"/>
              </w:rPr>
              <w:t>Actual resources, support tuple, routes, quorum and shared dependencies match the recovery design.</w:t>
            </w:r>
          </w:p>
        </w:tc>
      </w:tr>
      <w:tr>
        <w:trPr>
          <w:cantSplit/>
        </w:trPr>
        <w:tc>
          <w:tcPr>
            <w:tcW w:type="dxa" w:w="2002"/>
            <w:tcMar>
              <w:top w:w="85" w:type="dxa"/>
              <w:bottom w:w="85" w:type="dxa"/>
              <w:start w:w="90" w:type="dxa"/>
              <w:end w:w="90" w:type="dxa"/>
            </w:tcMar>
            <w:vAlign w:val="top"/>
            <w:shd w:fill="EEF5F7" w:val="clear"/>
          </w:tcPr>
          <w:p>
            <w:pPr>
              <w:spacing w:after="30" w:line="247" w:lineRule="auto"/>
            </w:pPr>
            <w:r>
              <w:rPr>
                <w:b w:val="0"/>
                <w:sz w:val="18"/>
              </w:rPr>
              <w:t>4. Restore isolated service</w:t>
            </w:r>
          </w:p>
        </w:tc>
        <w:tc>
          <w:tcPr>
            <w:tcW w:type="dxa" w:w="4464"/>
            <w:tcMar>
              <w:top w:w="85" w:type="dxa"/>
              <w:bottom w:w="85" w:type="dxa"/>
              <w:start w:w="90" w:type="dxa"/>
              <w:end w:w="90" w:type="dxa"/>
            </w:tcMar>
            <w:vAlign w:val="top"/>
            <w:shd w:fill="EEF5F7" w:val="clear"/>
          </w:tcPr>
          <w:p>
            <w:pPr>
              <w:spacing w:after="30" w:line="247" w:lineRule="auto"/>
            </w:pPr>
            <w:r>
              <w:rPr>
                <w:b w:val="0"/>
                <w:sz w:val="18"/>
              </w:rPr>
              <w:t>Recover owned data, images and required identities/services into eligible domains.</w:t>
            </w:r>
          </w:p>
        </w:tc>
        <w:tc>
          <w:tcPr>
            <w:tcW w:type="dxa" w:w="3816"/>
            <w:tcMar>
              <w:top w:w="85" w:type="dxa"/>
              <w:bottom w:w="85" w:type="dxa"/>
              <w:start w:w="90" w:type="dxa"/>
              <w:end w:w="90" w:type="dxa"/>
            </w:tcMar>
            <w:vAlign w:val="top"/>
            <w:shd w:fill="EEF5F7" w:val="clear"/>
          </w:tcPr>
          <w:p>
            <w:pPr>
              <w:spacing w:after="30" w:line="247" w:lineRule="auto"/>
            </w:pPr>
            <w:r>
              <w:rPr>
                <w:b w:val="0"/>
                <w:sz w:val="18"/>
              </w:rPr>
              <w:t>Useful consistency markers, valid credentials/keys and permitted/denied paths are verified.</w:t>
            </w:r>
          </w:p>
        </w:tc>
      </w:tr>
      <w:tr>
        <w:trPr>
          <w:cantSplit/>
        </w:trPr>
        <w:tc>
          <w:tcPr>
            <w:tcW w:type="dxa" w:w="2002"/>
            <w:tcMar>
              <w:top w:w="85" w:type="dxa"/>
              <w:bottom w:w="85" w:type="dxa"/>
              <w:start w:w="90" w:type="dxa"/>
              <w:end w:w="90" w:type="dxa"/>
            </w:tcMar>
            <w:vAlign w:val="top"/>
          </w:tcPr>
          <w:p>
            <w:pPr>
              <w:spacing w:after="30" w:line="247" w:lineRule="auto"/>
            </w:pPr>
            <w:r>
              <w:rPr>
                <w:b w:val="0"/>
                <w:sz w:val="18"/>
              </w:rPr>
              <w:t>5. Activate and observe</w:t>
            </w:r>
          </w:p>
        </w:tc>
        <w:tc>
          <w:tcPr>
            <w:tcW w:type="dxa" w:w="4464"/>
            <w:tcMar>
              <w:top w:w="85" w:type="dxa"/>
              <w:bottom w:w="85" w:type="dxa"/>
              <w:start w:w="90" w:type="dxa"/>
              <w:end w:w="90" w:type="dxa"/>
            </w:tcMar>
            <w:vAlign w:val="top"/>
          </w:tcPr>
          <w:p>
            <w:pPr>
              <w:spacing w:after="30" w:line="247" w:lineRule="auto"/>
            </w:pPr>
            <w:r>
              <w:rPr>
                <w:b w:val="0"/>
                <w:sz w:val="18"/>
              </w:rPr>
              <w:t>Obtain required acceptance, switch approved service access and observe the live path.</w:t>
            </w:r>
          </w:p>
        </w:tc>
        <w:tc>
          <w:tcPr>
            <w:tcW w:type="dxa" w:w="3816"/>
            <w:tcMar>
              <w:top w:w="85" w:type="dxa"/>
              <w:bottom w:w="85" w:type="dxa"/>
              <w:start w:w="90" w:type="dxa"/>
              <w:end w:w="90" w:type="dxa"/>
            </w:tcMar>
            <w:vAlign w:val="top"/>
          </w:tcPr>
          <w:p>
            <w:pPr>
              <w:spacing w:after="30" w:line="247" w:lineRule="auto"/>
            </w:pPr>
            <w:r>
              <w:rPr>
                <w:b w:val="0"/>
                <w:sz w:val="18"/>
              </w:rPr>
              <w:t>Writer control, service outcome and achieved recovery targets are recorded.</w:t>
            </w:r>
          </w:p>
        </w:tc>
      </w:tr>
      <w:tr>
        <w:trPr>
          <w:cantSplit/>
        </w:trPr>
        <w:tc>
          <w:tcPr>
            <w:tcW w:type="dxa" w:w="2002"/>
            <w:tcMar>
              <w:top w:w="85" w:type="dxa"/>
              <w:bottom w:w="85" w:type="dxa"/>
              <w:start w:w="90" w:type="dxa"/>
              <w:end w:w="90" w:type="dxa"/>
            </w:tcMar>
            <w:vAlign w:val="top"/>
            <w:shd w:fill="EEF5F7" w:val="clear"/>
          </w:tcPr>
          <w:p>
            <w:pPr>
              <w:spacing w:after="30" w:line="247" w:lineRule="auto"/>
            </w:pPr>
            <w:r>
              <w:rPr>
                <w:b w:val="0"/>
                <w:sz w:val="18"/>
              </w:rPr>
              <w:t>6. Stabilize and plan return</w:t>
            </w:r>
          </w:p>
        </w:tc>
        <w:tc>
          <w:tcPr>
            <w:tcW w:type="dxa" w:w="4464"/>
            <w:tcMar>
              <w:top w:w="85" w:type="dxa"/>
              <w:bottom w:w="85" w:type="dxa"/>
              <w:start w:w="90" w:type="dxa"/>
              <w:end w:w="90" w:type="dxa"/>
            </w:tcMar>
            <w:vAlign w:val="top"/>
            <w:shd w:fill="EEF5F7" w:val="clear"/>
          </w:tcPr>
          <w:p>
            <w:pPr>
              <w:spacing w:after="30" w:line="247" w:lineRule="auto"/>
            </w:pPr>
            <w:r>
              <w:rPr>
                <w:b w:val="0"/>
                <w:sz w:val="18"/>
              </w:rPr>
              <w:t>Re-establish protection, reconcile emergency grants, and plan failback separately.</w:t>
            </w:r>
          </w:p>
        </w:tc>
        <w:tc>
          <w:tcPr>
            <w:tcW w:type="dxa" w:w="3816"/>
            <w:tcMar>
              <w:top w:w="85" w:type="dxa"/>
              <w:bottom w:w="85" w:type="dxa"/>
              <w:start w:w="90" w:type="dxa"/>
              <w:end w:w="90" w:type="dxa"/>
            </w:tcMar>
            <w:vAlign w:val="top"/>
            <w:shd w:fill="EEF5F7" w:val="clear"/>
          </w:tcPr>
          <w:p>
            <w:pPr>
              <w:spacing w:after="30" w:line="247" w:lineRule="auto"/>
            </w:pPr>
            <w:r>
              <w:rPr>
                <w:b w:val="0"/>
                <w:sz w:val="18"/>
              </w:rPr>
              <w:t>No temporary path or stale privilege remains without an accountable approved lifetime.</w:t>
            </w:r>
          </w:p>
        </w:tc>
      </w:tr>
    </w:tbl>
    <w:p>
      <w:pPr>
        <w:spacing w:after="0" w:before="0" w:line="120"/>
      </w:pPr>
    </w:p>
    <w:p>
      <w:r>
        <w:t>An isolated restore may reveal compromised configuration, missing keys, stale identities or an unusable consistency point. Keep the result restricted until the responsible owners resolve those conditions. A successful file read is not application acceptance; the service/data owner supplies meaningful restored-state checks.</w:t>
      </w:r>
    </w:p>
    <w:p>
      <w:r>
        <w:t>Avoid recovery loops: the only key to unlock storage cannot be stored only on that locked storage; the sole backup catalogue cannot be reachable only through a destroyed controller. Record a tested dependency cut and custodial recovery method, without publishing secrets in the kit.</w:t>
      </w:r>
    </w:p>
    <w:p>
      <w:pPr>
        <w:pStyle w:val="Caption"/>
      </w:pPr>
      <w:r>
        <w:t xml:space="preserve">Continue with: </w:t>
      </w:r>
      <w:hyperlink r:id="rId26">
        <w:r>
          <w:rPr>
            <w:color w:val="0B6B70"/>
            <w:u w:val="single"/>
          </w:rPr>
          <w:t>OPS §5</w:t>
        </w:r>
      </w:hyperlink>
      <w:r>
        <w:t xml:space="preserve">  •  </w:t>
      </w:r>
      <w:hyperlink r:id="rId19">
        <w:r>
          <w:rPr>
            <w:color w:val="0B6B70"/>
            <w:u w:val="single"/>
          </w:rPr>
          <w:t>QCP §5</w:t>
        </w:r>
      </w:hyperlink>
    </w:p>
    <w:p>
      <w:r>
        <w:br w:type="page"/>
      </w:r>
    </w:p>
    <w:p>
      <w:pPr>
        <w:pStyle w:val="Heading1"/>
      </w:pPr>
      <w:r>
        <w:t>5. Calculate the recovery critical path and data point</w:t>
      </w:r>
      <w:bookmarkStart w:id="134" w:name="OPS_05"/>
      <w:bookmarkEnd w:id="134"/>
    </w:p>
    <w:p>
      <w:r>
        <w:t>The following schedule is a local planning example. It is not measured performance, an approved target or a prediction for any vendor platform.</w:t>
      </w:r>
    </w:p>
    <w:p>
      <w:pPr>
        <w:pStyle w:val="Caption"/>
      </w:pPr>
      <w:r>
        <w:t xml:space="preserve">Design basis and related records: </w:t>
      </w:r>
      <w:hyperlink r:id="rId27">
        <w:r>
          <w:rPr>
            <w:color w:val="0B6B70"/>
            <w:u w:val="single"/>
          </w:rPr>
          <w:t>QUAL §4</w:t>
        </w:r>
      </w:hyperlink>
      <w:r>
        <w:t xml:space="preserve">  •  </w:t>
      </w:r>
      <w:hyperlink r:id="rId17">
        <w:r>
          <w:rPr>
            <w:color w:val="0B6B70"/>
            <w:u w:val="single"/>
          </w:rPr>
          <w:t>SVC §6</w:t>
        </w:r>
      </w:hyperlink>
      <w:r>
        <w:t xml:space="preserve">  •  </w:t>
      </w:r>
      <w:hyperlink r:id="rId28">
        <w:r>
          <w:rPr>
            <w:color w:val="0B6B70"/>
            <w:u w:val="single"/>
          </w:rPr>
          <w:t>EK §6</w:t>
        </w:r>
      </w:hyperlink>
    </w:p>
    <w:tbl>
      <w:tblPr>
        <w:tblW w:type="auto" w:w="0"/>
        <w:jc w:val="center"/>
        <w:tblLayout w:type="fixed"/>
        <w:tblLook w:firstColumn="1" w:firstRow="1" w:lastColumn="0" w:lastRow="0" w:noHBand="0" w:noVBand="1" w:val="04A0"/>
      </w:tblPr>
      <w:tblGrid>
        <w:gridCol w:w="4968"/>
        <w:gridCol w:w="1080"/>
        <w:gridCol w:w="4234"/>
      </w:tblGrid>
      <w:tr>
        <w:trPr>
          <w:tblHeader/>
        </w:trPr>
        <w:tc>
          <w:tcPr>
            <w:tcW w:type="dxa" w:w="4968"/>
            <w:tcMar>
              <w:top w:w="85" w:type="dxa"/>
              <w:bottom w:w="85" w:type="dxa"/>
              <w:start w:w="90" w:type="dxa"/>
              <w:end w:w="90" w:type="dxa"/>
            </w:tcMar>
            <w:vAlign w:val="top"/>
            <w:shd w:fill="15384A" w:val="clear"/>
          </w:tcPr>
          <w:p>
            <w:pPr>
              <w:spacing w:after="30" w:line="247" w:lineRule="auto"/>
            </w:pPr>
            <w:r>
              <w:rPr>
                <w:b/>
                <w:color w:val="FFFFFF"/>
                <w:sz w:val="18"/>
              </w:rPr>
              <w:t>Example activity</w:t>
            </w:r>
          </w:p>
        </w:tc>
        <w:tc>
          <w:tcPr>
            <w:tcW w:type="dxa" w:w="1080"/>
            <w:tcMar>
              <w:top w:w="85" w:type="dxa"/>
              <w:bottom w:w="85" w:type="dxa"/>
              <w:start w:w="90" w:type="dxa"/>
              <w:end w:w="90" w:type="dxa"/>
            </w:tcMar>
            <w:vAlign w:val="top"/>
            <w:shd w:fill="15384A" w:val="clear"/>
          </w:tcPr>
          <w:p>
            <w:pPr>
              <w:spacing w:after="30" w:line="247" w:lineRule="auto"/>
            </w:pPr>
            <w:r>
              <w:rPr>
                <w:b/>
                <w:color w:val="FFFFFF"/>
                <w:sz w:val="18"/>
              </w:rPr>
              <w:t>Minutes</w:t>
            </w:r>
          </w:p>
        </w:tc>
        <w:tc>
          <w:tcPr>
            <w:tcW w:type="dxa" w:w="4234"/>
            <w:tcMar>
              <w:top w:w="85" w:type="dxa"/>
              <w:bottom w:w="85" w:type="dxa"/>
              <w:start w:w="90" w:type="dxa"/>
              <w:end w:w="90" w:type="dxa"/>
            </w:tcMar>
            <w:vAlign w:val="top"/>
            <w:shd w:fill="15384A" w:val="clear"/>
          </w:tcPr>
          <w:p>
            <w:pPr>
              <w:spacing w:after="30" w:line="247" w:lineRule="auto"/>
            </w:pPr>
            <w:r>
              <w:rPr>
                <w:b/>
                <w:color w:val="FFFFFF"/>
                <w:sz w:val="18"/>
              </w:rPr>
              <w:t>Dependency / elapsed finish</w:t>
            </w:r>
          </w:p>
        </w:tc>
      </w:tr>
      <w:tr>
        <w:trPr>
          <w:cantSplit/>
        </w:trPr>
        <w:tc>
          <w:tcPr>
            <w:tcW w:type="dxa" w:w="4968"/>
            <w:tcMar>
              <w:top w:w="85" w:type="dxa"/>
              <w:bottom w:w="85" w:type="dxa"/>
              <w:start w:w="90" w:type="dxa"/>
              <w:end w:w="90" w:type="dxa"/>
            </w:tcMar>
            <w:vAlign w:val="top"/>
          </w:tcPr>
          <w:p>
            <w:pPr>
              <w:spacing w:after="30" w:line="247" w:lineRule="auto"/>
            </w:pPr>
            <w:r>
              <w:rPr>
                <w:b w:val="0"/>
                <w:sz w:val="18"/>
              </w:rPr>
              <w:t>Detect and declare</w:t>
            </w:r>
          </w:p>
        </w:tc>
        <w:tc>
          <w:tcPr>
            <w:tcW w:type="dxa" w:w="1080"/>
            <w:tcMar>
              <w:top w:w="85" w:type="dxa"/>
              <w:bottom w:w="85" w:type="dxa"/>
              <w:start w:w="90" w:type="dxa"/>
              <w:end w:w="90" w:type="dxa"/>
            </w:tcMar>
            <w:vAlign w:val="top"/>
          </w:tcPr>
          <w:p>
            <w:pPr>
              <w:spacing w:after="30" w:line="247" w:lineRule="auto"/>
            </w:pPr>
            <w:r>
              <w:rPr>
                <w:b w:val="0"/>
                <w:sz w:val="18"/>
              </w:rPr>
              <w:t>10</w:t>
            </w:r>
          </w:p>
        </w:tc>
        <w:tc>
          <w:tcPr>
            <w:tcW w:type="dxa" w:w="4234"/>
            <w:tcMar>
              <w:top w:w="85" w:type="dxa"/>
              <w:bottom w:w="85" w:type="dxa"/>
              <w:start w:w="90" w:type="dxa"/>
              <w:end w:w="90" w:type="dxa"/>
            </w:tcMar>
            <w:vAlign w:val="top"/>
          </w:tcPr>
          <w:p>
            <w:pPr>
              <w:spacing w:after="30" w:line="247" w:lineRule="auto"/>
            </w:pPr>
            <w:r>
              <w:rPr>
                <w:b w:val="0"/>
                <w:sz w:val="18"/>
              </w:rPr>
              <w:t>Start 0 → finish 10</w:t>
            </w:r>
          </w:p>
        </w:tc>
      </w:tr>
      <w:tr>
        <w:trPr>
          <w:cantSplit/>
        </w:trPr>
        <w:tc>
          <w:tcPr>
            <w:tcW w:type="dxa" w:w="4968"/>
            <w:tcMar>
              <w:top w:w="85" w:type="dxa"/>
              <w:bottom w:w="85" w:type="dxa"/>
              <w:start w:w="90" w:type="dxa"/>
              <w:end w:w="90" w:type="dxa"/>
            </w:tcMar>
            <w:vAlign w:val="top"/>
            <w:shd w:fill="EEF5F7" w:val="clear"/>
          </w:tcPr>
          <w:p>
            <w:pPr>
              <w:spacing w:after="30" w:line="247" w:lineRule="auto"/>
            </w:pPr>
            <w:r>
              <w:rPr>
                <w:b w:val="0"/>
                <w:sz w:val="18"/>
              </w:rPr>
              <w:t>Select recovery authority</w:t>
            </w:r>
          </w:p>
        </w:tc>
        <w:tc>
          <w:tcPr>
            <w:tcW w:type="dxa" w:w="1080"/>
            <w:tcMar>
              <w:top w:w="85" w:type="dxa"/>
              <w:bottom w:w="85" w:type="dxa"/>
              <w:start w:w="90" w:type="dxa"/>
              <w:end w:w="90" w:type="dxa"/>
            </w:tcMar>
            <w:vAlign w:val="top"/>
            <w:shd w:fill="EEF5F7" w:val="clear"/>
          </w:tcPr>
          <w:p>
            <w:pPr>
              <w:spacing w:after="30" w:line="247" w:lineRule="auto"/>
            </w:pPr>
            <w:r>
              <w:rPr>
                <w:b w:val="0"/>
                <w:sz w:val="18"/>
              </w:rPr>
              <w:t>5</w:t>
            </w:r>
          </w:p>
        </w:tc>
        <w:tc>
          <w:tcPr>
            <w:tcW w:type="dxa" w:w="4234"/>
            <w:tcMar>
              <w:top w:w="85" w:type="dxa"/>
              <w:bottom w:w="85" w:type="dxa"/>
              <w:start w:w="90" w:type="dxa"/>
              <w:end w:w="90" w:type="dxa"/>
            </w:tcMar>
            <w:vAlign w:val="top"/>
            <w:shd w:fill="EEF5F7" w:val="clear"/>
          </w:tcPr>
          <w:p>
            <w:pPr>
              <w:spacing w:after="30" w:line="247" w:lineRule="auto"/>
            </w:pPr>
            <w:r>
              <w:rPr>
                <w:b w:val="0"/>
                <w:sz w:val="18"/>
              </w:rPr>
              <w:t>After detection → finish 15</w:t>
            </w:r>
          </w:p>
        </w:tc>
      </w:tr>
      <w:tr>
        <w:trPr>
          <w:cantSplit/>
        </w:trPr>
        <w:tc>
          <w:tcPr>
            <w:tcW w:type="dxa" w:w="4968"/>
            <w:tcMar>
              <w:top w:w="85" w:type="dxa"/>
              <w:bottom w:w="85" w:type="dxa"/>
              <w:start w:w="90" w:type="dxa"/>
              <w:end w:w="90" w:type="dxa"/>
            </w:tcMar>
            <w:vAlign w:val="top"/>
          </w:tcPr>
          <w:p>
            <w:pPr>
              <w:spacing w:after="30" w:line="247" w:lineRule="auto"/>
            </w:pPr>
            <w:r>
              <w:rPr>
                <w:b w:val="0"/>
                <w:sz w:val="18"/>
              </w:rPr>
              <w:t>Recover minimum trust / bootstrap</w:t>
            </w:r>
          </w:p>
        </w:tc>
        <w:tc>
          <w:tcPr>
            <w:tcW w:type="dxa" w:w="1080"/>
            <w:tcMar>
              <w:top w:w="85" w:type="dxa"/>
              <w:bottom w:w="85" w:type="dxa"/>
              <w:start w:w="90" w:type="dxa"/>
              <w:end w:w="90" w:type="dxa"/>
            </w:tcMar>
            <w:vAlign w:val="top"/>
          </w:tcPr>
          <w:p>
            <w:pPr>
              <w:spacing w:after="30" w:line="247" w:lineRule="auto"/>
            </w:pPr>
            <w:r>
              <w:rPr>
                <w:b w:val="0"/>
                <w:sz w:val="18"/>
              </w:rPr>
              <w:t>25</w:t>
            </w:r>
          </w:p>
        </w:tc>
        <w:tc>
          <w:tcPr>
            <w:tcW w:type="dxa" w:w="4234"/>
            <w:tcMar>
              <w:top w:w="85" w:type="dxa"/>
              <w:bottom w:w="85" w:type="dxa"/>
              <w:start w:w="90" w:type="dxa"/>
              <w:end w:w="90" w:type="dxa"/>
            </w:tcMar>
            <w:vAlign w:val="top"/>
          </w:tcPr>
          <w:p>
            <w:pPr>
              <w:spacing w:after="30" w:line="247" w:lineRule="auto"/>
            </w:pPr>
            <w:r>
              <w:rPr>
                <w:b w:val="0"/>
                <w:sz w:val="18"/>
              </w:rPr>
              <w:t>After decision → finish 40</w:t>
            </w:r>
          </w:p>
        </w:tc>
      </w:tr>
      <w:tr>
        <w:trPr>
          <w:cantSplit/>
        </w:trPr>
        <w:tc>
          <w:tcPr>
            <w:tcW w:type="dxa" w:w="4968"/>
            <w:tcMar>
              <w:top w:w="85" w:type="dxa"/>
              <w:bottom w:w="85" w:type="dxa"/>
              <w:start w:w="90" w:type="dxa"/>
              <w:end w:w="90" w:type="dxa"/>
            </w:tcMar>
            <w:vAlign w:val="top"/>
            <w:shd w:fill="EEF5F7" w:val="clear"/>
          </w:tcPr>
          <w:p>
            <w:pPr>
              <w:spacing w:after="30" w:line="247" w:lineRule="auto"/>
            </w:pPr>
            <w:r>
              <w:rPr>
                <w:b w:val="0"/>
                <w:sz w:val="18"/>
              </w:rPr>
              <w:t>Network foundation / storage foundation</w:t>
            </w:r>
          </w:p>
        </w:tc>
        <w:tc>
          <w:tcPr>
            <w:tcW w:type="dxa" w:w="1080"/>
            <w:tcMar>
              <w:top w:w="85" w:type="dxa"/>
              <w:bottom w:w="85" w:type="dxa"/>
              <w:start w:w="90" w:type="dxa"/>
              <w:end w:w="90" w:type="dxa"/>
            </w:tcMar>
            <w:vAlign w:val="top"/>
            <w:shd w:fill="EEF5F7" w:val="clear"/>
          </w:tcPr>
          <w:p>
            <w:pPr>
              <w:spacing w:after="30" w:line="247" w:lineRule="auto"/>
            </w:pPr>
            <w:r>
              <w:rPr>
                <w:b w:val="0"/>
                <w:sz w:val="18"/>
              </w:rPr>
              <w:t>20 / 40</w:t>
            </w:r>
          </w:p>
        </w:tc>
        <w:tc>
          <w:tcPr>
            <w:tcW w:type="dxa" w:w="4234"/>
            <w:tcMar>
              <w:top w:w="85" w:type="dxa"/>
              <w:bottom w:w="85" w:type="dxa"/>
              <w:start w:w="90" w:type="dxa"/>
              <w:end w:w="90" w:type="dxa"/>
            </w:tcMar>
            <w:vAlign w:val="top"/>
            <w:shd w:fill="EEF5F7" w:val="clear"/>
          </w:tcPr>
          <w:p>
            <w:pPr>
              <w:spacing w:after="30" w:line="247" w:lineRule="auto"/>
            </w:pPr>
            <w:r>
              <w:rPr>
                <w:b w:val="0"/>
                <w:sz w:val="18"/>
              </w:rPr>
              <w:t>Illustratively parallel after bootstrap → finish 60 / 80</w:t>
            </w:r>
          </w:p>
        </w:tc>
      </w:tr>
      <w:tr>
        <w:trPr>
          <w:cantSplit/>
        </w:trPr>
        <w:tc>
          <w:tcPr>
            <w:tcW w:type="dxa" w:w="4968"/>
            <w:tcMar>
              <w:top w:w="85" w:type="dxa"/>
              <w:bottom w:w="85" w:type="dxa"/>
              <w:start w:w="90" w:type="dxa"/>
              <w:end w:w="90" w:type="dxa"/>
            </w:tcMar>
            <w:vAlign w:val="top"/>
          </w:tcPr>
          <w:p>
            <w:pPr>
              <w:spacing w:after="30" w:line="247" w:lineRule="auto"/>
            </w:pPr>
            <w:r>
              <w:rPr>
                <w:b w:val="0"/>
                <w:sz w:val="18"/>
              </w:rPr>
              <w:t>Restore service data</w:t>
            </w:r>
          </w:p>
        </w:tc>
        <w:tc>
          <w:tcPr>
            <w:tcW w:type="dxa" w:w="1080"/>
            <w:tcMar>
              <w:top w:w="85" w:type="dxa"/>
              <w:bottom w:w="85" w:type="dxa"/>
              <w:start w:w="90" w:type="dxa"/>
              <w:end w:w="90" w:type="dxa"/>
            </w:tcMar>
            <w:vAlign w:val="top"/>
          </w:tcPr>
          <w:p>
            <w:pPr>
              <w:spacing w:after="30" w:line="247" w:lineRule="auto"/>
            </w:pPr>
            <w:r>
              <w:rPr>
                <w:b w:val="0"/>
                <w:sz w:val="18"/>
              </w:rPr>
              <w:t>35</w:t>
            </w:r>
          </w:p>
        </w:tc>
        <w:tc>
          <w:tcPr>
            <w:tcW w:type="dxa" w:w="4234"/>
            <w:tcMar>
              <w:top w:w="85" w:type="dxa"/>
              <w:bottom w:w="85" w:type="dxa"/>
              <w:start w:w="90" w:type="dxa"/>
              <w:end w:w="90" w:type="dxa"/>
            </w:tcMar>
            <w:vAlign w:val="top"/>
          </w:tcPr>
          <w:p>
            <w:pPr>
              <w:spacing w:after="30" w:line="247" w:lineRule="auto"/>
            </w:pPr>
            <w:r>
              <w:rPr>
                <w:b w:val="0"/>
                <w:sz w:val="18"/>
              </w:rPr>
              <w:t>After both foundations → finish 115</w:t>
            </w:r>
          </w:p>
        </w:tc>
      </w:tr>
      <w:tr>
        <w:trPr>
          <w:cantSplit/>
        </w:trPr>
        <w:tc>
          <w:tcPr>
            <w:tcW w:type="dxa" w:w="4968"/>
            <w:tcMar>
              <w:top w:w="85" w:type="dxa"/>
              <w:bottom w:w="85" w:type="dxa"/>
              <w:start w:w="90" w:type="dxa"/>
              <w:end w:w="90" w:type="dxa"/>
            </w:tcMar>
            <w:vAlign w:val="top"/>
            <w:shd w:fill="EEF5F7" w:val="clear"/>
          </w:tcPr>
          <w:p>
            <w:pPr>
              <w:spacing w:after="30" w:line="247" w:lineRule="auto"/>
            </w:pPr>
            <w:r>
              <w:rPr>
                <w:b w:val="0"/>
                <w:sz w:val="18"/>
              </w:rPr>
              <w:t>Validate security and useful data</w:t>
            </w:r>
          </w:p>
        </w:tc>
        <w:tc>
          <w:tcPr>
            <w:tcW w:type="dxa" w:w="1080"/>
            <w:tcMar>
              <w:top w:w="85" w:type="dxa"/>
              <w:bottom w:w="85" w:type="dxa"/>
              <w:start w:w="90" w:type="dxa"/>
              <w:end w:w="90" w:type="dxa"/>
            </w:tcMar>
            <w:vAlign w:val="top"/>
            <w:shd w:fill="EEF5F7" w:val="clear"/>
          </w:tcPr>
          <w:p>
            <w:pPr>
              <w:spacing w:after="30" w:line="247" w:lineRule="auto"/>
            </w:pPr>
            <w:r>
              <w:rPr>
                <w:b w:val="0"/>
                <w:sz w:val="18"/>
              </w:rPr>
              <w:t>20</w:t>
            </w:r>
          </w:p>
        </w:tc>
        <w:tc>
          <w:tcPr>
            <w:tcW w:type="dxa" w:w="4234"/>
            <w:tcMar>
              <w:top w:w="85" w:type="dxa"/>
              <w:bottom w:w="85" w:type="dxa"/>
              <w:start w:w="90" w:type="dxa"/>
              <w:end w:w="90" w:type="dxa"/>
            </w:tcMar>
            <w:vAlign w:val="top"/>
            <w:shd w:fill="EEF5F7" w:val="clear"/>
          </w:tcPr>
          <w:p>
            <w:pPr>
              <w:spacing w:after="30" w:line="247" w:lineRule="auto"/>
            </w:pPr>
            <w:r>
              <w:rPr>
                <w:b w:val="0"/>
                <w:sz w:val="18"/>
              </w:rPr>
              <w:t>After restore → finish 135</w:t>
            </w:r>
          </w:p>
        </w:tc>
      </w:tr>
      <w:tr>
        <w:trPr>
          <w:cantSplit/>
        </w:trPr>
        <w:tc>
          <w:tcPr>
            <w:tcW w:type="dxa" w:w="4968"/>
            <w:tcMar>
              <w:top w:w="85" w:type="dxa"/>
              <w:bottom w:w="85" w:type="dxa"/>
              <w:start w:w="90" w:type="dxa"/>
              <w:end w:w="90" w:type="dxa"/>
            </w:tcMar>
            <w:vAlign w:val="top"/>
          </w:tcPr>
          <w:p>
            <w:pPr>
              <w:spacing w:after="30" w:line="247" w:lineRule="auto"/>
            </w:pPr>
            <w:r>
              <w:rPr>
                <w:b w:val="0"/>
                <w:sz w:val="18"/>
              </w:rPr>
              <w:t>Controlled access cutover</w:t>
            </w:r>
          </w:p>
        </w:tc>
        <w:tc>
          <w:tcPr>
            <w:tcW w:type="dxa" w:w="1080"/>
            <w:tcMar>
              <w:top w:w="85" w:type="dxa"/>
              <w:bottom w:w="85" w:type="dxa"/>
              <w:start w:w="90" w:type="dxa"/>
              <w:end w:w="90" w:type="dxa"/>
            </w:tcMar>
            <w:vAlign w:val="top"/>
          </w:tcPr>
          <w:p>
            <w:pPr>
              <w:spacing w:after="30" w:line="247" w:lineRule="auto"/>
            </w:pPr>
            <w:r>
              <w:rPr>
                <w:b w:val="0"/>
                <w:sz w:val="18"/>
              </w:rPr>
              <w:t>5</w:t>
            </w:r>
          </w:p>
        </w:tc>
        <w:tc>
          <w:tcPr>
            <w:tcW w:type="dxa" w:w="4234"/>
            <w:tcMar>
              <w:top w:w="85" w:type="dxa"/>
              <w:bottom w:w="85" w:type="dxa"/>
              <w:start w:w="90" w:type="dxa"/>
              <w:end w:w="90" w:type="dxa"/>
            </w:tcMar>
            <w:vAlign w:val="top"/>
          </w:tcPr>
          <w:p>
            <w:pPr>
              <w:spacing w:after="30" w:line="247" w:lineRule="auto"/>
            </w:pPr>
            <w:r>
              <w:rPr>
                <w:b w:val="0"/>
                <w:sz w:val="18"/>
              </w:rPr>
              <w:t>After validation → finish 140</w:t>
            </w:r>
          </w:p>
        </w:tc>
      </w:tr>
    </w:tbl>
    <w:p>
      <w:pPr>
        <w:spacing w:after="0" w:before="0" w:line="120"/>
      </w:pPr>
    </w:p>
    <w:p>
      <w:r>
        <w:t>With those dependencies, elapsed recovery is 10 + 5 + 25 + max(20, 40) + 35 + 20 + 5 = 140 minutes. Against an illustrative 180-minute target, planning margin is 40 minutes. Do not add both parallel branches or assume independence when they share people, storage, credentials or network recovery. If the two foundation tasks must run serially, the same example becomes 160 minutes with 20 minutes of margin.</w:t>
      </w:r>
    </w:p>
    <w:p>
      <w:r>
        <w:t>Include decision, queue, transfer, validation and exposure time when they fall inside the agreed RTO boundary. The actual service defines the start and end events. Rehearsal evidence determines feasibility; the calculation only reveals assumptions and dependencies.</w:t>
      </w:r>
    </w:p>
    <w:p>
      <w:pPr>
        <w:pStyle w:val="Heading2"/>
      </w:pPr>
      <w:r>
        <w:t>RPO is a data-state measurement</w:t>
      </w:r>
    </w:p>
    <w:p>
      <w:r>
        <w:t>If service loss occurs at 12:00 and the latest verified recoverable consistency point is 11:45, the recovered-data age is 15 minutes. A job that finished at 11:55 does not prove an 11:55 data point. Record capture/transaction consistency, replication lag, copy integrity and the actual accepted state. These timestamps are illustrative.</w:t>
      </w:r>
    </w:p>
    <w:p>
      <w:pPr>
        <w:keepLines/>
        <w:spacing w:before="120"/>
        <w:shd w:fill="EEF5F7" w:val="clear"/>
        <w:pBdr>
          <w:left w:val="single" w:sz="12" w:space="8" w:color="0B6B70"/>
        </w:pBdr>
      </w:pPr>
      <w:r>
        <w:rPr>
          <w:b/>
        </w:rPr>
        <w:t>A recovery target can be met while an availability objective is breached. Report both; RTO is not an automatic exclusion from service downtime.</w:t>
      </w:r>
    </w:p>
    <w:p>
      <w:pPr>
        <w:pStyle w:val="Caption"/>
      </w:pPr>
      <w:r>
        <w:t xml:space="preserve">Continue with: </w:t>
      </w:r>
      <w:hyperlink r:id="rId19">
        <w:r>
          <w:rPr>
            <w:color w:val="0B6B70"/>
            <w:u w:val="single"/>
          </w:rPr>
          <w:t>QCP §5</w:t>
        </w:r>
      </w:hyperlink>
      <w:r>
        <w:t xml:space="preserve">  •  </w:t>
      </w:r>
      <w:hyperlink r:id="rId15">
        <w:r>
          <w:rPr>
            <w:color w:val="0B6B70"/>
            <w:u w:val="single"/>
          </w:rPr>
          <w:t>OPS §8</w:t>
        </w:r>
      </w:hyperlink>
    </w:p>
    <w:p>
      <w:r>
        <w:br w:type="page"/>
      </w:r>
    </w:p>
    <w:p>
      <w:pPr>
        <w:pStyle w:val="Heading1"/>
      </w:pPr>
      <w:r>
        <w:t>6. Migrate and fail back without conflicting writers</w:t>
      </w:r>
      <w:bookmarkStart w:id="135" w:name="OPS_06"/>
      <w:bookmarkEnd w:id="135"/>
    </w:p>
    <w:p>
      <w:r>
        <w:t>Provisioning target infrastructure and transferring existing workload state are separate activities with separate owners.</w:t>
      </w:r>
    </w:p>
    <w:p>
      <w:pPr>
        <w:pStyle w:val="Caption"/>
      </w:pPr>
      <w:r>
        <w:t xml:space="preserve">Design basis and related records: </w:t>
      </w:r>
      <w:hyperlink r:id="rId24">
        <w:r>
          <w:rPr>
            <w:color w:val="0B6B70"/>
            <w:u w:val="single"/>
          </w:rPr>
          <w:t>RA §27</w:t>
        </w:r>
      </w:hyperlink>
      <w:r>
        <w:t xml:space="preserve">  •  </w:t>
      </w:r>
      <w:hyperlink r:id="rId29">
        <w:r>
          <w:rPr>
            <w:color w:val="0B6B70"/>
            <w:u w:val="single"/>
          </w:rPr>
          <w:t>PROV §6</w:t>
        </w:r>
      </w:hyperlink>
      <w:r>
        <w:t xml:space="preserve">  •  </w:t>
      </w:r>
      <w:hyperlink r:id="rId30">
        <w:r>
          <w:rPr>
            <w:color w:val="0B6B70"/>
            <w:u w:val="single"/>
          </w:rPr>
          <w:t>QCP §7</w:t>
        </w:r>
      </w:hyperlink>
    </w:p>
    <w:tbl>
      <w:tblPr>
        <w:tblW w:type="auto" w:w="0"/>
        <w:jc w:val="center"/>
        <w:tblLayout w:type="fixed"/>
        <w:tblLook w:firstColumn="1" w:firstRow="1" w:lastColumn="0" w:lastRow="0" w:noHBand="0" w:noVBand="1" w:val="04A0"/>
      </w:tblPr>
      <w:tblGrid>
        <w:gridCol w:w="2261"/>
        <w:gridCol w:w="4277"/>
        <w:gridCol w:w="3744"/>
      </w:tblGrid>
      <w:tr>
        <w:trPr>
          <w:tblHeader/>
        </w:trPr>
        <w:tc>
          <w:tcPr>
            <w:tcW w:type="dxa" w:w="2261"/>
            <w:tcMar>
              <w:top w:w="85" w:type="dxa"/>
              <w:bottom w:w="85" w:type="dxa"/>
              <w:start w:w="90" w:type="dxa"/>
              <w:end w:w="90" w:type="dxa"/>
            </w:tcMar>
            <w:vAlign w:val="top"/>
            <w:shd w:fill="15384A" w:val="clear"/>
          </w:tcPr>
          <w:p>
            <w:pPr>
              <w:spacing w:after="30" w:line="247" w:lineRule="auto"/>
            </w:pPr>
            <w:r>
              <w:rPr>
                <w:b/>
                <w:color w:val="FFFFFF"/>
                <w:sz w:val="18"/>
              </w:rPr>
              <w:t>Transition stage</w:t>
            </w:r>
          </w:p>
        </w:tc>
        <w:tc>
          <w:tcPr>
            <w:tcW w:type="dxa" w:w="4277"/>
            <w:tcMar>
              <w:top w:w="85" w:type="dxa"/>
              <w:bottom w:w="85" w:type="dxa"/>
              <w:start w:w="90" w:type="dxa"/>
              <w:end w:w="90" w:type="dxa"/>
            </w:tcMar>
            <w:vAlign w:val="top"/>
            <w:shd w:fill="15384A" w:val="clear"/>
          </w:tcPr>
          <w:p>
            <w:pPr>
              <w:spacing w:after="30" w:line="247" w:lineRule="auto"/>
            </w:pPr>
            <w:r>
              <w:rPr>
                <w:b/>
                <w:color w:val="FFFFFF"/>
                <w:sz w:val="18"/>
              </w:rPr>
              <w:t>Controlled work</w:t>
            </w:r>
          </w:p>
        </w:tc>
        <w:tc>
          <w:tcPr>
            <w:tcW w:type="dxa" w:w="3744"/>
            <w:tcMar>
              <w:top w:w="85" w:type="dxa"/>
              <w:bottom w:w="85" w:type="dxa"/>
              <w:start w:w="90" w:type="dxa"/>
              <w:end w:w="90" w:type="dxa"/>
            </w:tcMar>
            <w:vAlign w:val="top"/>
            <w:shd w:fill="15384A" w:val="clear"/>
          </w:tcPr>
          <w:p>
            <w:pPr>
              <w:spacing w:after="30" w:line="247" w:lineRule="auto"/>
            </w:pPr>
            <w:r>
              <w:rPr>
                <w:b/>
                <w:color w:val="FFFFFF"/>
                <w:sz w:val="18"/>
              </w:rPr>
              <w:t>Decision before proceeding</w:t>
            </w:r>
          </w:p>
        </w:tc>
      </w:tr>
      <w:tr>
        <w:trPr>
          <w:cantSplit/>
        </w:trPr>
        <w:tc>
          <w:tcPr>
            <w:tcW w:type="dxa" w:w="2261"/>
            <w:tcMar>
              <w:top w:w="85" w:type="dxa"/>
              <w:bottom w:w="85" w:type="dxa"/>
              <w:start w:w="90" w:type="dxa"/>
              <w:end w:w="90" w:type="dxa"/>
            </w:tcMar>
            <w:vAlign w:val="top"/>
          </w:tcPr>
          <w:p>
            <w:pPr>
              <w:spacing w:after="30" w:line="247" w:lineRule="auto"/>
            </w:pPr>
            <w:r>
              <w:rPr>
                <w:b w:val="0"/>
                <w:sz w:val="18"/>
              </w:rPr>
              <w:t>Discover and prepare</w:t>
            </w:r>
          </w:p>
        </w:tc>
        <w:tc>
          <w:tcPr>
            <w:tcW w:type="dxa" w:w="4277"/>
            <w:tcMar>
              <w:top w:w="85" w:type="dxa"/>
              <w:bottom w:w="85" w:type="dxa"/>
              <w:start w:w="90" w:type="dxa"/>
              <w:end w:w="90" w:type="dxa"/>
            </w:tcMar>
            <w:vAlign w:val="top"/>
          </w:tcPr>
          <w:p>
            <w:pPr>
              <w:spacing w:after="30" w:line="247" w:lineRule="auto"/>
            </w:pPr>
            <w:r>
              <w:rPr>
                <w:b w:val="0"/>
                <w:sz w:val="18"/>
              </w:rPr>
              <w:t>Map current data, drivers/boot, virtual devices, identity/keys, network dependencies and accepted target.</w:t>
            </w:r>
          </w:p>
        </w:tc>
        <w:tc>
          <w:tcPr>
            <w:tcW w:type="dxa" w:w="3744"/>
            <w:tcMar>
              <w:top w:w="85" w:type="dxa"/>
              <w:bottom w:w="85" w:type="dxa"/>
              <w:start w:w="90" w:type="dxa"/>
              <w:end w:w="90" w:type="dxa"/>
            </w:tcMar>
            <w:vAlign w:val="top"/>
          </w:tcPr>
          <w:p>
            <w:pPr>
              <w:spacing w:after="30" w:line="247" w:lineRule="auto"/>
            </w:pPr>
            <w:r>
              <w:rPr>
                <w:b w:val="0"/>
                <w:sz w:val="18"/>
              </w:rPr>
              <w:t>The target supports the required service and recoverable data format; unresolved extensions are explicit.</w:t>
            </w:r>
          </w:p>
        </w:tc>
      </w:tr>
      <w:tr>
        <w:trPr>
          <w:cantSplit/>
        </w:trPr>
        <w:tc>
          <w:tcPr>
            <w:tcW w:type="dxa" w:w="2261"/>
            <w:tcMar>
              <w:top w:w="85" w:type="dxa"/>
              <w:bottom w:w="85" w:type="dxa"/>
              <w:start w:w="90" w:type="dxa"/>
              <w:end w:w="90" w:type="dxa"/>
            </w:tcMar>
            <w:vAlign w:val="top"/>
            <w:shd w:fill="EEF5F7" w:val="clear"/>
          </w:tcPr>
          <w:p>
            <w:pPr>
              <w:spacing w:after="30" w:line="247" w:lineRule="auto"/>
            </w:pPr>
            <w:r>
              <w:rPr>
                <w:b w:val="0"/>
                <w:sz w:val="18"/>
              </w:rPr>
              <w:t>Transfer under bounded access</w:t>
            </w:r>
          </w:p>
        </w:tc>
        <w:tc>
          <w:tcPr>
            <w:tcW w:type="dxa" w:w="4277"/>
            <w:tcMar>
              <w:top w:w="85" w:type="dxa"/>
              <w:bottom w:w="85" w:type="dxa"/>
              <w:start w:w="90" w:type="dxa"/>
              <w:end w:w="90" w:type="dxa"/>
            </w:tcMar>
            <w:vAlign w:val="top"/>
            <w:shd w:fill="EEF5F7" w:val="clear"/>
          </w:tcPr>
          <w:p>
            <w:pPr>
              <w:spacing w:after="30" w:line="247" w:lineRule="auto"/>
            </w:pPr>
            <w:r>
              <w:rPr>
                <w:b w:val="0"/>
                <w:sz w:val="18"/>
              </w:rPr>
              <w:t>Use the approved capture/transfer method, scoped temporary route/policy and integrity checks.</w:t>
            </w:r>
          </w:p>
        </w:tc>
        <w:tc>
          <w:tcPr>
            <w:tcW w:type="dxa" w:w="3744"/>
            <w:tcMar>
              <w:top w:w="85" w:type="dxa"/>
              <w:bottom w:w="85" w:type="dxa"/>
              <w:start w:w="90" w:type="dxa"/>
              <w:end w:w="90" w:type="dxa"/>
            </w:tcMar>
            <w:vAlign w:val="top"/>
            <w:shd w:fill="EEF5F7" w:val="clear"/>
          </w:tcPr>
          <w:p>
            <w:pPr>
              <w:spacing w:after="30" w:line="247" w:lineRule="auto"/>
            </w:pPr>
            <w:r>
              <w:rPr>
                <w:b w:val="0"/>
                <w:sz w:val="18"/>
              </w:rPr>
              <w:t>Data consistency method, bandwidth/window, authority and cleanup owner are accepted.</w:t>
            </w:r>
          </w:p>
        </w:tc>
      </w:tr>
      <w:tr>
        <w:trPr>
          <w:cantSplit/>
        </w:trPr>
        <w:tc>
          <w:tcPr>
            <w:tcW w:type="dxa" w:w="2261"/>
            <w:tcMar>
              <w:top w:w="85" w:type="dxa"/>
              <w:bottom w:w="85" w:type="dxa"/>
              <w:start w:w="90" w:type="dxa"/>
              <w:end w:w="90" w:type="dxa"/>
            </w:tcMar>
            <w:vAlign w:val="top"/>
          </w:tcPr>
          <w:p>
            <w:pPr>
              <w:spacing w:after="30" w:line="247" w:lineRule="auto"/>
            </w:pPr>
            <w:r>
              <w:rPr>
                <w:b w:val="0"/>
                <w:sz w:val="18"/>
              </w:rPr>
              <w:t>Final consistency and writer change</w:t>
            </w:r>
          </w:p>
        </w:tc>
        <w:tc>
          <w:tcPr>
            <w:tcW w:type="dxa" w:w="4277"/>
            <w:tcMar>
              <w:top w:w="85" w:type="dxa"/>
              <w:bottom w:w="85" w:type="dxa"/>
              <w:start w:w="90" w:type="dxa"/>
              <w:end w:w="90" w:type="dxa"/>
            </w:tcMar>
            <w:vAlign w:val="top"/>
          </w:tcPr>
          <w:p>
            <w:pPr>
              <w:spacing w:after="30" w:line="247" w:lineRule="auto"/>
            </w:pPr>
            <w:r>
              <w:rPr>
                <w:b w:val="0"/>
                <w:sz w:val="18"/>
              </w:rPr>
              <w:t>Select final data point; control old writers; validate target state and service dependencies.</w:t>
            </w:r>
          </w:p>
        </w:tc>
        <w:tc>
          <w:tcPr>
            <w:tcW w:type="dxa" w:w="3744"/>
            <w:tcMar>
              <w:top w:w="85" w:type="dxa"/>
              <w:bottom w:w="85" w:type="dxa"/>
              <w:start w:w="90" w:type="dxa"/>
              <w:end w:w="90" w:type="dxa"/>
            </w:tcMar>
            <w:vAlign w:val="top"/>
          </w:tcPr>
          <w:p>
            <w:pPr>
              <w:spacing w:after="30" w:line="247" w:lineRule="auto"/>
            </w:pPr>
            <w:r>
              <w:rPr>
                <w:b w:val="0"/>
                <w:sz w:val="18"/>
              </w:rPr>
              <w:t>One attributable writer authority exists before target production writes.</w:t>
            </w:r>
          </w:p>
        </w:tc>
      </w:tr>
      <w:tr>
        <w:trPr>
          <w:cantSplit/>
        </w:trPr>
        <w:tc>
          <w:tcPr>
            <w:tcW w:type="dxa" w:w="2261"/>
            <w:tcMar>
              <w:top w:w="85" w:type="dxa"/>
              <w:bottom w:w="85" w:type="dxa"/>
              <w:start w:w="90" w:type="dxa"/>
              <w:end w:w="90" w:type="dxa"/>
            </w:tcMar>
            <w:vAlign w:val="top"/>
            <w:shd w:fill="EEF5F7" w:val="clear"/>
          </w:tcPr>
          <w:p>
            <w:pPr>
              <w:spacing w:after="30" w:line="247" w:lineRule="auto"/>
            </w:pPr>
            <w:r>
              <w:rPr>
                <w:b w:val="0"/>
                <w:sz w:val="18"/>
              </w:rPr>
              <w:t>Cut over and observe</w:t>
            </w:r>
          </w:p>
        </w:tc>
        <w:tc>
          <w:tcPr>
            <w:tcW w:type="dxa" w:w="4277"/>
            <w:tcMar>
              <w:top w:w="85" w:type="dxa"/>
              <w:bottom w:w="85" w:type="dxa"/>
              <w:start w:w="90" w:type="dxa"/>
              <w:end w:w="90" w:type="dxa"/>
            </w:tcMar>
            <w:vAlign w:val="top"/>
            <w:shd w:fill="EEF5F7" w:val="clear"/>
          </w:tcPr>
          <w:p>
            <w:pPr>
              <w:spacing w:after="30" w:line="247" w:lineRule="auto"/>
            </w:pPr>
            <w:r>
              <w:rPr>
                <w:b w:val="0"/>
                <w:sz w:val="18"/>
              </w:rPr>
              <w:t>Change only approved DNS/exposure/service access; verify the actual client path and protection.</w:t>
            </w:r>
          </w:p>
        </w:tc>
        <w:tc>
          <w:tcPr>
            <w:tcW w:type="dxa" w:w="3744"/>
            <w:tcMar>
              <w:top w:w="85" w:type="dxa"/>
              <w:bottom w:w="85" w:type="dxa"/>
              <w:start w:w="90" w:type="dxa"/>
              <w:end w:w="90" w:type="dxa"/>
            </w:tcMar>
            <w:vAlign w:val="top"/>
            <w:shd w:fill="EEF5F7" w:val="clear"/>
          </w:tcPr>
          <w:p>
            <w:pPr>
              <w:spacing w:after="30" w:line="247" w:lineRule="auto"/>
            </w:pPr>
            <w:r>
              <w:rPr>
                <w:b w:val="0"/>
                <w:sz w:val="18"/>
              </w:rPr>
              <w:t>Operating owner accepts current evidence and the point at which simple rollback ceases to be safe.</w:t>
            </w:r>
          </w:p>
        </w:tc>
      </w:tr>
      <w:tr>
        <w:trPr>
          <w:cantSplit/>
        </w:trPr>
        <w:tc>
          <w:tcPr>
            <w:tcW w:type="dxa" w:w="2261"/>
            <w:tcMar>
              <w:top w:w="85" w:type="dxa"/>
              <w:bottom w:w="85" w:type="dxa"/>
              <w:start w:w="90" w:type="dxa"/>
              <w:end w:w="90" w:type="dxa"/>
            </w:tcMar>
            <w:vAlign w:val="top"/>
          </w:tcPr>
          <w:p>
            <w:pPr>
              <w:spacing w:after="30" w:line="247" w:lineRule="auto"/>
            </w:pPr>
            <w:r>
              <w:rPr>
                <w:b w:val="0"/>
                <w:sz w:val="18"/>
              </w:rPr>
              <w:t>Return or retire</w:t>
            </w:r>
          </w:p>
        </w:tc>
        <w:tc>
          <w:tcPr>
            <w:tcW w:type="dxa" w:w="4277"/>
            <w:tcMar>
              <w:top w:w="85" w:type="dxa"/>
              <w:bottom w:w="85" w:type="dxa"/>
              <w:start w:w="90" w:type="dxa"/>
              <w:end w:w="90" w:type="dxa"/>
            </w:tcMar>
            <w:vAlign w:val="top"/>
          </w:tcPr>
          <w:p>
            <w:pPr>
              <w:spacing w:after="30" w:line="247" w:lineRule="auto"/>
            </w:pPr>
            <w:r>
              <w:rPr>
                <w:b w:val="0"/>
                <w:sz w:val="18"/>
              </w:rPr>
              <w:t>Reconcile new writes before failback; otherwise retire the source under retention policy.</w:t>
            </w:r>
          </w:p>
        </w:tc>
        <w:tc>
          <w:tcPr>
            <w:tcW w:type="dxa" w:w="3744"/>
            <w:tcMar>
              <w:top w:w="85" w:type="dxa"/>
              <w:bottom w:w="85" w:type="dxa"/>
              <w:start w:w="90" w:type="dxa"/>
              <w:end w:w="90" w:type="dxa"/>
            </w:tcMar>
            <w:vAlign w:val="top"/>
          </w:tcPr>
          <w:p>
            <w:pPr>
              <w:spacing w:after="30" w:line="247" w:lineRule="auto"/>
            </w:pPr>
            <w:r>
              <w:rPr>
                <w:b w:val="0"/>
                <w:sz w:val="18"/>
              </w:rPr>
              <w:t>Reverse synchronization/recovery is supported; old data is not restarted as a competing current copy.</w:t>
            </w:r>
          </w:p>
        </w:tc>
      </w:tr>
    </w:tbl>
    <w:p>
      <w:pPr>
        <w:spacing w:after="0" w:before="0" w:line="120"/>
      </w:pPr>
    </w:p>
    <w:p>
      <w:r>
        <w:t>Before target writes, return to the source may be possible if the original state and authority remain valid. After target writes, restarting the old copy can lose or fork data. The runbook identifies that point of no simple rollback and the required reverse transfer or recovery process. “Rollback” must state its data implications.</w:t>
      </w:r>
    </w:p>
    <w:p>
      <w:r>
        <w:t>Temporary cross-domain transfer access is time-bound and reviewed. Persistent vendor live-mobility and storage-replication transports remain provider infrastructure with their own controlled membership; they are not recreated for each migration just to satisfy a temporary-access rule.</w:t>
      </w:r>
    </w:p>
    <w:p>
      <w:r>
        <w:t>A composite service actively using several stacks is a distinct architecture. Account for cross-stack latency, security edges, identity, shared-service loss and ownership before claiming it provides the same resilience as one bounded cell.</w:t>
      </w:r>
    </w:p>
    <w:p>
      <w:pPr>
        <w:pStyle w:val="Caption"/>
      </w:pPr>
      <w:r>
        <w:t xml:space="preserve">Continue with: </w:t>
      </w:r>
      <w:hyperlink r:id="rId31">
        <w:r>
          <w:rPr>
            <w:color w:val="0B6B70"/>
            <w:u w:val="single"/>
          </w:rPr>
          <w:t>OPS §7</w:t>
        </w:r>
      </w:hyperlink>
      <w:r>
        <w:t xml:space="preserve">  •  </w:t>
      </w:r>
      <w:hyperlink r:id="rId32">
        <w:r>
          <w:rPr>
            <w:color w:val="0B6B70"/>
            <w:u w:val="single"/>
          </w:rPr>
          <w:t>IT §8</w:t>
        </w:r>
      </w:hyperlink>
    </w:p>
    <w:p>
      <w:r>
        <w:br w:type="page"/>
      </w:r>
    </w:p>
    <w:p>
      <w:pPr>
        <w:pStyle w:val="Heading1"/>
      </w:pPr>
      <w:r>
        <w:t>7. Retire live service separately from retained data</w:t>
      </w:r>
      <w:bookmarkStart w:id="136" w:name="OPS_07"/>
      <w:bookmarkEnd w:id="136"/>
    </w:p>
    <w:p>
      <w:r>
        <w:t>A retired WSD can leave legitimate protected copies. Make those obligations explicit rather than declaring all data destroyed because live resources were removed.</w:t>
      </w:r>
    </w:p>
    <w:p>
      <w:pPr>
        <w:pStyle w:val="Caption"/>
      </w:pPr>
      <w:r>
        <w:t xml:space="preserve">Design basis and related records: </w:t>
      </w:r>
      <w:hyperlink r:id="rId24">
        <w:r>
          <w:rPr>
            <w:color w:val="0B6B70"/>
            <w:u w:val="single"/>
          </w:rPr>
          <w:t>RA §27</w:t>
        </w:r>
      </w:hyperlink>
      <w:r>
        <w:t xml:space="preserve">  •  </w:t>
      </w:r>
      <w:hyperlink r:id="rId33">
        <w:r>
          <w:rPr>
            <w:color w:val="0B6B70"/>
            <w:u w:val="single"/>
          </w:rPr>
          <w:t>SVC §4</w:t>
        </w:r>
      </w:hyperlink>
      <w:r>
        <w:t xml:space="preserve">  •  </w:t>
      </w:r>
      <w:hyperlink r:id="rId13">
        <w:r>
          <w:rPr>
            <w:color w:val="0B6B70"/>
            <w:u w:val="single"/>
          </w:rPr>
          <w:t>IK §9</w:t>
        </w:r>
      </w:hyperlink>
    </w:p>
    <w:tbl>
      <w:tblPr>
        <w:tblW w:type="auto" w:w="0"/>
        <w:jc w:val="center"/>
        <w:tblLayout w:type="fixed"/>
        <w:tblLook w:firstColumn="1" w:firstRow="1" w:lastColumn="0" w:lastRow="0" w:noHBand="0" w:noVBand="1" w:val="04A0"/>
      </w:tblPr>
      <w:tblGrid>
        <w:gridCol w:w="2131"/>
        <w:gridCol w:w="4277"/>
        <w:gridCol w:w="3874"/>
      </w:tblGrid>
      <w:tr>
        <w:trPr>
          <w:tblHeader/>
        </w:trPr>
        <w:tc>
          <w:tcPr>
            <w:tcW w:type="dxa" w:w="2131"/>
            <w:tcMar>
              <w:top w:w="85" w:type="dxa"/>
              <w:bottom w:w="85" w:type="dxa"/>
              <w:start w:w="90" w:type="dxa"/>
              <w:end w:w="90" w:type="dxa"/>
            </w:tcMar>
            <w:vAlign w:val="top"/>
            <w:shd w:fill="15384A" w:val="clear"/>
          </w:tcPr>
          <w:p>
            <w:pPr>
              <w:spacing w:after="30" w:line="247" w:lineRule="auto"/>
            </w:pPr>
            <w:r>
              <w:rPr>
                <w:b/>
                <w:color w:val="FFFFFF"/>
                <w:sz w:val="18"/>
              </w:rPr>
              <w:t>Object / obligation</w:t>
            </w:r>
          </w:p>
        </w:tc>
        <w:tc>
          <w:tcPr>
            <w:tcW w:type="dxa" w:w="4277"/>
            <w:tcMar>
              <w:top w:w="85" w:type="dxa"/>
              <w:bottom w:w="85" w:type="dxa"/>
              <w:start w:w="90" w:type="dxa"/>
              <w:end w:w="90" w:type="dxa"/>
            </w:tcMar>
            <w:vAlign w:val="top"/>
            <w:shd w:fill="15384A" w:val="clear"/>
          </w:tcPr>
          <w:p>
            <w:pPr>
              <w:spacing w:after="30" w:line="247" w:lineRule="auto"/>
            </w:pPr>
            <w:r>
              <w:rPr>
                <w:b/>
                <w:color w:val="FFFFFF"/>
                <w:sz w:val="18"/>
              </w:rPr>
              <w:t>Retirement decision</w:t>
            </w:r>
          </w:p>
        </w:tc>
        <w:tc>
          <w:tcPr>
            <w:tcW w:type="dxa" w:w="3874"/>
            <w:tcMar>
              <w:top w:w="85" w:type="dxa"/>
              <w:bottom w:w="85" w:type="dxa"/>
              <w:start w:w="90" w:type="dxa"/>
              <w:end w:w="90" w:type="dxa"/>
            </w:tcMar>
            <w:vAlign w:val="top"/>
            <w:shd w:fill="15384A" w:val="clear"/>
          </w:tcPr>
          <w:p>
            <w:pPr>
              <w:spacing w:after="30" w:line="247" w:lineRule="auto"/>
            </w:pPr>
            <w:r>
              <w:rPr>
                <w:b/>
                <w:color w:val="FFFFFF"/>
                <w:sz w:val="18"/>
              </w:rPr>
              <w:t>Evidence of safe completion</w:t>
            </w:r>
          </w:p>
        </w:tc>
      </w:tr>
      <w:tr>
        <w:trPr>
          <w:cantSplit/>
        </w:trPr>
        <w:tc>
          <w:tcPr>
            <w:tcW w:type="dxa" w:w="2131"/>
            <w:tcMar>
              <w:top w:w="85" w:type="dxa"/>
              <w:bottom w:w="85" w:type="dxa"/>
              <w:start w:w="90" w:type="dxa"/>
              <w:end w:w="90" w:type="dxa"/>
            </w:tcMar>
            <w:vAlign w:val="top"/>
          </w:tcPr>
          <w:p>
            <w:pPr>
              <w:spacing w:after="30" w:line="247" w:lineRule="auto"/>
            </w:pPr>
            <w:r>
              <w:rPr>
                <w:b w:val="0"/>
                <w:sz w:val="18"/>
              </w:rPr>
              <w:t>Shared domains and services</w:t>
            </w:r>
          </w:p>
        </w:tc>
        <w:tc>
          <w:tcPr>
            <w:tcW w:type="dxa" w:w="4277"/>
            <w:tcMar>
              <w:top w:w="85" w:type="dxa"/>
              <w:bottom w:w="85" w:type="dxa"/>
              <w:start w:w="90" w:type="dxa"/>
              <w:end w:w="90" w:type="dxa"/>
            </w:tcMar>
            <w:vAlign w:val="top"/>
          </w:tcPr>
          <w:p>
            <w:pPr>
              <w:spacing w:after="30" w:line="247" w:lineRule="auto"/>
            </w:pPr>
            <w:r>
              <w:rPr>
                <w:b w:val="0"/>
                <w:sz w:val="18"/>
              </w:rPr>
              <w:t>Remove only the departing consumer’s authority; retain objects with other approved dependents.</w:t>
            </w:r>
          </w:p>
        </w:tc>
        <w:tc>
          <w:tcPr>
            <w:tcW w:type="dxa" w:w="3874"/>
            <w:tcMar>
              <w:top w:w="85" w:type="dxa"/>
              <w:bottom w:w="85" w:type="dxa"/>
              <w:start w:w="90" w:type="dxa"/>
              <w:end w:w="90" w:type="dxa"/>
            </w:tcMar>
            <w:vAlign w:val="top"/>
          </w:tcPr>
          <w:p>
            <w:pPr>
              <w:spacing w:after="30" w:line="247" w:lineRule="auto"/>
            </w:pPr>
            <w:r>
              <w:rPr>
                <w:b w:val="0"/>
                <w:sz w:val="18"/>
              </w:rPr>
              <w:t>Dependency review and absence of unintended impact on remaining consumers.</w:t>
            </w:r>
          </w:p>
        </w:tc>
      </w:tr>
      <w:tr>
        <w:trPr>
          <w:cantSplit/>
        </w:trPr>
        <w:tc>
          <w:tcPr>
            <w:tcW w:type="dxa" w:w="2131"/>
            <w:tcMar>
              <w:top w:w="85" w:type="dxa"/>
              <w:bottom w:w="85" w:type="dxa"/>
              <w:start w:w="90" w:type="dxa"/>
              <w:end w:w="90" w:type="dxa"/>
            </w:tcMar>
            <w:vAlign w:val="top"/>
            <w:shd w:fill="EEF5F7" w:val="clear"/>
          </w:tcPr>
          <w:p>
            <w:pPr>
              <w:spacing w:after="30" w:line="247" w:lineRule="auto"/>
            </w:pPr>
            <w:r>
              <w:rPr>
                <w:b w:val="0"/>
                <w:sz w:val="18"/>
              </w:rPr>
              <w:t>Routes, policies, names and addresses</w:t>
            </w:r>
          </w:p>
        </w:tc>
        <w:tc>
          <w:tcPr>
            <w:tcW w:type="dxa" w:w="4277"/>
            <w:tcMar>
              <w:top w:w="85" w:type="dxa"/>
              <w:bottom w:w="85" w:type="dxa"/>
              <w:start w:w="90" w:type="dxa"/>
              <w:end w:w="90" w:type="dxa"/>
            </w:tcMar>
            <w:vAlign w:val="top"/>
            <w:shd w:fill="EEF5F7" w:val="clear"/>
          </w:tcPr>
          <w:p>
            <w:pPr>
              <w:spacing w:after="30" w:line="247" w:lineRule="auto"/>
            </w:pPr>
            <w:r>
              <w:rPr>
                <w:b w:val="0"/>
                <w:sz w:val="18"/>
              </w:rPr>
              <w:t>Withdraw obsolete live access, reconcile caches/leases/sessions and quarantine reuse.</w:t>
            </w:r>
          </w:p>
        </w:tc>
        <w:tc>
          <w:tcPr>
            <w:tcW w:type="dxa" w:w="3874"/>
            <w:tcMar>
              <w:top w:w="85" w:type="dxa"/>
              <w:bottom w:w="85" w:type="dxa"/>
              <w:start w:w="90" w:type="dxa"/>
              <w:end w:w="90" w:type="dxa"/>
            </w:tcMar>
            <w:vAlign w:val="top"/>
            <w:shd w:fill="EEF5F7" w:val="clear"/>
          </w:tcPr>
          <w:p>
            <w:pPr>
              <w:spacing w:after="30" w:line="247" w:lineRule="auto"/>
            </w:pPr>
            <w:r>
              <w:rPr>
                <w:b w:val="0"/>
                <w:sz w:val="18"/>
              </w:rPr>
              <w:t>Actual residual scan and ownership history, not only a destroy command’s exit status.</w:t>
            </w:r>
          </w:p>
        </w:tc>
      </w:tr>
      <w:tr>
        <w:trPr>
          <w:cantSplit/>
        </w:trPr>
        <w:tc>
          <w:tcPr>
            <w:tcW w:type="dxa" w:w="2131"/>
            <w:tcMar>
              <w:top w:w="85" w:type="dxa"/>
              <w:bottom w:w="85" w:type="dxa"/>
              <w:start w:w="90" w:type="dxa"/>
              <w:end w:w="90" w:type="dxa"/>
            </w:tcMar>
            <w:vAlign w:val="top"/>
          </w:tcPr>
          <w:p>
            <w:pPr>
              <w:spacing w:after="30" w:line="247" w:lineRule="auto"/>
            </w:pPr>
            <w:r>
              <w:rPr>
                <w:b w:val="0"/>
                <w:sz w:val="18"/>
              </w:rPr>
              <w:t>Snapshots, replicas and backups</w:t>
            </w:r>
          </w:p>
        </w:tc>
        <w:tc>
          <w:tcPr>
            <w:tcW w:type="dxa" w:w="4277"/>
            <w:tcMar>
              <w:top w:w="85" w:type="dxa"/>
              <w:bottom w:w="85" w:type="dxa"/>
              <w:start w:w="90" w:type="dxa"/>
              <w:end w:w="90" w:type="dxa"/>
            </w:tcMar>
            <w:vAlign w:val="top"/>
          </w:tcPr>
          <w:p>
            <w:pPr>
              <w:spacing w:after="30" w:line="247" w:lineRule="auto"/>
            </w:pPr>
            <w:r>
              <w:rPr>
                <w:b w:val="0"/>
                <w:sz w:val="18"/>
              </w:rPr>
              <w:t>Reconcile retention, holds, approved copy locations and data owner.</w:t>
            </w:r>
          </w:p>
        </w:tc>
        <w:tc>
          <w:tcPr>
            <w:tcW w:type="dxa" w:w="3874"/>
            <w:tcMar>
              <w:top w:w="85" w:type="dxa"/>
              <w:bottom w:w="85" w:type="dxa"/>
              <w:start w:w="90" w:type="dxa"/>
              <w:end w:w="90" w:type="dxa"/>
            </w:tcMar>
            <w:vAlign w:val="top"/>
          </w:tcPr>
          <w:p>
            <w:pPr>
              <w:spacing w:after="30" w:line="247" w:lineRule="auto"/>
            </w:pPr>
            <w:r>
              <w:rPr>
                <w:b w:val="0"/>
                <w:sz w:val="18"/>
              </w:rPr>
              <w:t>Known copy inventory, current access boundary and explicit disposal/review date.</w:t>
            </w:r>
          </w:p>
        </w:tc>
      </w:tr>
      <w:tr>
        <w:trPr>
          <w:cantSplit/>
        </w:trPr>
        <w:tc>
          <w:tcPr>
            <w:tcW w:type="dxa" w:w="2131"/>
            <w:tcMar>
              <w:top w:w="85" w:type="dxa"/>
              <w:bottom w:w="85" w:type="dxa"/>
              <w:start w:w="90" w:type="dxa"/>
              <w:end w:w="90" w:type="dxa"/>
            </w:tcMar>
            <w:vAlign w:val="top"/>
            <w:shd w:fill="EEF5F7" w:val="clear"/>
          </w:tcPr>
          <w:p>
            <w:pPr>
              <w:spacing w:after="30" w:line="247" w:lineRule="auto"/>
            </w:pPr>
            <w:r>
              <w:rPr>
                <w:b w:val="0"/>
                <w:sz w:val="18"/>
              </w:rPr>
              <w:t>Keys and recovery catalogue</w:t>
            </w:r>
          </w:p>
        </w:tc>
        <w:tc>
          <w:tcPr>
            <w:tcW w:type="dxa" w:w="4277"/>
            <w:tcMar>
              <w:top w:w="85" w:type="dxa"/>
              <w:bottom w:w="85" w:type="dxa"/>
              <w:start w:w="90" w:type="dxa"/>
              <w:end w:w="90" w:type="dxa"/>
            </w:tcMar>
            <w:vAlign w:val="top"/>
            <w:shd w:fill="EEF5F7" w:val="clear"/>
          </w:tcPr>
          <w:p>
            <w:pPr>
              <w:spacing w:after="30" w:line="247" w:lineRule="auto"/>
            </w:pPr>
            <w:r>
              <w:rPr>
                <w:b w:val="0"/>
                <w:sz w:val="18"/>
              </w:rPr>
              <w:t>Retain what authorized copies still require; separate use, recovery and destruction authority.</w:t>
            </w:r>
          </w:p>
        </w:tc>
        <w:tc>
          <w:tcPr>
            <w:tcW w:type="dxa" w:w="3874"/>
            <w:tcMar>
              <w:top w:w="85" w:type="dxa"/>
              <w:bottom w:w="85" w:type="dxa"/>
              <w:start w:w="90" w:type="dxa"/>
              <w:end w:w="90" w:type="dxa"/>
            </w:tcMar>
            <w:vAlign w:val="top"/>
            <w:shd w:fill="EEF5F7" w:val="clear"/>
          </w:tcPr>
          <w:p>
            <w:pPr>
              <w:spacing w:after="30" w:line="247" w:lineRule="auto"/>
            </w:pPr>
            <w:r>
              <w:rPr>
                <w:b w:val="0"/>
                <w:sz w:val="18"/>
              </w:rPr>
              <w:t>Verified recoverability and custody until approved final disposal.</w:t>
            </w:r>
          </w:p>
        </w:tc>
      </w:tr>
      <w:tr>
        <w:trPr>
          <w:cantSplit/>
        </w:trPr>
        <w:tc>
          <w:tcPr>
            <w:tcW w:type="dxa" w:w="2131"/>
            <w:tcMar>
              <w:top w:w="85" w:type="dxa"/>
              <w:bottom w:w="85" w:type="dxa"/>
              <w:start w:w="90" w:type="dxa"/>
              <w:end w:w="90" w:type="dxa"/>
            </w:tcMar>
            <w:vAlign w:val="top"/>
          </w:tcPr>
          <w:p>
            <w:pPr>
              <w:spacing w:after="30" w:line="247" w:lineRule="auto"/>
            </w:pPr>
            <w:r>
              <w:rPr>
                <w:b w:val="0"/>
                <w:sz w:val="18"/>
              </w:rPr>
              <w:t>Media and resource reuse</w:t>
            </w:r>
          </w:p>
        </w:tc>
        <w:tc>
          <w:tcPr>
            <w:tcW w:type="dxa" w:w="4277"/>
            <w:tcMar>
              <w:top w:w="85" w:type="dxa"/>
              <w:bottom w:w="85" w:type="dxa"/>
              <w:start w:w="90" w:type="dxa"/>
              <w:end w:w="90" w:type="dxa"/>
            </w:tcMar>
            <w:vAlign w:val="top"/>
          </w:tcPr>
          <w:p>
            <w:pPr>
              <w:spacing w:after="30" w:line="247" w:lineRule="auto"/>
            </w:pPr>
            <w:r>
              <w:rPr>
                <w:b w:val="0"/>
                <w:sz w:val="18"/>
              </w:rPr>
              <w:t>Use the applicable approved sanitization method and qualified handling process.</w:t>
            </w:r>
          </w:p>
        </w:tc>
        <w:tc>
          <w:tcPr>
            <w:tcW w:type="dxa" w:w="3874"/>
            <w:tcMar>
              <w:top w:w="85" w:type="dxa"/>
              <w:bottom w:w="85" w:type="dxa"/>
              <w:start w:w="90" w:type="dxa"/>
              <w:end w:w="90" w:type="dxa"/>
            </w:tcMar>
            <w:vAlign w:val="top"/>
          </w:tcPr>
          <w:p>
            <w:pPr>
              <w:spacing w:after="30" w:line="247" w:lineRule="auto"/>
            </w:pPr>
            <w:r>
              <w:rPr>
                <w:b w:val="0"/>
                <w:sz w:val="18"/>
              </w:rPr>
              <w:t>Method, scope, verification and exceptions before reassignment. A deleted volume record is insufficient.</w:t>
            </w:r>
          </w:p>
        </w:tc>
      </w:tr>
    </w:tbl>
    <w:p>
      <w:pPr>
        <w:spacing w:after="0" w:before="0" w:line="120"/>
      </w:pPr>
    </w:p>
    <w:p>
      <w:r>
        <w:t>A retained-copy record includes former WSD identity, copy identity, category/location, owner, hold/retention, key/catalogue dependencies, authorized recovery access, review date and final disposition authority. It does not retain unnecessary live tenant access merely because a backup still exists.</w:t>
      </w:r>
    </w:p>
    <w:p>
      <w:r>
        <w:t>If an offline copy, supplier-held media or shared key prevents immediate disposal proof, record the unresolved obligation and its owner. Do not label total destruction complete. Conversely, do not delete a shared key to satisfy one workload’s retirement while other retained data still depends on it.</w:t>
      </w:r>
    </w:p>
    <w:p>
      <w:pPr>
        <w:keepLines/>
        <w:spacing w:before="120"/>
        <w:shd w:fill="EEF5F7" w:val="clear"/>
        <w:pBdr>
          <w:left w:val="single" w:sz="12" w:space="8" w:color="0B6B70"/>
        </w:pBdr>
      </w:pPr>
      <w:r>
        <w:rPr>
          <w:b/>
        </w:rPr>
        <w:t>Physical media handling and equipment disposal use the organization’s approved process and qualified personnel. This playbook records scope, authority and evidence; it does not replace handling or safety procedures.</w:t>
      </w:r>
    </w:p>
    <w:p>
      <w:pPr>
        <w:pStyle w:val="Caption"/>
      </w:pPr>
      <w:r>
        <w:t xml:space="preserve">Continue with: </w:t>
      </w:r>
      <w:hyperlink r:id="rId32">
        <w:r>
          <w:rPr>
            <w:color w:val="0B6B70"/>
            <w:u w:val="single"/>
          </w:rPr>
          <w:t>IT §8</w:t>
        </w:r>
      </w:hyperlink>
      <w:r>
        <w:t xml:space="preserve">  •  </w:t>
      </w:r>
      <w:hyperlink r:id="rId15">
        <w:r>
          <w:rPr>
            <w:color w:val="0B6B70"/>
            <w:u w:val="single"/>
          </w:rPr>
          <w:t>OPS §8</w:t>
        </w:r>
      </w:hyperlink>
    </w:p>
    <w:p>
      <w:r>
        <w:br w:type="page"/>
      </w:r>
    </w:p>
    <w:p>
      <w:pPr>
        <w:pStyle w:val="Heading1"/>
      </w:pPr>
      <w:r>
        <w:t>8. Accept operational responsibility for the delivered scope</w:t>
      </w:r>
      <w:bookmarkStart w:id="137" w:name="OPS_08"/>
      <w:bookmarkEnd w:id="137"/>
    </w:p>
    <w:p>
      <w:r>
        <w:t>Operations accepts an actual service and its boundaries—not a generic document package or a green installation status.</w:t>
      </w:r>
    </w:p>
    <w:p>
      <w:pPr>
        <w:pStyle w:val="Caption"/>
      </w:pPr>
      <w:r>
        <w:t xml:space="preserve">Design basis and related records: </w:t>
      </w:r>
      <w:hyperlink r:id="rId12">
        <w:r>
          <w:rPr>
            <w:color w:val="0B6B70"/>
            <w:u w:val="single"/>
          </w:rPr>
          <w:t>QUAL §7</w:t>
        </w:r>
      </w:hyperlink>
      <w:r>
        <w:t xml:space="preserve">  •  </w:t>
      </w:r>
      <w:hyperlink r:id="rId34">
        <w:r>
          <w:rPr>
            <w:color w:val="0B6B70"/>
            <w:u w:val="single"/>
          </w:rPr>
          <w:t>IT §6</w:t>
        </w:r>
      </w:hyperlink>
      <w:r>
        <w:t xml:space="preserve">  •  </w:t>
      </w:r>
      <w:hyperlink r:id="rId35">
        <w:r>
          <w:rPr>
            <w:color w:val="0B6B70"/>
            <w:u w:val="single"/>
          </w:rPr>
          <w:t>IT §7</w:t>
        </w:r>
      </w:hyperlink>
      <w:r>
        <w:t xml:space="preserve">  •  </w:t>
      </w:r>
      <w:hyperlink r:id="rId36">
        <w:r>
          <w:rPr>
            <w:color w:val="0B6B70"/>
            <w:u w:val="single"/>
          </w:rPr>
          <w:t>DEL §3</w:t>
        </w:r>
      </w:hyperlink>
    </w:p>
    <w:tbl>
      <w:tblPr>
        <w:tblW w:type="auto" w:w="0"/>
        <w:jc w:val="center"/>
        <w:tblLayout w:type="fixed"/>
        <w:tblLook w:firstColumn="1" w:firstRow="1" w:lastColumn="0" w:lastRow="0" w:noHBand="0" w:noVBand="1" w:val="04A0"/>
      </w:tblPr>
      <w:tblGrid>
        <w:gridCol w:w="2117"/>
        <w:gridCol w:w="5040"/>
        <w:gridCol w:w="3125"/>
      </w:tblGrid>
      <w:tr>
        <w:trPr>
          <w:tblHeader/>
        </w:trPr>
        <w:tc>
          <w:tcPr>
            <w:tcW w:type="dxa" w:w="2117"/>
            <w:tcMar>
              <w:top w:w="85" w:type="dxa"/>
              <w:bottom w:w="85" w:type="dxa"/>
              <w:start w:w="90" w:type="dxa"/>
              <w:end w:w="90" w:type="dxa"/>
            </w:tcMar>
            <w:vAlign w:val="top"/>
            <w:shd w:fill="15384A" w:val="clear"/>
          </w:tcPr>
          <w:p>
            <w:pPr>
              <w:spacing w:after="30" w:line="247" w:lineRule="auto"/>
            </w:pPr>
            <w:r>
              <w:rPr>
                <w:b/>
                <w:color w:val="FFFFFF"/>
                <w:sz w:val="18"/>
              </w:rPr>
              <w:t>Acceptance area</w:t>
            </w:r>
          </w:p>
        </w:tc>
        <w:tc>
          <w:tcPr>
            <w:tcW w:type="dxa" w:w="5040"/>
            <w:tcMar>
              <w:top w:w="85" w:type="dxa"/>
              <w:bottom w:w="85" w:type="dxa"/>
              <w:start w:w="90" w:type="dxa"/>
              <w:end w:w="90" w:type="dxa"/>
            </w:tcMar>
            <w:vAlign w:val="top"/>
            <w:shd w:fill="15384A" w:val="clear"/>
          </w:tcPr>
          <w:p>
            <w:pPr>
              <w:spacing w:after="30" w:line="247" w:lineRule="auto"/>
            </w:pPr>
            <w:r>
              <w:rPr>
                <w:b/>
                <w:color w:val="FFFFFF"/>
                <w:sz w:val="18"/>
              </w:rPr>
              <w:t>What the receiving owner confirms</w:t>
            </w:r>
          </w:p>
        </w:tc>
        <w:tc>
          <w:tcPr>
            <w:tcW w:type="dxa" w:w="3125"/>
            <w:tcMar>
              <w:top w:w="85" w:type="dxa"/>
              <w:bottom w:w="85" w:type="dxa"/>
              <w:start w:w="90" w:type="dxa"/>
              <w:end w:w="90" w:type="dxa"/>
            </w:tcMar>
            <w:vAlign w:val="top"/>
            <w:shd w:fill="15384A" w:val="clear"/>
          </w:tcPr>
          <w:p>
            <w:pPr>
              <w:spacing w:after="30" w:line="247" w:lineRule="auto"/>
            </w:pPr>
            <w:r>
              <w:rPr>
                <w:b/>
                <w:color w:val="FFFFFF"/>
                <w:sz w:val="18"/>
              </w:rPr>
              <w:t>Working response</w:t>
            </w:r>
          </w:p>
        </w:tc>
      </w:tr>
      <w:tr>
        <w:trPr>
          <w:cantSplit/>
        </w:trPr>
        <w:tc>
          <w:tcPr>
            <w:tcW w:type="dxa" w:w="2117"/>
            <w:tcMar>
              <w:top w:w="85" w:type="dxa"/>
              <w:bottom w:w="85" w:type="dxa"/>
              <w:start w:w="90" w:type="dxa"/>
              <w:end w:w="90" w:type="dxa"/>
            </w:tcMar>
            <w:vAlign w:val="top"/>
          </w:tcPr>
          <w:p>
            <w:pPr>
              <w:spacing w:after="30" w:line="247" w:lineRule="auto"/>
            </w:pPr>
            <w:r>
              <w:rPr>
                <w:b w:val="0"/>
                <w:sz w:val="18"/>
              </w:rPr>
              <w:t>Service and as-built</w:t>
            </w:r>
          </w:p>
        </w:tc>
        <w:tc>
          <w:tcPr>
            <w:tcW w:type="dxa" w:w="5040"/>
            <w:tcMar>
              <w:top w:w="85" w:type="dxa"/>
              <w:bottom w:w="85" w:type="dxa"/>
              <w:start w:w="90" w:type="dxa"/>
              <w:end w:w="90" w:type="dxa"/>
            </w:tcMar>
            <w:vAlign w:val="top"/>
          </w:tcPr>
          <w:p>
            <w:pPr>
              <w:spacing w:after="30" w:line="247" w:lineRule="auto"/>
            </w:pPr>
            <w:r>
              <w:rPr>
                <w:b w:val="0"/>
                <w:sz w:val="18"/>
              </w:rPr>
              <w:t>Actual service scope, native identities, topology, data/management boundaries and accepted variation.</w:t>
            </w:r>
          </w:p>
        </w:tc>
        <w:tc>
          <w:tcPr>
            <w:tcW w:type="dxa" w:w="3125"/>
            <w:tcMar>
              <w:top w:w="85" w:type="dxa"/>
              <w:bottom w:w="85" w:type="dxa"/>
              <w:start w:w="90" w:type="dxa"/>
              <w:end w:w="90" w:type="dxa"/>
            </w:tcMar>
            <w:vAlign w:val="top"/>
            <w:shd w:fill="EEF5F7" w:val="clear"/>
          </w:tcPr>
          <w:p>
            <w:pPr>
              <w:spacing w:after="30" w:line="247" w:lineRule="auto"/>
            </w:pPr>
            <w:sdt>
              <w:sdtPr>
                <w:id w:val="10024"/>
                <w:tag w:val="OPS_AS_BUILT_SCOPE"/>
                <w:alias w:val="OPS AS BUILT SCOPE"/>
                <w:text w:multiLine="1"/>
              </w:sdtPr>
              <w:sdtContent>
                <w:r>
                  <w:rPr>
                    <w:color w:val="0B6B70"/>
                  </w:rPr>
                  <w:t>[Enter ops as built scope]</w:t>
                </w:r>
              </w:sdtContent>
            </w:sdt>
          </w:p>
        </w:tc>
      </w:tr>
      <w:tr>
        <w:trPr>
          <w:cantSplit/>
        </w:trPr>
        <w:tc>
          <w:tcPr>
            <w:tcW w:type="dxa" w:w="2117"/>
            <w:tcMar>
              <w:top w:w="85" w:type="dxa"/>
              <w:bottom w:w="85" w:type="dxa"/>
              <w:start w:w="90" w:type="dxa"/>
              <w:end w:w="90" w:type="dxa"/>
            </w:tcMar>
            <w:vAlign w:val="top"/>
            <w:shd w:fill="EEF5F7" w:val="clear"/>
          </w:tcPr>
          <w:p>
            <w:pPr>
              <w:spacing w:after="30" w:line="247" w:lineRule="auto"/>
            </w:pPr>
            <w:r>
              <w:rPr>
                <w:b w:val="0"/>
                <w:sz w:val="18"/>
              </w:rPr>
              <w:t>Support and escalation</w:t>
            </w:r>
          </w:p>
        </w:tc>
        <w:tc>
          <w:tcPr>
            <w:tcW w:type="dxa" w:w="5040"/>
            <w:tcMar>
              <w:top w:w="85" w:type="dxa"/>
              <w:bottom w:w="85" w:type="dxa"/>
              <w:start w:w="90" w:type="dxa"/>
              <w:end w:w="90" w:type="dxa"/>
            </w:tcMar>
            <w:vAlign w:val="top"/>
            <w:shd w:fill="EEF5F7" w:val="clear"/>
          </w:tcPr>
          <w:p>
            <w:pPr>
              <w:spacing w:after="30" w:line="247" w:lineRule="auto"/>
            </w:pPr>
            <w:r>
              <w:rPr>
                <w:b w:val="0"/>
                <w:sz w:val="18"/>
              </w:rPr>
              <w:t>Assigned teams, contacts, coverage, supplier access and supported component versions.</w:t>
            </w:r>
          </w:p>
        </w:tc>
        <w:tc>
          <w:tcPr>
            <w:tcW w:type="dxa" w:w="3125"/>
            <w:tcMar>
              <w:top w:w="85" w:type="dxa"/>
              <w:bottom w:w="85" w:type="dxa"/>
              <w:start w:w="90" w:type="dxa"/>
              <w:end w:w="90" w:type="dxa"/>
            </w:tcMar>
            <w:vAlign w:val="top"/>
            <w:shd w:fill="EEF5F7" w:val="clear"/>
          </w:tcPr>
          <w:p>
            <w:pPr>
              <w:spacing w:after="30" w:line="247" w:lineRule="auto"/>
            </w:pPr>
            <w:sdt>
              <w:sdtPr>
                <w:id w:val="10025"/>
                <w:tag w:val="OPS_SUPPORT_OWNER"/>
                <w:alias w:val="OPS SUPPORT OWNER"/>
                <w:text w:multiLine="1"/>
              </w:sdtPr>
              <w:sdtContent>
                <w:r>
                  <w:rPr>
                    <w:color w:val="0B6B70"/>
                  </w:rPr>
                  <w:t>[Enter ops support owner]</w:t>
                </w:r>
              </w:sdtContent>
            </w:sdt>
          </w:p>
        </w:tc>
      </w:tr>
      <w:tr>
        <w:trPr>
          <w:cantSplit/>
        </w:trPr>
        <w:tc>
          <w:tcPr>
            <w:tcW w:type="dxa" w:w="2117"/>
            <w:tcMar>
              <w:top w:w="85" w:type="dxa"/>
              <w:bottom w:w="85" w:type="dxa"/>
              <w:start w:w="90" w:type="dxa"/>
              <w:end w:w="90" w:type="dxa"/>
            </w:tcMar>
            <w:vAlign w:val="top"/>
          </w:tcPr>
          <w:p>
            <w:pPr>
              <w:spacing w:after="30" w:line="247" w:lineRule="auto"/>
            </w:pPr>
            <w:r>
              <w:rPr>
                <w:b w:val="0"/>
                <w:sz w:val="18"/>
              </w:rPr>
              <w:t>Monitoring and capacity</w:t>
            </w:r>
          </w:p>
        </w:tc>
        <w:tc>
          <w:tcPr>
            <w:tcW w:type="dxa" w:w="5040"/>
            <w:tcMar>
              <w:top w:w="85" w:type="dxa"/>
              <w:bottom w:w="85" w:type="dxa"/>
              <w:start w:w="90" w:type="dxa"/>
              <w:end w:w="90" w:type="dxa"/>
            </w:tcMar>
            <w:vAlign w:val="top"/>
          </w:tcPr>
          <w:p>
            <w:pPr>
              <w:spacing w:after="30" w:line="247" w:lineRule="auto"/>
            </w:pPr>
            <w:r>
              <w:rPr>
                <w:b w:val="0"/>
                <w:sz w:val="18"/>
              </w:rPr>
              <w:t>Observable service/security indicators, alerts, loss handling, reserves and growth triggers.</w:t>
            </w:r>
          </w:p>
        </w:tc>
        <w:tc>
          <w:tcPr>
            <w:tcW w:type="dxa" w:w="3125"/>
            <w:tcMar>
              <w:top w:w="85" w:type="dxa"/>
              <w:bottom w:w="85" w:type="dxa"/>
              <w:start w:w="90" w:type="dxa"/>
              <w:end w:w="90" w:type="dxa"/>
            </w:tcMar>
            <w:vAlign w:val="top"/>
            <w:shd w:fill="EEF5F7" w:val="clear"/>
          </w:tcPr>
          <w:p>
            <w:pPr>
              <w:spacing w:after="30" w:line="247" w:lineRule="auto"/>
            </w:pPr>
            <w:sdt>
              <w:sdtPr>
                <w:id w:val="10026"/>
                <w:tag w:val="OPS_MONITORING_CAPACITY"/>
                <w:alias w:val="OPS MONITORING CAPACITY"/>
                <w:text w:multiLine="1"/>
              </w:sdtPr>
              <w:sdtContent>
                <w:r>
                  <w:rPr>
                    <w:color w:val="0B6B70"/>
                  </w:rPr>
                  <w:t>[Enter ops monitoring capacity]</w:t>
                </w:r>
              </w:sdtContent>
            </w:sdt>
          </w:p>
        </w:tc>
      </w:tr>
      <w:tr>
        <w:trPr>
          <w:cantSplit/>
        </w:trPr>
        <w:tc>
          <w:tcPr>
            <w:tcW w:type="dxa" w:w="2117"/>
            <w:tcMar>
              <w:top w:w="85" w:type="dxa"/>
              <w:bottom w:w="85" w:type="dxa"/>
              <w:start w:w="90" w:type="dxa"/>
              <w:end w:w="90" w:type="dxa"/>
            </w:tcMar>
            <w:vAlign w:val="top"/>
            <w:shd w:fill="EEF5F7" w:val="clear"/>
          </w:tcPr>
          <w:p>
            <w:pPr>
              <w:spacing w:after="30" w:line="247" w:lineRule="auto"/>
            </w:pPr>
            <w:r>
              <w:rPr>
                <w:b w:val="0"/>
                <w:sz w:val="18"/>
              </w:rPr>
              <w:t>Recovery and protection</w:t>
            </w:r>
          </w:p>
        </w:tc>
        <w:tc>
          <w:tcPr>
            <w:tcW w:type="dxa" w:w="5040"/>
            <w:tcMar>
              <w:top w:w="85" w:type="dxa"/>
              <w:bottom w:w="85" w:type="dxa"/>
              <w:start w:w="90" w:type="dxa"/>
              <w:end w:w="90" w:type="dxa"/>
            </w:tcMar>
            <w:vAlign w:val="top"/>
            <w:shd w:fill="EEF5F7" w:val="clear"/>
          </w:tcPr>
          <w:p>
            <w:pPr>
              <w:spacing w:after="30" w:line="247" w:lineRule="auto"/>
            </w:pPr>
            <w:r>
              <w:rPr>
                <w:b w:val="0"/>
                <w:sz w:val="18"/>
              </w:rPr>
              <w:t>Current copy/key/catalogue custody, useful restore evidence and approved RTO/RPO scope.</w:t>
            </w:r>
          </w:p>
        </w:tc>
        <w:tc>
          <w:tcPr>
            <w:tcW w:type="dxa" w:w="3125"/>
            <w:tcMar>
              <w:top w:w="85" w:type="dxa"/>
              <w:bottom w:w="85" w:type="dxa"/>
              <w:start w:w="90" w:type="dxa"/>
              <w:end w:w="90" w:type="dxa"/>
            </w:tcMar>
            <w:vAlign w:val="top"/>
            <w:shd w:fill="EEF5F7" w:val="clear"/>
          </w:tcPr>
          <w:p>
            <w:pPr>
              <w:spacing w:after="30" w:line="247" w:lineRule="auto"/>
            </w:pPr>
            <w:sdt>
              <w:sdtPr>
                <w:id w:val="10027"/>
                <w:tag w:val="OPS_RECOVERY_EVIDENCE"/>
                <w:alias w:val="OPS RECOVERY EVIDENCE"/>
                <w:text w:multiLine="1"/>
              </w:sdtPr>
              <w:sdtContent>
                <w:r>
                  <w:rPr>
                    <w:color w:val="0B6B70"/>
                  </w:rPr>
                  <w:t>[Enter ops recovery evidence]</w:t>
                </w:r>
              </w:sdtContent>
            </w:sdt>
          </w:p>
        </w:tc>
      </w:tr>
      <w:tr>
        <w:trPr>
          <w:cantSplit/>
        </w:trPr>
        <w:tc>
          <w:tcPr>
            <w:tcW w:type="dxa" w:w="2117"/>
            <w:tcMar>
              <w:top w:w="85" w:type="dxa"/>
              <w:bottom w:w="85" w:type="dxa"/>
              <w:start w:w="90" w:type="dxa"/>
              <w:end w:w="90" w:type="dxa"/>
            </w:tcMar>
            <w:vAlign w:val="top"/>
          </w:tcPr>
          <w:p>
            <w:pPr>
              <w:spacing w:after="30" w:line="247" w:lineRule="auto"/>
            </w:pPr>
            <w:r>
              <w:rPr>
                <w:b w:val="0"/>
                <w:sz w:val="18"/>
              </w:rPr>
              <w:t>Residual obligations</w:t>
            </w:r>
          </w:p>
        </w:tc>
        <w:tc>
          <w:tcPr>
            <w:tcW w:type="dxa" w:w="5040"/>
            <w:tcMar>
              <w:top w:w="85" w:type="dxa"/>
              <w:bottom w:w="85" w:type="dxa"/>
              <w:start w:w="90" w:type="dxa"/>
              <w:end w:w="90" w:type="dxa"/>
            </w:tcMar>
            <w:vAlign w:val="top"/>
          </w:tcPr>
          <w:p>
            <w:pPr>
              <w:spacing w:after="30" w:line="247" w:lineRule="auto"/>
            </w:pPr>
            <w:r>
              <w:rPr>
                <w:b w:val="0"/>
                <w:sz w:val="18"/>
              </w:rPr>
              <w:t>Defects, exceptions, excluded capabilities, retained data and due/review triggers.</w:t>
            </w:r>
          </w:p>
        </w:tc>
        <w:tc>
          <w:tcPr>
            <w:tcW w:type="dxa" w:w="3125"/>
            <w:tcMar>
              <w:top w:w="85" w:type="dxa"/>
              <w:bottom w:w="85" w:type="dxa"/>
              <w:start w:w="90" w:type="dxa"/>
              <w:end w:w="90" w:type="dxa"/>
            </w:tcMar>
            <w:vAlign w:val="top"/>
            <w:shd w:fill="EEF5F7" w:val="clear"/>
          </w:tcPr>
          <w:p>
            <w:pPr>
              <w:spacing w:after="30" w:line="247" w:lineRule="auto"/>
            </w:pPr>
            <w:sdt>
              <w:sdtPr>
                <w:id w:val="10028"/>
                <w:tag w:val="OPS_RESIDUAL_OBLIGATIONS"/>
                <w:alias w:val="OPS RESIDUAL OBLIGATIONS"/>
                <w:text w:multiLine="1"/>
              </w:sdtPr>
              <w:sdtContent>
                <w:r>
                  <w:rPr>
                    <w:color w:val="0B6B70"/>
                  </w:rPr>
                  <w:t>[Enter ops residual obligations]</w:t>
                </w:r>
              </w:sdtContent>
            </w:sdt>
          </w:p>
        </w:tc>
      </w:tr>
      <w:tr>
        <w:trPr>
          <w:cantSplit/>
        </w:trPr>
        <w:tc>
          <w:tcPr>
            <w:tcW w:type="dxa" w:w="2117"/>
            <w:tcMar>
              <w:top w:w="85" w:type="dxa"/>
              <w:bottom w:w="85" w:type="dxa"/>
              <w:start w:w="90" w:type="dxa"/>
              <w:end w:w="90" w:type="dxa"/>
            </w:tcMar>
            <w:vAlign w:val="top"/>
            <w:shd w:fill="EEF5F7" w:val="clear"/>
          </w:tcPr>
          <w:p>
            <w:pPr>
              <w:spacing w:after="30" w:line="247" w:lineRule="auto"/>
            </w:pPr>
            <w:r>
              <w:rPr>
                <w:b w:val="0"/>
                <w:sz w:val="18"/>
              </w:rPr>
              <w:t>Decision and conditions</w:t>
            </w:r>
          </w:p>
        </w:tc>
        <w:tc>
          <w:tcPr>
            <w:tcW w:type="dxa" w:w="5040"/>
            <w:tcMar>
              <w:top w:w="85" w:type="dxa"/>
              <w:bottom w:w="85" w:type="dxa"/>
              <w:start w:w="90" w:type="dxa"/>
              <w:end w:w="90" w:type="dxa"/>
            </w:tcMar>
            <w:vAlign w:val="top"/>
            <w:shd w:fill="EEF5F7" w:val="clear"/>
          </w:tcPr>
          <w:p>
            <w:pPr>
              <w:spacing w:after="30" w:line="247" w:lineRule="auto"/>
            </w:pPr>
            <w:r>
              <w:rPr>
                <w:b w:val="0"/>
                <w:sz w:val="18"/>
              </w:rPr>
              <w:t>Actual receiving authority, initial G4 acceptance, production dependencies and ongoing review.</w:t>
            </w:r>
          </w:p>
        </w:tc>
        <w:tc>
          <w:tcPr>
            <w:tcW w:type="dxa" w:w="3125"/>
            <w:tcMar>
              <w:top w:w="85" w:type="dxa"/>
              <w:bottom w:w="85" w:type="dxa"/>
              <w:start w:w="90" w:type="dxa"/>
              <w:end w:w="90" w:type="dxa"/>
            </w:tcMar>
            <w:vAlign w:val="top"/>
            <w:shd w:fill="EEF5F7" w:val="clear"/>
          </w:tcPr>
          <w:p>
            <w:pPr>
              <w:spacing w:after="30" w:line="247" w:lineRule="auto"/>
            </w:pPr>
            <w:sdt>
              <w:sdtPr>
                <w:id w:val="10029"/>
                <w:tag w:val="OPS_ACCEPTANCE_DECISION"/>
                <w:alias w:val="OPS ACCEPTANCE DECISION"/>
                <w:text w:multiLine="1"/>
              </w:sdtPr>
              <w:sdtContent>
                <w:r>
                  <w:rPr>
                    <w:color w:val="0B6B70"/>
                  </w:rPr>
                  <w:t>[Enter ops acceptance decision]</w:t>
                </w:r>
              </w:sdtContent>
            </w:sdt>
          </w:p>
        </w:tc>
      </w:tr>
    </w:tbl>
    <w:p>
      <w:pPr>
        <w:spacing w:after="0" w:before="0" w:line="120"/>
      </w:pPr>
    </w:p>
    <w:p>
      <w:r>
        <w:t>Initial G4 operational and recovery readiness precedes G3 production activation. The later as-built confirmation records what was activated and handed over; it must not be the first occasion on which support or recovery ownership is discovered. Continuing exercises confirm that the service remains inside its accepted envelope.</w:t>
      </w:r>
    </w:p>
    <w:p>
      <w:r>
        <w:t>A material change can invalidate only part of a qualification or a wider inherited dependency. Record the affected scope, conditions for existing operation, restrictions on new placement and the evidence required for reacceptance. Keep historical authorization and actual current technical status separately attributable.</w:t>
      </w:r>
    </w:p>
    <w:p>
      <w:pPr>
        <w:keepLines/>
        <w:spacing w:before="120"/>
        <w:shd w:fill="EEF5F7" w:val="clear"/>
        <w:pBdr>
          <w:left w:val="single" w:sz="12" w:space="8" w:color="0B6B70"/>
        </w:pBdr>
      </w:pPr>
      <w:r>
        <w:rPr>
          <w:b/>
        </w:rPr>
        <w:t>Current release status: developed operational procedures and editable records supplied. No site acceptance, real recovery measurement, supplier approval or operating authorization is asserted.</w:t>
      </w:r>
    </w:p>
    <w:sectPr w:rsidR="00FC693F" w:rsidRPr="0006063C" w:rsidSect="00034616">
      <w:headerReference w:type="default" r:id="rId9"/>
      <w:footerReference w:type="default" r:id="rId10"/>
      <w:pgSz w:w="12240" w:h="15840"/>
      <w:pgMar w:top="936" w:right="979" w:bottom="936"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Delivery kits v1.1  •  Reference architecture v1.4  •  Proposed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PORTABLE MULTI-TENANT SECURE HOSTING  |  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Calibri" w:hAnsi="Calibri"/>
      <w:color w:val="2133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B6B70"/>
      <w:sz w:val="23"/>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libri" w:hAnsi="Calibri"/>
      <w:b/>
      <w:bCs/>
      <w:color w:val="15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60"/>
      <w:contextualSpacing/>
    </w:pPr>
    <w:rPr>
      <w:rFonts w:asciiTheme="majorHAnsi" w:eastAsiaTheme="majorEastAsia" w:hAnsiTheme="majorHAnsi" w:cstheme="majorBidi" w:ascii="Calibri" w:hAnsi="Calibri"/>
      <w:b/>
      <w:color w:val="1538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40"/>
    </w:pPr>
    <w:rPr>
      <w:rFonts w:asciiTheme="majorHAnsi" w:eastAsiaTheme="majorEastAsia" w:hAnsiTheme="majorHAnsi" w:cstheme="majorBidi" w:ascii="Calibri" w:hAnsi="Calibri"/>
      <w:b w:val="0"/>
      <w:i/>
      <w:iCs/>
      <w:color w:val="0B6B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57" w:lineRule="auto"/>
    </w:pPr>
    <w:rPr>
      <w:rFonts w:ascii="Calibri" w:hAnsi="Calibri"/>
      <w:color w:val="21333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7" w:lineRule="auto"/>
      <w:contextualSpacing/>
    </w:pPr>
    <w:rPr>
      <w:rFonts w:ascii="Calibri" w:hAnsi="Calibri"/>
      <w:color w:val="21333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7" w:lineRule="auto"/>
      <w:contextualSpacing/>
    </w:pPr>
    <w:rPr>
      <w:rFonts w:ascii="Calibri" w:hAnsi="Calibri"/>
      <w:color w:val="21333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5263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5_Reference_v1_4/00_Reference_Architecture_v1_4.docx#RA_s_026" TargetMode="External"/><Relationship Id="rId12" Type="http://schemas.openxmlformats.org/officeDocument/2006/relationships/hyperlink" Target="../05_Reference_v1_4/06_Site_Design_Qualification_and_Operations_v1_4.docx#QUAL_s_007" TargetMode="External"/><Relationship Id="rId13" Type="http://schemas.openxmlformats.org/officeDocument/2006/relationships/hyperlink" Target="Implementation_Kit.docx#IK_09" TargetMode="External"/><Relationship Id="rId14" Type="http://schemas.openxmlformats.org/officeDocument/2006/relationships/hyperlink" Target="Operations_Recovery_and_Transition_Playbook.docx#OPS_02" TargetMode="External"/><Relationship Id="rId15" Type="http://schemas.openxmlformats.org/officeDocument/2006/relationships/hyperlink" Target="Operations_Recovery_and_Transition_Playbook.docx#OPS_08" TargetMode="External"/><Relationship Id="rId16" Type="http://schemas.openxmlformats.org/officeDocument/2006/relationships/hyperlink" Target="../05_Reference_v1_4/00_Reference_Architecture_v1_4.docx#RA_s_014" TargetMode="External"/><Relationship Id="rId17" Type="http://schemas.openxmlformats.org/officeDocument/2006/relationships/hyperlink" Target="../05_Reference_v1_4/05_Shared_Services_Data_and_Recovery_v1_4.docx#SVC_s_006" TargetMode="External"/><Relationship Id="rId18" Type="http://schemas.openxmlformats.org/officeDocument/2006/relationships/hyperlink" Target="Implementation_Kit.docx#IK_08" TargetMode="External"/><Relationship Id="rId19" Type="http://schemas.openxmlformats.org/officeDocument/2006/relationships/hyperlink" Target="Qualification_Campaign_and_Evidence_Procedures.docx#QCP_05" TargetMode="External"/><Relationship Id="rId20" Type="http://schemas.openxmlformats.org/officeDocument/2006/relationships/hyperlink" Target="Operations_Recovery_and_Transition_Playbook.docx#OPS_04" TargetMode="External"/><Relationship Id="rId21" Type="http://schemas.openxmlformats.org/officeDocument/2006/relationships/hyperlink" Target="../05_Reference_v1_4/00_Reference_Architecture_v1_4.docx#RA_s_025" TargetMode="External"/><Relationship Id="rId22" Type="http://schemas.openxmlformats.org/officeDocument/2006/relationships/hyperlink" Target="../05_Reference_v1_4/04_Provisioning_and_Commissioning_v1_4.docx#PROV_s_005" TargetMode="External"/><Relationship Id="rId23" Type="http://schemas.openxmlformats.org/officeDocument/2006/relationships/hyperlink" Target="../02_Engineering/Platform_Engineering_and_Build_Specifications.docx#PBS_09" TargetMode="External"/><Relationship Id="rId24" Type="http://schemas.openxmlformats.org/officeDocument/2006/relationships/hyperlink" Target="../05_Reference_v1_4/00_Reference_Architecture_v1_4.docx#RA_s_027" TargetMode="External"/><Relationship Id="rId25" Type="http://schemas.openxmlformats.org/officeDocument/2006/relationships/hyperlink" Target="MOP_Test_and_Handover_Template.docx#IT_05" TargetMode="External"/><Relationship Id="rId26" Type="http://schemas.openxmlformats.org/officeDocument/2006/relationships/hyperlink" Target="Operations_Recovery_and_Transition_Playbook.docx#OPS_05" TargetMode="External"/><Relationship Id="rId27" Type="http://schemas.openxmlformats.org/officeDocument/2006/relationships/hyperlink" Target="../05_Reference_v1_4/06_Site_Design_Qualification_and_Operations_v1_4.docx#QUAL_s_004" TargetMode="External"/><Relationship Id="rId28" Type="http://schemas.openxmlformats.org/officeDocument/2006/relationships/hyperlink" Target="../02_Engineering/Engineering_Kit.docx#EK_06" TargetMode="External"/><Relationship Id="rId29" Type="http://schemas.openxmlformats.org/officeDocument/2006/relationships/hyperlink" Target="../05_Reference_v1_4/04_Provisioning_and_Commissioning_v1_4.docx#PROV_s_006" TargetMode="External"/><Relationship Id="rId30" Type="http://schemas.openxmlformats.org/officeDocument/2006/relationships/hyperlink" Target="Qualification_Campaign_and_Evidence_Procedures.docx#QCP_07" TargetMode="External"/><Relationship Id="rId31" Type="http://schemas.openxmlformats.org/officeDocument/2006/relationships/hyperlink" Target="Operations_Recovery_and_Transition_Playbook.docx#OPS_07" TargetMode="External"/><Relationship Id="rId32" Type="http://schemas.openxmlformats.org/officeDocument/2006/relationships/hyperlink" Target="MOP_Test_and_Handover_Template.docx#IT_08" TargetMode="External"/><Relationship Id="rId33" Type="http://schemas.openxmlformats.org/officeDocument/2006/relationships/hyperlink" Target="../05_Reference_v1_4/05_Shared_Services_Data_and_Recovery_v1_4.docx#SVC_s_004" TargetMode="External"/><Relationship Id="rId34" Type="http://schemas.openxmlformats.org/officeDocument/2006/relationships/hyperlink" Target="MOP_Test_and_Handover_Template.docx#IT_06" TargetMode="External"/><Relationship Id="rId35" Type="http://schemas.openxmlformats.org/officeDocument/2006/relationships/hyperlink" Target="MOP_Test_and_Handover_Template.docx#IT_07" TargetMode="External"/><Relationship Id="rId36" Type="http://schemas.openxmlformats.org/officeDocument/2006/relationships/hyperlink" Target="../00_Delivery_Map.docx#DEL_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Recovery and Transition Playbook</dc:title>
  <dc:subject>Infrastructure architecture and delivery development</dc:subject>
  <dc:creator/>
  <cp:keywords/>
  <dc:description/>
  <cp:lastModifiedBy/>
  <cp:revision>1</cp:revision>
  <dcterms:created xsi:type="dcterms:W3CDTF">2013-12-23T23:15:00Z</dcterms:created>
  <dcterms:modified xsi:type="dcterms:W3CDTF">2013-12-23T23:15:00Z</dcterms:modified>
  <cp:category/>
  <cp:version>1.1</cp:version>
</cp:coreProperties>
</file>