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6B70"/>
        </w:rPr>
        <w:t>DESIGN DEVELOPMENT  /  QCP</w:t>
      </w:r>
    </w:p>
    <w:p>
      <w:pPr>
        <w:pStyle w:val="Title"/>
      </w:pPr>
      <w:r>
        <w:t>Qualification Campaign and Evidence Procedures</w:t>
      </w:r>
    </w:p>
    <w:p>
      <w:pPr>
        <w:pStyle w:val="Subtitle"/>
      </w:pPr>
      <w:r>
        <w:t>Turn requirements into healthy controls, meaningful observations and accountable acceptance.</w:t>
      </w:r>
    </w:p>
    <w:p>
      <w:r>
        <w:t>Kit release v1.1 • 17 September 2026 • Parent architecture v1.4 retained</w:t>
      </w:r>
    </w:p>
    <w:p>
      <w:pPr>
        <w:keepLines/>
        <w:spacing w:before="120"/>
        <w:shd w:fill="EEF5F7" w:val="clear"/>
        <w:pBdr>
          <w:left w:val="single" w:sz="12" w:space="8" w:color="0B6B70"/>
        </w:pBdr>
      </w:pPr>
      <w:r>
        <w:rPr>
          <w:b/>
        </w:rPr>
        <w:t>Proposed engineering development. Reference examples, site decisions, actual observations and approval remain separate.</w:t>
      </w:r>
    </w:p>
    <w:p>
      <w:r>
        <w:t>This supplement develops a qualification campaign for the common fixture and its actual native realization. Q11 observation cards elaborate existing requirements and test references; they are not new government controls or executed results. Keep real execution records in the implementation tracker and test template.</w:t>
      </w:r>
    </w:p>
    <w:p>
      <w:pPr>
        <w:pStyle w:val="Heading2"/>
      </w:pPr>
      <w:r>
        <w:t>Section navigation</w:t>
      </w:r>
    </w:p>
    <w:p>
      <w:pPr>
        <w:spacing w:after="60"/>
      </w:pPr>
      <w:hyperlink w:anchor="QCP_01">
        <w:r>
          <w:rPr>
            <w:color w:val="0B6B70"/>
            <w:u w:val="single"/>
          </w:rPr>
          <w:t>1. Select the qualification scope and acceptance claim</w:t>
        </w:r>
      </w:hyperlink>
    </w:p>
    <w:p>
      <w:pPr>
        <w:spacing w:after="60"/>
      </w:pPr>
      <w:hyperlink w:anchor="QCP_02">
        <w:r>
          <w:rPr>
            <w:color w:val="0B6B70"/>
            <w:u w:val="single"/>
          </w:rPr>
          <w:t>2. Size and control the qualification fixture</w:t>
        </w:r>
      </w:hyperlink>
    </w:p>
    <w:p>
      <w:pPr>
        <w:spacing w:after="60"/>
      </w:pPr>
      <w:hyperlink w:anchor="QCP_03">
        <w:r>
          <w:rPr>
            <w:color w:val="0B6B70"/>
            <w:u w:val="single"/>
          </w:rPr>
          <w:t>3. Observe network paths and boundary enforcement</w:t>
        </w:r>
      </w:hyperlink>
    </w:p>
    <w:p>
      <w:pPr>
        <w:spacing w:after="60"/>
      </w:pPr>
      <w:hyperlink w:anchor="QCP_04">
        <w:r>
          <w:rPr>
            <w:color w:val="0B6B70"/>
            <w:u w:val="single"/>
          </w:rPr>
          <w:t>4. Observe identity, storage and protocol completeness</w:t>
        </w:r>
      </w:hyperlink>
    </w:p>
    <w:p>
      <w:pPr>
        <w:spacing w:after="60"/>
      </w:pPr>
      <w:hyperlink w:anchor="QCP_05">
        <w:r>
          <w:rPr>
            <w:color w:val="0B6B70"/>
            <w:u w:val="single"/>
          </w:rPr>
          <w:t>5. Separate safe failure, service continuity and recovery</w:t>
        </w:r>
      </w:hyperlink>
    </w:p>
    <w:p>
      <w:pPr>
        <w:spacing w:after="60"/>
      </w:pPr>
      <w:hyperlink w:anchor="QCP_06">
        <w:r>
          <w:rPr>
            <w:color w:val="0B6B70"/>
            <w:u w:val="single"/>
          </w:rPr>
          <w:t>6. Build an evidence packet a reviewer can challenge</w:t>
        </w:r>
      </w:hyperlink>
    </w:p>
    <w:p>
      <w:pPr>
        <w:spacing w:after="60"/>
      </w:pPr>
      <w:hyperlink w:anchor="QCP_07">
        <w:r>
          <w:rPr>
            <w:color w:val="0B6B70"/>
            <w:u w:val="single"/>
          </w:rPr>
          <w:t>7. Compare vendor realizations without assuming migration</w:t>
        </w:r>
      </w:hyperlink>
    </w:p>
    <w:p>
      <w:pPr>
        <w:spacing w:after="60"/>
      </w:pPr>
      <w:hyperlink w:anchor="QCP_08">
        <w:r>
          <w:rPr>
            <w:color w:val="0B6B70"/>
            <w:u w:val="single"/>
          </w:rPr>
          <w:t>8. Close defects and issue a scoped campaign disposition</w:t>
        </w:r>
      </w:hyperlink>
    </w:p>
    <w:p>
      <w:pPr>
        <w:pStyle w:val="Caption"/>
      </w:pPr>
      <w:r>
        <w:t>Basis: linked RA/WD and role-kit sections retain their original authority. The elaborations, record formats and calculations in this supplement are local proposals, not new government requirements. D-source references identify freshly checked public mechanisms, not installed compatibility. Exact source locators are in 04_Shared/development/source_reviews.csv.</w:t>
      </w:r>
    </w:p>
    <w:p>
      <w:r>
        <w:br w:type="page"/>
      </w:r>
    </w:p>
    <w:p>
      <w:pPr>
        <w:pStyle w:val="Heading1"/>
      </w:pPr>
      <w:r>
        <w:t>1. Select the qualification scope and acceptance claim</w:t>
      </w:r>
      <w:bookmarkStart w:id="122" w:name="QCP_01"/>
      <w:bookmarkEnd w:id="122"/>
    </w:p>
    <w:p>
      <w:r>
        <w:t>Qualification is evidence for a named service, topology, version and failure model. It is not a blanket certification of a product brand.</w:t>
      </w:r>
    </w:p>
    <w:p>
      <w:pPr>
        <w:pStyle w:val="Caption"/>
      </w:pPr>
      <w:r>
        <w:t xml:space="preserve">Design basis and related records: </w:t>
      </w:r>
      <w:hyperlink r:id="rId11">
        <w:r>
          <w:rPr>
            <w:color w:val="0B6B70"/>
            <w:u w:val="single"/>
          </w:rPr>
          <w:t>QUAL §5</w:t>
        </w:r>
      </w:hyperlink>
      <w:r>
        <w:t xml:space="preserve">  •  </w:t>
      </w:r>
      <w:hyperlink r:id="rId12">
        <w:r>
          <w:rPr>
            <w:color w:val="0B6B70"/>
            <w:u w:val="single"/>
          </w:rPr>
          <w:t>IK §6</w:t>
        </w:r>
      </w:hyperlink>
      <w:r>
        <w:t xml:space="preserve">  •  </w:t>
      </w:r>
      <w:hyperlink r:id="rId13">
        <w:r>
          <w:rPr>
            <w:color w:val="0B6B70"/>
            <w:u w:val="single"/>
          </w:rPr>
          <w:t>DEL §3</w:t>
        </w:r>
      </w:hyperlink>
    </w:p>
    <w:tbl>
      <w:tblPr>
        <w:tblW w:type="auto" w:w="0"/>
        <w:jc w:val="center"/>
        <w:tblLayout w:type="fixed"/>
        <w:tblLook w:firstColumn="1" w:firstRow="1" w:lastColumn="0" w:lastRow="0" w:noHBand="0" w:noVBand="1" w:val="04A0"/>
      </w:tblPr>
      <w:tblGrid>
        <w:gridCol w:w="1987"/>
        <w:gridCol w:w="4320"/>
        <w:gridCol w:w="3974"/>
      </w:tblGrid>
      <w:tr>
        <w:trPr>
          <w:tblHeader/>
        </w:trPr>
        <w:tc>
          <w:tcPr>
            <w:tcW w:type="dxa" w:w="1987"/>
            <w:tcMar>
              <w:top w:w="85" w:type="dxa"/>
              <w:bottom w:w="85" w:type="dxa"/>
              <w:start w:w="90" w:type="dxa"/>
              <w:end w:w="90" w:type="dxa"/>
            </w:tcMar>
            <w:vAlign w:val="top"/>
            <w:shd w:fill="15384A" w:val="clear"/>
          </w:tcPr>
          <w:p>
            <w:pPr>
              <w:spacing w:after="30" w:line="247" w:lineRule="auto"/>
            </w:pPr>
            <w:r>
              <w:rPr>
                <w:b/>
                <w:color w:val="FFFFFF"/>
                <w:sz w:val="18"/>
              </w:rPr>
              <w:t>Campaign scope</w:t>
            </w:r>
          </w:p>
        </w:tc>
        <w:tc>
          <w:tcPr>
            <w:tcW w:type="dxa" w:w="4320"/>
            <w:tcMar>
              <w:top w:w="85" w:type="dxa"/>
              <w:bottom w:w="85" w:type="dxa"/>
              <w:start w:w="90" w:type="dxa"/>
              <w:end w:w="90" w:type="dxa"/>
            </w:tcMar>
            <w:vAlign w:val="top"/>
            <w:shd w:fill="15384A" w:val="clear"/>
          </w:tcPr>
          <w:p>
            <w:pPr>
              <w:spacing w:after="30" w:line="247" w:lineRule="auto"/>
            </w:pPr>
            <w:r>
              <w:rPr>
                <w:b/>
                <w:color w:val="FFFFFF"/>
                <w:sz w:val="18"/>
              </w:rPr>
              <w:t>Select observations for</w:t>
            </w:r>
          </w:p>
        </w:tc>
        <w:tc>
          <w:tcPr>
            <w:tcW w:type="dxa" w:w="3974"/>
            <w:tcMar>
              <w:top w:w="85" w:type="dxa"/>
              <w:bottom w:w="85" w:type="dxa"/>
              <w:start w:w="90" w:type="dxa"/>
              <w:end w:w="90" w:type="dxa"/>
            </w:tcMar>
            <w:vAlign w:val="top"/>
            <w:shd w:fill="15384A" w:val="clear"/>
          </w:tcPr>
          <w:p>
            <w:pPr>
              <w:spacing w:after="30" w:line="247" w:lineRule="auto"/>
            </w:pPr>
            <w:r>
              <w:rPr>
                <w:b/>
                <w:color w:val="FFFFFF"/>
                <w:sz w:val="18"/>
              </w:rPr>
              <w:t>Permitted conclusion</w:t>
            </w:r>
          </w:p>
        </w:tc>
      </w:tr>
      <w:tr>
        <w:trPr>
          <w:cantSplit/>
        </w:trPr>
        <w:tc>
          <w:tcPr>
            <w:tcW w:type="dxa" w:w="1987"/>
            <w:tcMar>
              <w:top w:w="85" w:type="dxa"/>
              <w:bottom w:w="85" w:type="dxa"/>
              <w:start w:w="90" w:type="dxa"/>
              <w:end w:w="90" w:type="dxa"/>
            </w:tcMar>
            <w:vAlign w:val="top"/>
          </w:tcPr>
          <w:p>
            <w:pPr>
              <w:spacing w:after="30" w:line="247" w:lineRule="auto"/>
            </w:pPr>
            <w:r>
              <w:rPr>
                <w:b w:val="0"/>
                <w:sz w:val="18"/>
              </w:rPr>
              <w:t>First platform</w:t>
            </w:r>
          </w:p>
        </w:tc>
        <w:tc>
          <w:tcPr>
            <w:tcW w:type="dxa" w:w="4320"/>
            <w:tcMar>
              <w:top w:w="85" w:type="dxa"/>
              <w:bottom w:w="85" w:type="dxa"/>
              <w:start w:w="90" w:type="dxa"/>
              <w:end w:w="90" w:type="dxa"/>
            </w:tcMar>
            <w:vAlign w:val="top"/>
          </w:tcPr>
          <w:p>
            <w:pPr>
              <w:spacing w:after="30" w:line="247" w:lineRule="auto"/>
            </w:pPr>
            <w:r>
              <w:rPr>
                <w:b w:val="0"/>
                <w:sz w:val="18"/>
              </w:rPr>
              <w:t>Actual foundations, domain isolation, service interfaces, lifecycle, failure/load and useful restore.</w:t>
            </w:r>
          </w:p>
        </w:tc>
        <w:tc>
          <w:tcPr>
            <w:tcW w:type="dxa" w:w="3974"/>
            <w:tcMar>
              <w:top w:w="85" w:type="dxa"/>
              <w:bottom w:w="85" w:type="dxa"/>
              <w:start w:w="90" w:type="dxa"/>
              <w:end w:w="90" w:type="dxa"/>
            </w:tcMar>
            <w:vAlign w:val="top"/>
          </w:tcPr>
          <w:p>
            <w:pPr>
              <w:spacing w:after="30" w:line="247" w:lineRule="auto"/>
            </w:pPr>
            <w:r>
              <w:rPr>
                <w:b w:val="0"/>
                <w:sz w:val="18"/>
              </w:rPr>
              <w:t>Only the tested service classes, families, topology and limits. A second qualified stack is not a prerequisite.</w:t>
            </w:r>
          </w:p>
        </w:tc>
      </w:tr>
      <w:tr>
        <w:trPr>
          <w:cantSplit/>
        </w:trPr>
        <w:tc>
          <w:tcPr>
            <w:tcW w:type="dxa" w:w="1987"/>
            <w:tcMar>
              <w:top w:w="85" w:type="dxa"/>
              <w:bottom w:w="85" w:type="dxa"/>
              <w:start w:w="90" w:type="dxa"/>
              <w:end w:w="90" w:type="dxa"/>
            </w:tcMar>
            <w:vAlign w:val="top"/>
            <w:shd w:fill="EEF5F7" w:val="clear"/>
          </w:tcPr>
          <w:p>
            <w:pPr>
              <w:spacing w:after="30" w:line="247" w:lineRule="auto"/>
            </w:pPr>
            <w:r>
              <w:rPr>
                <w:b w:val="0"/>
                <w:sz w:val="18"/>
              </w:rPr>
              <w:t>Second platform comparison</w:t>
            </w:r>
          </w:p>
        </w:tc>
        <w:tc>
          <w:tcPr>
            <w:tcW w:type="dxa" w:w="4320"/>
            <w:tcMar>
              <w:top w:w="85" w:type="dxa"/>
              <w:bottom w:w="85" w:type="dxa"/>
              <w:start w:w="90" w:type="dxa"/>
              <w:end w:w="90" w:type="dxa"/>
            </w:tcMar>
            <w:vAlign w:val="top"/>
            <w:shd w:fill="EEF5F7" w:val="clear"/>
          </w:tcPr>
          <w:p>
            <w:pPr>
              <w:spacing w:after="30" w:line="247" w:lineRule="auto"/>
            </w:pPr>
            <w:r>
              <w:rPr>
                <w:b w:val="0"/>
                <w:sz w:val="18"/>
              </w:rPr>
              <w:t>Same logical service outcomes on another eligible native realization.</w:t>
            </w:r>
          </w:p>
        </w:tc>
        <w:tc>
          <w:tcPr>
            <w:tcW w:type="dxa" w:w="3974"/>
            <w:tcMar>
              <w:top w:w="85" w:type="dxa"/>
              <w:bottom w:w="85" w:type="dxa"/>
              <w:start w:w="90" w:type="dxa"/>
              <w:end w:w="90" w:type="dxa"/>
            </w:tcMar>
            <w:vAlign w:val="top"/>
            <w:shd w:fill="EEF5F7" w:val="clear"/>
          </w:tcPr>
          <w:p>
            <w:pPr>
              <w:spacing w:after="30" w:line="247" w:lineRule="auto"/>
            </w:pPr>
            <w:r>
              <w:rPr>
                <w:b w:val="0"/>
                <w:sz w:val="18"/>
              </w:rPr>
              <w:t>Deployment equivalence for the compared scope, not automatic live migration.</w:t>
            </w:r>
          </w:p>
        </w:tc>
      </w:tr>
      <w:tr>
        <w:trPr>
          <w:cantSplit/>
        </w:trPr>
        <w:tc>
          <w:tcPr>
            <w:tcW w:type="dxa" w:w="1987"/>
            <w:tcMar>
              <w:top w:w="85" w:type="dxa"/>
              <w:bottom w:w="85" w:type="dxa"/>
              <w:start w:w="90" w:type="dxa"/>
              <w:end w:w="90" w:type="dxa"/>
            </w:tcMar>
            <w:vAlign w:val="top"/>
          </w:tcPr>
          <w:p>
            <w:pPr>
              <w:spacing w:after="30" w:line="247" w:lineRule="auto"/>
            </w:pPr>
            <w:r>
              <w:rPr>
                <w:b w:val="0"/>
                <w:sz w:val="18"/>
              </w:rPr>
              <w:t>Portability / exit</w:t>
            </w:r>
          </w:p>
        </w:tc>
        <w:tc>
          <w:tcPr>
            <w:tcW w:type="dxa" w:w="4320"/>
            <w:tcMar>
              <w:top w:w="85" w:type="dxa"/>
              <w:bottom w:w="85" w:type="dxa"/>
              <w:start w:w="90" w:type="dxa"/>
              <w:end w:w="90" w:type="dxa"/>
            </w:tcMar>
            <w:vAlign w:val="top"/>
          </w:tcPr>
          <w:p>
            <w:pPr>
              <w:spacing w:after="30" w:line="247" w:lineRule="auto"/>
            </w:pPr>
            <w:r>
              <w:rPr>
                <w:b w:val="0"/>
                <w:sz w:val="18"/>
              </w:rPr>
              <w:t>Actual image/data recovery, drivers/boot, identity/keys, network rebinding, cutover and operation.</w:t>
            </w:r>
          </w:p>
        </w:tc>
        <w:tc>
          <w:tcPr>
            <w:tcW w:type="dxa" w:w="3974"/>
            <w:tcMar>
              <w:top w:w="85" w:type="dxa"/>
              <w:bottom w:w="85" w:type="dxa"/>
              <w:start w:w="90" w:type="dxa"/>
              <w:end w:w="90" w:type="dxa"/>
            </w:tcMar>
            <w:vAlign w:val="top"/>
          </w:tcPr>
          <w:p>
            <w:pPr>
              <w:spacing w:after="30" w:line="247" w:lineRule="auto"/>
            </w:pPr>
            <w:r>
              <w:rPr>
                <w:b w:val="0"/>
                <w:sz w:val="18"/>
              </w:rPr>
              <w:t>Only the supported transfer and recovered-service claim demonstrated.</w:t>
            </w:r>
          </w:p>
        </w:tc>
      </w:tr>
      <w:tr>
        <w:trPr>
          <w:cantSplit/>
        </w:trPr>
        <w:tc>
          <w:tcPr>
            <w:tcW w:type="dxa" w:w="1987"/>
            <w:tcMar>
              <w:top w:w="85" w:type="dxa"/>
              <w:bottom w:w="85" w:type="dxa"/>
              <w:start w:w="90" w:type="dxa"/>
              <w:end w:w="90" w:type="dxa"/>
            </w:tcMar>
            <w:vAlign w:val="top"/>
            <w:shd w:fill="EEF5F7" w:val="clear"/>
          </w:tcPr>
          <w:p>
            <w:pPr>
              <w:spacing w:after="30" w:line="247" w:lineRule="auto"/>
            </w:pPr>
            <w:r>
              <w:rPr>
                <w:b w:val="0"/>
                <w:sz w:val="18"/>
              </w:rPr>
              <w:t>Routine change</w:t>
            </w:r>
          </w:p>
        </w:tc>
        <w:tc>
          <w:tcPr>
            <w:tcW w:type="dxa" w:w="4320"/>
            <w:tcMar>
              <w:top w:w="85" w:type="dxa"/>
              <w:bottom w:w="85" w:type="dxa"/>
              <w:start w:w="90" w:type="dxa"/>
              <w:end w:w="90" w:type="dxa"/>
            </w:tcMar>
            <w:vAlign w:val="top"/>
            <w:shd w:fill="EEF5F7" w:val="clear"/>
          </w:tcPr>
          <w:p>
            <w:pPr>
              <w:spacing w:after="30" w:line="247" w:lineRule="auto"/>
            </w:pPr>
            <w:r>
              <w:rPr>
                <w:b w:val="0"/>
                <w:sz w:val="18"/>
              </w:rPr>
              <w:t>Changed objects/paths and dependent critical controls under the accepted service envelope.</w:t>
            </w:r>
          </w:p>
        </w:tc>
        <w:tc>
          <w:tcPr>
            <w:tcW w:type="dxa" w:w="3974"/>
            <w:tcMar>
              <w:top w:w="85" w:type="dxa"/>
              <w:bottom w:w="85" w:type="dxa"/>
              <w:start w:w="90" w:type="dxa"/>
              <w:end w:w="90" w:type="dxa"/>
            </w:tcMar>
            <w:vAlign w:val="top"/>
            <w:shd w:fill="EEF5F7" w:val="clear"/>
          </w:tcPr>
          <w:p>
            <w:pPr>
              <w:spacing w:after="30" w:line="247" w:lineRule="auto"/>
            </w:pPr>
            <w:r>
              <w:rPr>
                <w:b w:val="0"/>
                <w:sz w:val="18"/>
              </w:rPr>
              <w:t>Acceptance of the changed scope; not a rerun of every destructive foundation test.</w:t>
            </w:r>
          </w:p>
        </w:tc>
      </w:tr>
    </w:tbl>
    <w:p>
      <w:pPr>
        <w:spacing w:after="0" w:before="0" w:line="120"/>
      </w:pPr>
    </w:p>
    <w:p>
      <w:r>
        <w:t>Begin with an applicability record identifying requirement assertions, current component and design revisions, enabled address families, sharing, expected load and covered failure. Select test procedures because they observe those assertions, not because the catalogue has a fixed number of entries. Approved not-applicable dispositions need a reason tied to the offered scope.</w:t>
      </w:r>
    </w:p>
    <w:p>
      <w:r>
        <w:t>A restricted non-production fixture may generate evidence while the platform remains a safeguarded candidate. Its permission names disposable data, allowed probes/faults, restoration, window and stop authority. It cannot supply production authority. Complete the relevant G2 qualification and initial G4 readiness before G3 production activation.</w:t>
      </w:r>
    </w:p>
    <w:p>
      <w:pPr>
        <w:keepLines/>
        <w:spacing w:before="120"/>
        <w:shd w:fill="EEF5F7" w:val="clear"/>
        <w:pBdr>
          <w:left w:val="single" w:sz="12" w:space="8" w:color="0B6B70"/>
        </w:pBdr>
      </w:pPr>
      <w:r>
        <w:rPr>
          <w:b/>
        </w:rPr>
        <w:t>All Q11 cards in this document are NOT RUN. An expected result, source reference or document check is never an observed platform result.</w:t>
      </w:r>
    </w:p>
    <w:p>
      <w:pPr>
        <w:pStyle w:val="Caption"/>
      </w:pPr>
      <w:r>
        <w:t xml:space="preserve">Continue with: </w:t>
      </w:r>
      <w:hyperlink r:id="rId14">
        <w:r>
          <w:rPr>
            <w:color w:val="0B6B70"/>
            <w:u w:val="single"/>
          </w:rPr>
          <w:t>QCP §8</w:t>
        </w:r>
      </w:hyperlink>
      <w:r>
        <w:t xml:space="preserve">  •  </w:t>
      </w:r>
      <w:hyperlink r:id="rId15">
        <w:r>
          <w:rPr>
            <w:color w:val="0B6B70"/>
            <w:u w:val="single"/>
          </w:rPr>
          <w:t>PBS §9</w:t>
        </w:r>
      </w:hyperlink>
    </w:p>
    <w:p>
      <w:r>
        <w:br w:type="page"/>
      </w:r>
    </w:p>
    <w:p>
      <w:pPr>
        <w:pStyle w:val="Heading1"/>
      </w:pPr>
      <w:r>
        <w:t>2. Size and control the qualification fixture</w:t>
      </w:r>
      <w:bookmarkStart w:id="123" w:name="QCP_02"/>
      <w:bookmarkEnd w:id="123"/>
    </w:p>
    <w:p>
      <w:r>
        <w:t>Four permanent endpoints provide one endpoint per domain. Additional controlled endpoints are required to test communication within a single domain.</w:t>
      </w:r>
    </w:p>
    <w:p>
      <w:pPr>
        <w:pStyle w:val="Caption"/>
      </w:pPr>
      <w:r>
        <w:t xml:space="preserve">Design basis and related records: </w:t>
      </w:r>
      <w:hyperlink r:id="rId16">
        <w:r>
          <w:rPr>
            <w:color w:val="0B6B70"/>
            <w:u w:val="single"/>
          </w:rPr>
          <w:t>WD §2</w:t>
        </w:r>
      </w:hyperlink>
      <w:r>
        <w:t xml:space="preserve">  •  </w:t>
      </w:r>
      <w:hyperlink r:id="rId17">
        <w:r>
          <w:rPr>
            <w:color w:val="0B6B70"/>
            <w:u w:val="single"/>
          </w:rPr>
          <w:t>WD §11</w:t>
        </w:r>
      </w:hyperlink>
      <w:r>
        <w:t xml:space="preserve">  •  </w:t>
      </w:r>
      <w:hyperlink r:id="rId18">
        <w:r>
          <w:rPr>
            <w:color w:val="0B6B70"/>
            <w:u w:val="single"/>
          </w:rPr>
          <w:t>EK §6</w:t>
        </w:r>
      </w:hyperlink>
      <w:r>
        <w:t xml:space="preserve">  •  </w:t>
      </w:r>
      <w:hyperlink r:id="rId12">
        <w:r>
          <w:rPr>
            <w:color w:val="0B6B70"/>
            <w:u w:val="single"/>
          </w:rPr>
          <w:t>IK §6</w:t>
        </w:r>
      </w:hyperlink>
    </w:p>
    <w:tbl>
      <w:tblPr>
        <w:tblW w:type="auto" w:w="0"/>
        <w:jc w:val="center"/>
        <w:tblLayout w:type="fixed"/>
        <w:tblLook w:firstColumn="1" w:firstRow="1" w:lastColumn="0" w:lastRow="0" w:noHBand="0" w:noVBand="1" w:val="04A0"/>
      </w:tblPr>
      <w:tblGrid>
        <w:gridCol w:w="4464"/>
        <w:gridCol w:w="1181"/>
        <w:gridCol w:w="2146"/>
        <w:gridCol w:w="2491"/>
      </w:tblGrid>
      <w:tr>
        <w:trPr>
          <w:tblHeader/>
        </w:trPr>
        <w:tc>
          <w:tcPr>
            <w:tcW w:type="dxa" w:w="4464"/>
            <w:tcMar>
              <w:top w:w="85" w:type="dxa"/>
              <w:bottom w:w="85" w:type="dxa"/>
              <w:start w:w="90" w:type="dxa"/>
              <w:end w:w="90" w:type="dxa"/>
            </w:tcMar>
            <w:vAlign w:val="top"/>
            <w:shd w:fill="15384A" w:val="clear"/>
          </w:tcPr>
          <w:p>
            <w:pPr>
              <w:spacing w:after="30" w:line="247" w:lineRule="auto"/>
            </w:pPr>
            <w:r>
              <w:rPr>
                <w:b/>
                <w:color w:val="FFFFFF"/>
                <w:sz w:val="18"/>
              </w:rPr>
              <w:t>Fixture allocation</w:t>
            </w:r>
          </w:p>
        </w:tc>
        <w:tc>
          <w:tcPr>
            <w:tcW w:type="dxa" w:w="1181"/>
            <w:tcMar>
              <w:top w:w="85" w:type="dxa"/>
              <w:bottom w:w="85" w:type="dxa"/>
              <w:start w:w="90" w:type="dxa"/>
              <w:end w:w="90" w:type="dxa"/>
            </w:tcMar>
            <w:vAlign w:val="top"/>
            <w:shd w:fill="15384A" w:val="clear"/>
          </w:tcPr>
          <w:p>
            <w:pPr>
              <w:spacing w:after="30" w:line="247" w:lineRule="auto"/>
            </w:pPr>
            <w:r>
              <w:rPr>
                <w:b/>
                <w:color w:val="FFFFFF"/>
                <w:sz w:val="18"/>
              </w:rPr>
              <w:t>vCPU</w:t>
            </w:r>
          </w:p>
        </w:tc>
        <w:tc>
          <w:tcPr>
            <w:tcW w:type="dxa" w:w="2146"/>
            <w:tcMar>
              <w:top w:w="85" w:type="dxa"/>
              <w:bottom w:w="85" w:type="dxa"/>
              <w:start w:w="90" w:type="dxa"/>
              <w:end w:w="90" w:type="dxa"/>
            </w:tcMar>
            <w:vAlign w:val="top"/>
            <w:shd w:fill="15384A" w:val="clear"/>
          </w:tcPr>
          <w:p>
            <w:pPr>
              <w:spacing w:after="30" w:line="247" w:lineRule="auto"/>
            </w:pPr>
            <w:r>
              <w:rPr>
                <w:b/>
                <w:color w:val="FFFFFF"/>
                <w:sz w:val="18"/>
              </w:rPr>
              <w:t>Guest memory</w:t>
            </w:r>
          </w:p>
        </w:tc>
        <w:tc>
          <w:tcPr>
            <w:tcW w:type="dxa" w:w="2491"/>
            <w:tcMar>
              <w:top w:w="85" w:type="dxa"/>
              <w:bottom w:w="85" w:type="dxa"/>
              <w:start w:w="90" w:type="dxa"/>
              <w:end w:w="90" w:type="dxa"/>
            </w:tcMar>
            <w:vAlign w:val="top"/>
            <w:shd w:fill="15384A" w:val="clear"/>
          </w:tcPr>
          <w:p>
            <w:pPr>
              <w:spacing w:after="30" w:line="247" w:lineRule="auto"/>
            </w:pPr>
            <w:r>
              <w:rPr>
                <w:b/>
                <w:color w:val="FFFFFF"/>
                <w:sz w:val="18"/>
              </w:rPr>
              <w:t>Requested virtual disks</w:t>
            </w:r>
          </w:p>
        </w:tc>
      </w:tr>
      <w:tr>
        <w:trPr>
          <w:cantSplit/>
        </w:trPr>
        <w:tc>
          <w:tcPr>
            <w:tcW w:type="dxa" w:w="4464"/>
            <w:tcMar>
              <w:top w:w="85" w:type="dxa"/>
              <w:bottom w:w="85" w:type="dxa"/>
              <w:start w:w="90" w:type="dxa"/>
              <w:end w:w="90" w:type="dxa"/>
            </w:tcMar>
            <w:vAlign w:val="top"/>
          </w:tcPr>
          <w:p>
            <w:pPr>
              <w:spacing w:after="30" w:line="247" w:lineRule="auto"/>
            </w:pPr>
            <w:r>
              <w:rPr>
                <w:b w:val="0"/>
                <w:sz w:val="18"/>
              </w:rPr>
              <w:t>Four permanent endpoints</w:t>
            </w:r>
          </w:p>
        </w:tc>
        <w:tc>
          <w:tcPr>
            <w:tcW w:type="dxa" w:w="1181"/>
            <w:tcMar>
              <w:top w:w="85" w:type="dxa"/>
              <w:bottom w:w="85" w:type="dxa"/>
              <w:start w:w="90" w:type="dxa"/>
              <w:end w:w="90" w:type="dxa"/>
            </w:tcMar>
            <w:vAlign w:val="top"/>
          </w:tcPr>
          <w:p>
            <w:pPr>
              <w:spacing w:after="30" w:line="247" w:lineRule="auto"/>
            </w:pPr>
            <w:r>
              <w:rPr>
                <w:b w:val="0"/>
                <w:sz w:val="18"/>
              </w:rPr>
              <w:t>8</w:t>
            </w:r>
          </w:p>
        </w:tc>
        <w:tc>
          <w:tcPr>
            <w:tcW w:type="dxa" w:w="2146"/>
            <w:tcMar>
              <w:top w:w="85" w:type="dxa"/>
              <w:bottom w:w="85" w:type="dxa"/>
              <w:start w:w="90" w:type="dxa"/>
              <w:end w:w="90" w:type="dxa"/>
            </w:tcMar>
            <w:vAlign w:val="top"/>
          </w:tcPr>
          <w:p>
            <w:pPr>
              <w:spacing w:after="30" w:line="247" w:lineRule="auto"/>
            </w:pPr>
            <w:r>
              <w:rPr>
                <w:b w:val="0"/>
                <w:sz w:val="18"/>
              </w:rPr>
              <w:t>16 GiB</w:t>
            </w:r>
          </w:p>
        </w:tc>
        <w:tc>
          <w:tcPr>
            <w:tcW w:type="dxa" w:w="2491"/>
            <w:tcMar>
              <w:top w:w="85" w:type="dxa"/>
              <w:bottom w:w="85" w:type="dxa"/>
              <w:start w:w="90" w:type="dxa"/>
              <w:end w:w="90" w:type="dxa"/>
            </w:tcMar>
            <w:vAlign w:val="top"/>
          </w:tcPr>
          <w:p>
            <w:pPr>
              <w:spacing w:after="30" w:line="247" w:lineRule="auto"/>
            </w:pPr>
            <w:r>
              <w:rPr>
                <w:b w:val="0"/>
                <w:sz w:val="18"/>
              </w:rPr>
              <w:t>320 GiB</w:t>
            </w:r>
          </w:p>
        </w:tc>
      </w:tr>
      <w:tr>
        <w:trPr>
          <w:cantSplit/>
        </w:trPr>
        <w:tc>
          <w:tcPr>
            <w:tcW w:type="dxa" w:w="4464"/>
            <w:tcMar>
              <w:top w:w="85" w:type="dxa"/>
              <w:bottom w:w="85" w:type="dxa"/>
              <w:start w:w="90" w:type="dxa"/>
              <w:end w:w="90" w:type="dxa"/>
            </w:tcMar>
            <w:vAlign w:val="top"/>
            <w:shd w:fill="EEF5F7" w:val="clear"/>
          </w:tcPr>
          <w:p>
            <w:pPr>
              <w:spacing w:after="30" w:line="247" w:lineRule="auto"/>
            </w:pPr>
            <w:r>
              <w:rPr>
                <w:b w:val="0"/>
                <w:sz w:val="18"/>
              </w:rPr>
              <w:t>One sequential temporary probe</w:t>
            </w:r>
          </w:p>
        </w:tc>
        <w:tc>
          <w:tcPr>
            <w:tcW w:type="dxa" w:w="1181"/>
            <w:tcMar>
              <w:top w:w="85" w:type="dxa"/>
              <w:bottom w:w="85" w:type="dxa"/>
              <w:start w:w="90" w:type="dxa"/>
              <w:end w:w="90" w:type="dxa"/>
            </w:tcMar>
            <w:vAlign w:val="top"/>
            <w:shd w:fill="EEF5F7" w:val="clear"/>
          </w:tcPr>
          <w:p>
            <w:pPr>
              <w:spacing w:after="30" w:line="247" w:lineRule="auto"/>
            </w:pPr>
            <w:r>
              <w:rPr>
                <w:b w:val="0"/>
                <w:sz w:val="18"/>
              </w:rPr>
              <w:t>2</w:t>
            </w:r>
          </w:p>
        </w:tc>
        <w:tc>
          <w:tcPr>
            <w:tcW w:type="dxa" w:w="2146"/>
            <w:tcMar>
              <w:top w:w="85" w:type="dxa"/>
              <w:bottom w:w="85" w:type="dxa"/>
              <w:start w:w="90" w:type="dxa"/>
              <w:end w:w="90" w:type="dxa"/>
            </w:tcMar>
            <w:vAlign w:val="top"/>
            <w:shd w:fill="EEF5F7" w:val="clear"/>
          </w:tcPr>
          <w:p>
            <w:pPr>
              <w:spacing w:after="30" w:line="247" w:lineRule="auto"/>
            </w:pPr>
            <w:r>
              <w:rPr>
                <w:b w:val="0"/>
                <w:sz w:val="18"/>
              </w:rPr>
              <w:t>4 GiB</w:t>
            </w:r>
          </w:p>
        </w:tc>
        <w:tc>
          <w:tcPr>
            <w:tcW w:type="dxa" w:w="2491"/>
            <w:tcMar>
              <w:top w:w="85" w:type="dxa"/>
              <w:bottom w:w="85" w:type="dxa"/>
              <w:start w:w="90" w:type="dxa"/>
              <w:end w:w="90" w:type="dxa"/>
            </w:tcMar>
            <w:vAlign w:val="top"/>
            <w:shd w:fill="EEF5F7" w:val="clear"/>
          </w:tcPr>
          <w:p>
            <w:pPr>
              <w:spacing w:after="30" w:line="247" w:lineRule="auto"/>
            </w:pPr>
            <w:r>
              <w:rPr>
                <w:b w:val="0"/>
                <w:sz w:val="18"/>
              </w:rPr>
              <w:t>80 GiB</w:t>
            </w:r>
          </w:p>
        </w:tc>
      </w:tr>
      <w:tr>
        <w:trPr>
          <w:cantSplit/>
        </w:trPr>
        <w:tc>
          <w:tcPr>
            <w:tcW w:type="dxa" w:w="4464"/>
            <w:tcMar>
              <w:top w:w="85" w:type="dxa"/>
              <w:bottom w:w="85" w:type="dxa"/>
              <w:start w:w="90" w:type="dxa"/>
              <w:end w:w="90" w:type="dxa"/>
            </w:tcMar>
            <w:vAlign w:val="top"/>
          </w:tcPr>
          <w:p>
            <w:pPr>
              <w:spacing w:after="30" w:line="247" w:lineRule="auto"/>
            </w:pPr>
            <w:r>
              <w:rPr>
                <w:b w:val="0"/>
                <w:sz w:val="18"/>
              </w:rPr>
              <w:t>Sequential test peak</w:t>
            </w:r>
          </w:p>
        </w:tc>
        <w:tc>
          <w:tcPr>
            <w:tcW w:type="dxa" w:w="1181"/>
            <w:tcMar>
              <w:top w:w="85" w:type="dxa"/>
              <w:bottom w:w="85" w:type="dxa"/>
              <w:start w:w="90" w:type="dxa"/>
              <w:end w:w="90" w:type="dxa"/>
            </w:tcMar>
            <w:vAlign w:val="top"/>
          </w:tcPr>
          <w:p>
            <w:pPr>
              <w:spacing w:after="30" w:line="247" w:lineRule="auto"/>
            </w:pPr>
            <w:r>
              <w:rPr>
                <w:b w:val="0"/>
                <w:sz w:val="18"/>
              </w:rPr>
              <w:t>10</w:t>
            </w:r>
          </w:p>
        </w:tc>
        <w:tc>
          <w:tcPr>
            <w:tcW w:type="dxa" w:w="2146"/>
            <w:tcMar>
              <w:top w:w="85" w:type="dxa"/>
              <w:bottom w:w="85" w:type="dxa"/>
              <w:start w:w="90" w:type="dxa"/>
              <w:end w:w="90" w:type="dxa"/>
            </w:tcMar>
            <w:vAlign w:val="top"/>
          </w:tcPr>
          <w:p>
            <w:pPr>
              <w:spacing w:after="30" w:line="247" w:lineRule="auto"/>
            </w:pPr>
            <w:r>
              <w:rPr>
                <w:b w:val="0"/>
                <w:sz w:val="18"/>
              </w:rPr>
              <w:t>20 GiB</w:t>
            </w:r>
          </w:p>
        </w:tc>
        <w:tc>
          <w:tcPr>
            <w:tcW w:type="dxa" w:w="2491"/>
            <w:tcMar>
              <w:top w:w="85" w:type="dxa"/>
              <w:bottom w:w="85" w:type="dxa"/>
              <w:start w:w="90" w:type="dxa"/>
              <w:end w:w="90" w:type="dxa"/>
            </w:tcMar>
            <w:vAlign w:val="top"/>
          </w:tcPr>
          <w:p>
            <w:pPr>
              <w:spacing w:after="30" w:line="247" w:lineRule="auto"/>
            </w:pPr>
            <w:r>
              <w:rPr>
                <w:b w:val="0"/>
                <w:sz w:val="18"/>
              </w:rPr>
              <w:t>400 GiB</w:t>
            </w:r>
          </w:p>
        </w:tc>
      </w:tr>
      <w:tr>
        <w:trPr>
          <w:cantSplit/>
        </w:trPr>
        <w:tc>
          <w:tcPr>
            <w:tcW w:type="dxa" w:w="4464"/>
            <w:tcMar>
              <w:top w:w="85" w:type="dxa"/>
              <w:bottom w:w="85" w:type="dxa"/>
              <w:start w:w="90" w:type="dxa"/>
              <w:end w:w="90" w:type="dxa"/>
            </w:tcMar>
            <w:vAlign w:val="top"/>
            <w:shd w:fill="EEF5F7" w:val="clear"/>
          </w:tcPr>
          <w:p>
            <w:pPr>
              <w:spacing w:after="30" w:line="247" w:lineRule="auto"/>
            </w:pPr>
            <w:r>
              <w:rPr>
                <w:b w:val="0"/>
                <w:sz w:val="18"/>
              </w:rPr>
              <w:t>Alternative: four simultaneous probes</w:t>
            </w:r>
          </w:p>
        </w:tc>
        <w:tc>
          <w:tcPr>
            <w:tcW w:type="dxa" w:w="1181"/>
            <w:tcMar>
              <w:top w:w="85" w:type="dxa"/>
              <w:bottom w:w="85" w:type="dxa"/>
              <w:start w:w="90" w:type="dxa"/>
              <w:end w:w="90" w:type="dxa"/>
            </w:tcMar>
            <w:vAlign w:val="top"/>
            <w:shd w:fill="EEF5F7" w:val="clear"/>
          </w:tcPr>
          <w:p>
            <w:pPr>
              <w:spacing w:after="30" w:line="247" w:lineRule="auto"/>
            </w:pPr>
            <w:r>
              <w:rPr>
                <w:b w:val="0"/>
                <w:sz w:val="18"/>
              </w:rPr>
              <w:t>8 additional</w:t>
            </w:r>
          </w:p>
        </w:tc>
        <w:tc>
          <w:tcPr>
            <w:tcW w:type="dxa" w:w="2146"/>
            <w:tcMar>
              <w:top w:w="85" w:type="dxa"/>
              <w:bottom w:w="85" w:type="dxa"/>
              <w:start w:w="90" w:type="dxa"/>
              <w:end w:w="90" w:type="dxa"/>
            </w:tcMar>
            <w:vAlign w:val="top"/>
            <w:shd w:fill="EEF5F7" w:val="clear"/>
          </w:tcPr>
          <w:p>
            <w:pPr>
              <w:spacing w:after="30" w:line="247" w:lineRule="auto"/>
            </w:pPr>
            <w:r>
              <w:rPr>
                <w:b w:val="0"/>
                <w:sz w:val="18"/>
              </w:rPr>
              <w:t>16 GiB additional</w:t>
            </w:r>
          </w:p>
        </w:tc>
        <w:tc>
          <w:tcPr>
            <w:tcW w:type="dxa" w:w="2491"/>
            <w:tcMar>
              <w:top w:w="85" w:type="dxa"/>
              <w:bottom w:w="85" w:type="dxa"/>
              <w:start w:w="90" w:type="dxa"/>
              <w:end w:w="90" w:type="dxa"/>
            </w:tcMar>
            <w:vAlign w:val="top"/>
            <w:shd w:fill="EEF5F7" w:val="clear"/>
          </w:tcPr>
          <w:p>
            <w:pPr>
              <w:spacing w:after="30" w:line="247" w:lineRule="auto"/>
            </w:pPr>
            <w:r>
              <w:rPr>
                <w:b w:val="0"/>
                <w:sz w:val="18"/>
              </w:rPr>
              <w:t>320 GiB additional</w:t>
            </w:r>
          </w:p>
        </w:tc>
      </w:tr>
      <w:tr>
        <w:trPr>
          <w:cantSplit/>
        </w:trPr>
        <w:tc>
          <w:tcPr>
            <w:tcW w:type="dxa" w:w="4464"/>
            <w:tcMar>
              <w:top w:w="85" w:type="dxa"/>
              <w:bottom w:w="85" w:type="dxa"/>
              <w:start w:w="90" w:type="dxa"/>
              <w:end w:w="90" w:type="dxa"/>
            </w:tcMar>
            <w:vAlign w:val="top"/>
          </w:tcPr>
          <w:p>
            <w:pPr>
              <w:spacing w:after="30" w:line="247" w:lineRule="auto"/>
            </w:pPr>
            <w:r>
              <w:rPr>
                <w:b w:val="0"/>
                <w:sz w:val="18"/>
              </w:rPr>
              <w:t>Simultaneous test peak</w:t>
            </w:r>
          </w:p>
        </w:tc>
        <w:tc>
          <w:tcPr>
            <w:tcW w:type="dxa" w:w="1181"/>
            <w:tcMar>
              <w:top w:w="85" w:type="dxa"/>
              <w:bottom w:w="85" w:type="dxa"/>
              <w:start w:w="90" w:type="dxa"/>
              <w:end w:w="90" w:type="dxa"/>
            </w:tcMar>
            <w:vAlign w:val="top"/>
          </w:tcPr>
          <w:p>
            <w:pPr>
              <w:spacing w:after="30" w:line="247" w:lineRule="auto"/>
            </w:pPr>
            <w:r>
              <w:rPr>
                <w:b w:val="0"/>
                <w:sz w:val="18"/>
              </w:rPr>
              <w:t>16</w:t>
            </w:r>
          </w:p>
        </w:tc>
        <w:tc>
          <w:tcPr>
            <w:tcW w:type="dxa" w:w="2146"/>
            <w:tcMar>
              <w:top w:w="85" w:type="dxa"/>
              <w:bottom w:w="85" w:type="dxa"/>
              <w:start w:w="90" w:type="dxa"/>
              <w:end w:w="90" w:type="dxa"/>
            </w:tcMar>
            <w:vAlign w:val="top"/>
          </w:tcPr>
          <w:p>
            <w:pPr>
              <w:spacing w:after="30" w:line="247" w:lineRule="auto"/>
            </w:pPr>
            <w:r>
              <w:rPr>
                <w:b w:val="0"/>
                <w:sz w:val="18"/>
              </w:rPr>
              <w:t>32 GiB</w:t>
            </w:r>
          </w:p>
        </w:tc>
        <w:tc>
          <w:tcPr>
            <w:tcW w:type="dxa" w:w="2491"/>
            <w:tcMar>
              <w:top w:w="85" w:type="dxa"/>
              <w:bottom w:w="85" w:type="dxa"/>
              <w:start w:w="90" w:type="dxa"/>
              <w:end w:w="90" w:type="dxa"/>
            </w:tcMar>
            <w:vAlign w:val="top"/>
          </w:tcPr>
          <w:p>
            <w:pPr>
              <w:spacing w:after="30" w:line="247" w:lineRule="auto"/>
            </w:pPr>
            <w:r>
              <w:rPr>
                <w:b w:val="0"/>
                <w:sz w:val="18"/>
              </w:rPr>
              <w:t>640 GiB</w:t>
            </w:r>
          </w:p>
        </w:tc>
      </w:tr>
    </w:tbl>
    <w:p>
      <w:pPr>
        <w:spacing w:after="0" w:before="0" w:line="120"/>
      </w:pPr>
    </w:p>
    <w:p>
      <w:r>
        <w:t>The permanent and sequential peak totals are inherited from WD. The simultaneous alternative is a local calculation using the same 2-vCPU, 4-GiB, 80-GiB probe assumption for each domain. Neither case represents host sizing, physical storage consumption or a delivered service guarantee. Platform controllers, edges, service appliances, replicas, backups and failure reserve are additional.</w:t>
      </w:r>
    </w:p>
    <w:p>
      <w:r>
        <w:t>For sequential testing, instantiate or reassign the probe only through the supported controlled lifecycle, one domain at a time. Before moving it, remove old credentials, identities, policy and data; verify no stale attachment remains. Never attach one unrestricted probe simultaneously to independent domains. Simultaneous testing needs separately scoped probes and its own capacity reservation.</w:t>
      </w:r>
    </w:p>
    <w:p>
      <w:r>
        <w:t>Same-host coverage is applicable only where the adopted sharing and placement permit both test endpoints on that host. Cross-host coverage requires actual placement evidence, not an assumed scheduler choice. Record temporary resources in inventory and verify their cleanup after the campaign.</w:t>
      </w:r>
    </w:p>
    <w:p>
      <w:pPr>
        <w:keepLines/>
        <w:spacing w:before="120"/>
        <w:shd w:fill="EEF5F7" w:val="clear"/>
        <w:pBdr>
          <w:left w:val="single" w:sz="12" w:space="8" w:color="0B6B70"/>
        </w:pBdr>
      </w:pPr>
      <w:r>
        <w:rPr>
          <w:b/>
        </w:rPr>
        <w:t>Healthy-control prerequisite: prove the actual source, destination service and permitted path work before interpreting a denied probe. A dead endpoint produces a blocked test, not isolation evidence.</w:t>
      </w:r>
    </w:p>
    <w:p>
      <w:pPr>
        <w:pStyle w:val="Caption"/>
      </w:pPr>
      <w:r>
        <w:t xml:space="preserve">Continue with: </w:t>
      </w:r>
      <w:hyperlink r:id="rId19">
        <w:r>
          <w:rPr>
            <w:color w:val="0B6B70"/>
            <w:u w:val="single"/>
          </w:rPr>
          <w:t>QCP §3</w:t>
        </w:r>
      </w:hyperlink>
      <w:r>
        <w:t xml:space="preserve">  •  </w:t>
      </w:r>
      <w:hyperlink r:id="rId20">
        <w:r>
          <w:rPr>
            <w:color w:val="0B6B70"/>
            <w:u w:val="single"/>
          </w:rPr>
          <w:t>QCP §6</w:t>
        </w:r>
      </w:hyperlink>
    </w:p>
    <w:p>
      <w:r>
        <w:br w:type="page"/>
      </w:r>
    </w:p>
    <w:p>
      <w:pPr>
        <w:pStyle w:val="Heading1"/>
      </w:pPr>
      <w:r>
        <w:t>3. Observe network paths and boundary enforcement</w:t>
      </w:r>
      <w:bookmarkStart w:id="124" w:name="QCP_03"/>
      <w:bookmarkEnd w:id="124"/>
    </w:p>
    <w:p>
      <w:r>
        <w:t>These four cards are controlled observations against the approved fixture. Bind native resource identities and actual configuration before execution.</w:t>
      </w:r>
    </w:p>
    <w:p>
      <w:pPr>
        <w:pStyle w:val="Caption"/>
      </w:pPr>
      <w:r>
        <w:t xml:space="preserve">Design basis and related records: </w:t>
      </w:r>
      <w:hyperlink r:id="rId21">
        <w:r>
          <w:rPr>
            <w:color w:val="0B6B70"/>
            <w:u w:val="single"/>
          </w:rPr>
          <w:t>NBD §2</w:t>
        </w:r>
      </w:hyperlink>
      <w:r>
        <w:t xml:space="preserve">  •  </w:t>
      </w:r>
      <w:hyperlink r:id="rId22">
        <w:r>
          <w:rPr>
            <w:color w:val="0B6B70"/>
            <w:u w:val="single"/>
          </w:rPr>
          <w:t>NBD §3</w:t>
        </w:r>
      </w:hyperlink>
      <w:r>
        <w:t xml:space="preserve">  •  </w:t>
      </w:r>
      <w:hyperlink r:id="rId23">
        <w:r>
          <w:rPr>
            <w:color w:val="0B6B70"/>
            <w:u w:val="single"/>
          </w:rPr>
          <w:t>NET §3</w:t>
        </w:r>
      </w:hyperlink>
    </w:p>
    <w:tbl>
      <w:tblPr>
        <w:tblW w:type="auto" w:w="0"/>
        <w:jc w:val="center"/>
        <w:tblLayout w:type="fixed"/>
        <w:tblLook w:firstColumn="1" w:firstRow="1" w:lastColumn="0" w:lastRow="0" w:noHBand="0" w:noVBand="1" w:val="04A0"/>
      </w:tblPr>
      <w:tblGrid>
        <w:gridCol w:w="2160"/>
        <w:gridCol w:w="4205"/>
        <w:gridCol w:w="3917"/>
      </w:tblGrid>
      <w:tr>
        <w:trPr>
          <w:tblHeader/>
        </w:trPr>
        <w:tc>
          <w:tcPr>
            <w:tcW w:type="dxa" w:w="2160"/>
            <w:tcMar>
              <w:top w:w="85" w:type="dxa"/>
              <w:bottom w:w="85" w:type="dxa"/>
              <w:start w:w="90" w:type="dxa"/>
              <w:end w:w="90" w:type="dxa"/>
            </w:tcMar>
            <w:vAlign w:val="top"/>
            <w:shd w:fill="15384A" w:val="clear"/>
          </w:tcPr>
          <w:p>
            <w:pPr>
              <w:spacing w:after="30" w:line="247" w:lineRule="auto"/>
            </w:pPr>
            <w:r>
              <w:rPr>
                <w:b/>
                <w:color w:val="FFFFFF"/>
                <w:sz w:val="18"/>
              </w:rPr>
              <w:t>Card / existing tests</w:t>
            </w:r>
          </w:p>
        </w:tc>
        <w:tc>
          <w:tcPr>
            <w:tcW w:type="dxa" w:w="4205"/>
            <w:tcMar>
              <w:top w:w="85" w:type="dxa"/>
              <w:bottom w:w="85" w:type="dxa"/>
              <w:start w:w="90" w:type="dxa"/>
              <w:end w:w="90" w:type="dxa"/>
            </w:tcMar>
            <w:vAlign w:val="top"/>
            <w:shd w:fill="15384A" w:val="clear"/>
          </w:tcPr>
          <w:p>
            <w:pPr>
              <w:spacing w:after="30" w:line="247" w:lineRule="auto"/>
            </w:pPr>
            <w:r>
              <w:rPr>
                <w:b/>
                <w:color w:val="FFFFFF"/>
                <w:sz w:val="18"/>
              </w:rPr>
              <w:t>Procedure and healthy control</w:t>
            </w:r>
          </w:p>
        </w:tc>
        <w:tc>
          <w:tcPr>
            <w:tcW w:type="dxa" w:w="3917"/>
            <w:tcMar>
              <w:top w:w="85" w:type="dxa"/>
              <w:bottom w:w="85" w:type="dxa"/>
              <w:start w:w="90" w:type="dxa"/>
              <w:end w:w="90" w:type="dxa"/>
            </w:tcMar>
            <w:vAlign w:val="top"/>
            <w:shd w:fill="15384A" w:val="clear"/>
          </w:tcPr>
          <w:p>
            <w:pPr>
              <w:spacing w:after="30" w:line="247" w:lineRule="auto"/>
            </w:pPr>
            <w:r>
              <w:rPr>
                <w:b/>
                <w:color w:val="FFFFFF"/>
                <w:sz w:val="18"/>
              </w:rPr>
              <w:t>Expected result / required artifact</w:t>
            </w:r>
          </w:p>
        </w:tc>
      </w:tr>
      <w:tr>
        <w:trPr>
          <w:cantSplit/>
        </w:trPr>
        <w:tc>
          <w:tcPr>
            <w:tcW w:type="dxa" w:w="2160"/>
            <w:tcMar>
              <w:top w:w="85" w:type="dxa"/>
              <w:bottom w:w="85" w:type="dxa"/>
              <w:start w:w="90" w:type="dxa"/>
              <w:end w:w="90" w:type="dxa"/>
            </w:tcMar>
            <w:vAlign w:val="top"/>
          </w:tcPr>
          <w:p>
            <w:pPr>
              <w:spacing w:after="30" w:line="247" w:lineRule="auto"/>
            </w:pPr>
            <w:r>
              <w:rPr>
                <w:b w:val="0"/>
                <w:sz w:val="18"/>
              </w:rPr>
              <w:t>Q11-01: approved path and reply</w:t>
              <w:br/>
              <w:t>CT-003, CT-007, CT-024</w:t>
            </w:r>
          </w:p>
        </w:tc>
        <w:tc>
          <w:tcPr>
            <w:tcW w:type="dxa" w:w="4205"/>
            <w:tcMar>
              <w:top w:w="85" w:type="dxa"/>
              <w:bottom w:w="85" w:type="dxa"/>
              <w:start w:w="90" w:type="dxa"/>
              <w:end w:w="90" w:type="dxa"/>
            </w:tcMar>
            <w:vAlign w:val="top"/>
          </w:tcPr>
          <w:p>
            <w:pPr>
              <w:spacing w:after="30" w:line="247" w:lineRule="auto"/>
            </w:pPr>
            <w:r>
              <w:rPr>
                <w:b w:val="0"/>
                <w:sz w:val="18"/>
              </w:rPr>
              <w:t>Verify both endpoints; exercise F14-01. Locate the effective forward and reply path at native gateways and EC-01. Try a separately scoped reverse initiation.</w:t>
            </w:r>
          </w:p>
        </w:tc>
        <w:tc>
          <w:tcPr>
            <w:tcW w:type="dxa" w:w="3917"/>
            <w:tcMar>
              <w:top w:w="85" w:type="dxa"/>
              <w:bottom w:w="85" w:type="dxa"/>
              <w:start w:w="90" w:type="dxa"/>
              <w:end w:w="90" w:type="dxa"/>
            </w:tcMar>
            <w:vAlign w:val="top"/>
          </w:tcPr>
          <w:p>
            <w:pPr>
              <w:spacing w:after="30" w:line="247" w:lineRule="auto"/>
            </w:pPr>
            <w:r>
              <w:rPr>
                <w:b w:val="0"/>
                <w:sz w:val="18"/>
              </w:rPr>
              <w:t>Declared TCP/443 operation and reply work; unapproved new reverse initiation is denied. Retain path/rule/session evidence, not only an application success.</w:t>
            </w:r>
          </w:p>
        </w:tc>
      </w:tr>
      <w:tr>
        <w:trPr>
          <w:cantSplit/>
        </w:trPr>
        <w:tc>
          <w:tcPr>
            <w:tcW w:type="dxa" w:w="2160"/>
            <w:tcMar>
              <w:top w:w="85" w:type="dxa"/>
              <w:bottom w:w="85" w:type="dxa"/>
              <w:start w:w="90" w:type="dxa"/>
              <w:end w:w="90" w:type="dxa"/>
            </w:tcMar>
            <w:vAlign w:val="top"/>
            <w:shd w:fill="EEF5F7" w:val="clear"/>
          </w:tcPr>
          <w:p>
            <w:pPr>
              <w:spacing w:after="30" w:line="247" w:lineRule="auto"/>
            </w:pPr>
            <w:r>
              <w:rPr>
                <w:b w:val="0"/>
                <w:sz w:val="18"/>
              </w:rPr>
              <w:t>Q11-02: tenant isolation</w:t>
              <w:br/>
              <w:t>CT-001, CT-002</w:t>
            </w:r>
          </w:p>
        </w:tc>
        <w:tc>
          <w:tcPr>
            <w:tcW w:type="dxa" w:w="4205"/>
            <w:tcMar>
              <w:top w:w="85" w:type="dxa"/>
              <w:bottom w:w="85" w:type="dxa"/>
              <w:start w:w="90" w:type="dxa"/>
              <w:end w:w="90" w:type="dxa"/>
            </w:tcMar>
            <w:vAlign w:val="top"/>
            <w:shd w:fill="EEF5F7" w:val="clear"/>
          </w:tcPr>
          <w:p>
            <w:pPr>
              <w:spacing w:after="30" w:line="247" w:lineRule="auto"/>
            </w:pPr>
            <w:r>
              <w:rPr>
                <w:b w:val="0"/>
                <w:sz w:val="18"/>
              </w:rPr>
              <w:t>Prove each tenant’s local approved service. Observe bounded disallowed cross-tenant attempts in both directions and each offered family.</w:t>
            </w:r>
          </w:p>
        </w:tc>
        <w:tc>
          <w:tcPr>
            <w:tcW w:type="dxa" w:w="3917"/>
            <w:tcMar>
              <w:top w:w="85" w:type="dxa"/>
              <w:bottom w:w="85" w:type="dxa"/>
              <w:start w:w="90" w:type="dxa"/>
              <w:end w:w="90" w:type="dxa"/>
            </w:tcMar>
            <w:vAlign w:val="top"/>
            <w:shd w:fill="EEF5F7" w:val="clear"/>
          </w:tcPr>
          <w:p>
            <w:pPr>
              <w:spacing w:after="30" w:line="247" w:lineRule="auto"/>
            </w:pPr>
            <w:r>
              <w:rPr>
                <w:b w:val="0"/>
                <w:sz w:val="18"/>
              </w:rPr>
              <w:t>No unauthorized communication. Record endpoints, intended control, actual routing/policy and attributable denials. Unhealthy controls block the result.</w:t>
            </w:r>
          </w:p>
        </w:tc>
      </w:tr>
      <w:tr>
        <w:trPr>
          <w:cantSplit/>
        </w:trPr>
        <w:tc>
          <w:tcPr>
            <w:tcW w:type="dxa" w:w="2160"/>
            <w:tcMar>
              <w:top w:w="85" w:type="dxa"/>
              <w:bottom w:w="85" w:type="dxa"/>
              <w:start w:w="90" w:type="dxa"/>
              <w:end w:w="90" w:type="dxa"/>
            </w:tcMar>
            <w:vAlign w:val="top"/>
          </w:tcPr>
          <w:p>
            <w:pPr>
              <w:spacing w:after="30" w:line="247" w:lineRule="auto"/>
            </w:pPr>
            <w:r>
              <w:rPr>
                <w:b w:val="0"/>
                <w:sz w:val="18"/>
              </w:rPr>
              <w:t>Q11-03: same-domain policy</w:t>
              <w:br/>
              <w:t>CT-021, CT-022</w:t>
            </w:r>
          </w:p>
        </w:tc>
        <w:tc>
          <w:tcPr>
            <w:tcW w:type="dxa" w:w="4205"/>
            <w:tcMar>
              <w:top w:w="85" w:type="dxa"/>
              <w:bottom w:w="85" w:type="dxa"/>
              <w:start w:w="90" w:type="dxa"/>
              <w:end w:w="90" w:type="dxa"/>
            </w:tcMar>
            <w:vAlign w:val="top"/>
          </w:tcPr>
          <w:p>
            <w:pPr>
              <w:spacing w:after="30" w:line="247" w:lineRule="auto"/>
            </w:pPr>
            <w:r>
              <w:rPr>
                <w:b w:val="0"/>
                <w:sz w:val="18"/>
              </w:rPr>
              <w:t>Place the temporary probe in one approved domain; verify same-host/cross-host cases where applicable. Compare approved and unapproved communication.</w:t>
            </w:r>
          </w:p>
        </w:tc>
        <w:tc>
          <w:tcPr>
            <w:tcW w:type="dxa" w:w="3917"/>
            <w:tcMar>
              <w:top w:w="85" w:type="dxa"/>
              <w:bottom w:w="85" w:type="dxa"/>
              <w:start w:w="90" w:type="dxa"/>
              <w:end w:w="90" w:type="dxa"/>
            </w:tcMar>
            <w:vAlign w:val="top"/>
          </w:tcPr>
          <w:p>
            <w:pPr>
              <w:spacing w:after="30" w:line="247" w:lineRule="auto"/>
            </w:pPr>
            <w:r>
              <w:rPr>
                <w:b w:val="0"/>
                <w:sz w:val="18"/>
              </w:rPr>
              <w:t>Mandatory policy applies without requiring a physical gateway hop. Retain placement and enforcement evidence and the probe cleanup receipt.</w:t>
            </w:r>
          </w:p>
        </w:tc>
      </w:tr>
      <w:tr>
        <w:trPr>
          <w:cantSplit/>
        </w:trPr>
        <w:tc>
          <w:tcPr>
            <w:tcW w:type="dxa" w:w="2160"/>
            <w:tcMar>
              <w:top w:w="85" w:type="dxa"/>
              <w:bottom w:w="85" w:type="dxa"/>
              <w:start w:w="90" w:type="dxa"/>
              <w:end w:w="90" w:type="dxa"/>
            </w:tcMar>
            <w:vAlign w:val="top"/>
            <w:shd w:fill="EEF5F7" w:val="clear"/>
          </w:tcPr>
          <w:p>
            <w:pPr>
              <w:spacing w:after="30" w:line="247" w:lineRule="auto"/>
            </w:pPr>
            <w:r>
              <w:rPr>
                <w:b w:val="0"/>
                <w:sz w:val="18"/>
              </w:rPr>
              <w:t>Q11-04: shared-service return</w:t>
              <w:br/>
              <w:t>CT-008, CT-023, CT-024</w:t>
            </w:r>
          </w:p>
        </w:tc>
        <w:tc>
          <w:tcPr>
            <w:tcW w:type="dxa" w:w="4205"/>
            <w:tcMar>
              <w:top w:w="85" w:type="dxa"/>
              <w:bottom w:w="85" w:type="dxa"/>
              <w:start w:w="90" w:type="dxa"/>
              <w:end w:w="90" w:type="dxa"/>
            </w:tcMar>
            <w:vAlign w:val="top"/>
            <w:shd w:fill="EEF5F7" w:val="clear"/>
          </w:tcPr>
          <w:p>
            <w:pPr>
              <w:spacing w:after="30" w:line="247" w:lineRule="auto"/>
            </w:pPr>
            <w:r>
              <w:rPr>
                <w:b w:val="0"/>
                <w:sz w:val="18"/>
              </w:rPr>
              <w:t>Exercise the same resolver from both tenants. Trace each reply through its own SE/EC chain; check unbound service/admin targets and alternative connected paths.</w:t>
            </w:r>
          </w:p>
        </w:tc>
        <w:tc>
          <w:tcPr>
            <w:tcW w:type="dxa" w:w="3917"/>
            <w:tcMar>
              <w:top w:w="85" w:type="dxa"/>
              <w:bottom w:w="85" w:type="dxa"/>
              <w:start w:w="90" w:type="dxa"/>
              <w:end w:w="90" w:type="dxa"/>
            </w:tcMar>
            <w:vAlign w:val="top"/>
            <w:shd w:fill="EEF5F7" w:val="clear"/>
          </w:tcPr>
          <w:p>
            <w:pPr>
              <w:spacing w:after="30" w:line="247" w:lineRule="auto"/>
            </w:pPr>
            <w:r>
              <w:rPr>
                <w:b w:val="0"/>
                <w:sz w:val="18"/>
              </w:rPr>
              <w:t>Only entitled service use and origin-specific replies succeed. Retain service-side and edge observations; a shared endpoint is not tenant transit.</w:t>
            </w:r>
          </w:p>
        </w:tc>
      </w:tr>
    </w:tbl>
    <w:p>
      <w:pPr>
        <w:spacing w:after="0" w:before="0" w:line="120"/>
      </w:pPr>
    </w:p>
    <w:p>
      <w:r>
        <w:t>Inspect both configured and effective forwarding. A flow seen at the intended ZIP proves that flow’s observation point; it does not alone eliminate another native path. Include connected routes, summaries, alternate interfaces, NAT/PBR and failure next hops that could change enforcement.</w:t>
      </w:r>
    </w:p>
    <w:p>
      <w:r>
        <w:t>Every card records separate security and service outcomes. Unauthorized reachability fails the security assertion. An allowed connection that cannot operate fails its service assertion or is blocked by failed preconditions. Neither result is rescued by a successful Terraform run.</w:t>
      </w:r>
    </w:p>
    <w:p>
      <w:pPr>
        <w:pStyle w:val="Caption"/>
      </w:pPr>
      <w:r>
        <w:t xml:space="preserve">Continue with: </w:t>
      </w:r>
      <w:hyperlink r:id="rId20">
        <w:r>
          <w:rPr>
            <w:color w:val="0B6B70"/>
            <w:u w:val="single"/>
          </w:rPr>
          <w:t>QCP §6</w:t>
        </w:r>
      </w:hyperlink>
      <w:r>
        <w:t xml:space="preserve">  •  </w:t>
      </w:r>
      <w:hyperlink r:id="rId24">
        <w:r>
          <w:rPr>
            <w:color w:val="0B6B70"/>
            <w:u w:val="single"/>
          </w:rPr>
          <w:t>IT §4</w:t>
        </w:r>
      </w:hyperlink>
    </w:p>
    <w:p>
      <w:r>
        <w:br w:type="page"/>
      </w:r>
    </w:p>
    <w:p>
      <w:pPr>
        <w:pStyle w:val="Heading1"/>
      </w:pPr>
      <w:r>
        <w:t>4. Observe identity, storage and protocol completeness</w:t>
      </w:r>
      <w:bookmarkStart w:id="125" w:name="QCP_04"/>
      <w:bookmarkEnd w:id="125"/>
    </w:p>
    <w:p>
      <w:r>
        <w:t>Test the actual native principal and data scope. A request made with administrator credentials is not evidence that a delegated tenant is restricted.</w:t>
      </w:r>
    </w:p>
    <w:p>
      <w:pPr>
        <w:pStyle w:val="Caption"/>
      </w:pPr>
      <w:r>
        <w:t xml:space="preserve">Design basis and related records: </w:t>
      </w:r>
      <w:hyperlink r:id="rId25">
        <w:r>
          <w:rPr>
            <w:color w:val="0B6B70"/>
            <w:u w:val="single"/>
          </w:rPr>
          <w:t>PBS §7</w:t>
        </w:r>
      </w:hyperlink>
      <w:r>
        <w:t xml:space="preserve">  •  </w:t>
      </w:r>
      <w:hyperlink r:id="rId26">
        <w:r>
          <w:rPr>
            <w:color w:val="0B6B70"/>
            <w:u w:val="single"/>
          </w:rPr>
          <w:t>SVC §3</w:t>
        </w:r>
      </w:hyperlink>
      <w:r>
        <w:t xml:space="preserve">  •  </w:t>
      </w:r>
      <w:hyperlink r:id="rId27">
        <w:r>
          <w:rPr>
            <w:color w:val="0B6B70"/>
            <w:u w:val="single"/>
          </w:rPr>
          <w:t>SVC §4</w:t>
        </w:r>
      </w:hyperlink>
      <w:r>
        <w:t xml:space="preserve">  •  </w:t>
      </w:r>
      <w:hyperlink r:id="rId28">
        <w:r>
          <w:rPr>
            <w:color w:val="0B6B70"/>
            <w:u w:val="single"/>
          </w:rPr>
          <w:t>IK §5</w:t>
        </w:r>
      </w:hyperlink>
    </w:p>
    <w:tbl>
      <w:tblPr>
        <w:tblW w:type="auto" w:w="0"/>
        <w:jc w:val="center"/>
        <w:tblLayout w:type="fixed"/>
        <w:tblLook w:firstColumn="1" w:firstRow="1" w:lastColumn="0" w:lastRow="0" w:noHBand="0" w:noVBand="1" w:val="04A0"/>
      </w:tblPr>
      <w:tblGrid>
        <w:gridCol w:w="2246"/>
        <w:gridCol w:w="4118"/>
        <w:gridCol w:w="3917"/>
      </w:tblGrid>
      <w:tr>
        <w:trPr>
          <w:tblHeader/>
        </w:trPr>
        <w:tc>
          <w:tcPr>
            <w:tcW w:type="dxa" w:w="2246"/>
            <w:tcMar>
              <w:top w:w="85" w:type="dxa"/>
              <w:bottom w:w="85" w:type="dxa"/>
              <w:start w:w="90" w:type="dxa"/>
              <w:end w:w="90" w:type="dxa"/>
            </w:tcMar>
            <w:vAlign w:val="top"/>
            <w:shd w:fill="15384A" w:val="clear"/>
          </w:tcPr>
          <w:p>
            <w:pPr>
              <w:spacing w:after="30" w:line="247" w:lineRule="auto"/>
            </w:pPr>
            <w:r>
              <w:rPr>
                <w:b/>
                <w:color w:val="FFFFFF"/>
                <w:sz w:val="18"/>
              </w:rPr>
              <w:t>Card / existing tests</w:t>
            </w:r>
          </w:p>
        </w:tc>
        <w:tc>
          <w:tcPr>
            <w:tcW w:type="dxa" w:w="4118"/>
            <w:tcMar>
              <w:top w:w="85" w:type="dxa"/>
              <w:bottom w:w="85" w:type="dxa"/>
              <w:start w:w="90" w:type="dxa"/>
              <w:end w:w="90" w:type="dxa"/>
            </w:tcMar>
            <w:vAlign w:val="top"/>
            <w:shd w:fill="15384A" w:val="clear"/>
          </w:tcPr>
          <w:p>
            <w:pPr>
              <w:spacing w:after="30" w:line="247" w:lineRule="auto"/>
            </w:pPr>
            <w:r>
              <w:rPr>
                <w:b/>
                <w:color w:val="FFFFFF"/>
                <w:sz w:val="18"/>
              </w:rPr>
              <w:t>Procedure and healthy control</w:t>
            </w:r>
          </w:p>
        </w:tc>
        <w:tc>
          <w:tcPr>
            <w:tcW w:type="dxa" w:w="3917"/>
            <w:tcMar>
              <w:top w:w="85" w:type="dxa"/>
              <w:bottom w:w="85" w:type="dxa"/>
              <w:start w:w="90" w:type="dxa"/>
              <w:end w:w="90" w:type="dxa"/>
            </w:tcMar>
            <w:vAlign w:val="top"/>
            <w:shd w:fill="15384A" w:val="clear"/>
          </w:tcPr>
          <w:p>
            <w:pPr>
              <w:spacing w:after="30" w:line="247" w:lineRule="auto"/>
            </w:pPr>
            <w:r>
              <w:rPr>
                <w:b/>
                <w:color w:val="FFFFFF"/>
                <w:sz w:val="18"/>
              </w:rPr>
              <w:t>Expected result / required artifact</w:t>
            </w:r>
          </w:p>
        </w:tc>
      </w:tr>
      <w:tr>
        <w:trPr>
          <w:cantSplit/>
        </w:trPr>
        <w:tc>
          <w:tcPr>
            <w:tcW w:type="dxa" w:w="2246"/>
            <w:tcMar>
              <w:top w:w="85" w:type="dxa"/>
              <w:bottom w:w="85" w:type="dxa"/>
              <w:start w:w="90" w:type="dxa"/>
              <w:end w:w="90" w:type="dxa"/>
            </w:tcMar>
            <w:vAlign w:val="top"/>
          </w:tcPr>
          <w:p>
            <w:pPr>
              <w:spacing w:after="30" w:line="247" w:lineRule="auto"/>
            </w:pPr>
            <w:r>
              <w:rPr>
                <w:b w:val="0"/>
                <w:sz w:val="18"/>
              </w:rPr>
              <w:t>Q11-05: mandatory mutation authority</w:t>
              <w:br/>
              <w:t>CT-019, CT-020, CT-022, CT-066</w:t>
            </w:r>
          </w:p>
        </w:tc>
        <w:tc>
          <w:tcPr>
            <w:tcW w:type="dxa" w:w="4118"/>
            <w:tcMar>
              <w:top w:w="85" w:type="dxa"/>
              <w:bottom w:w="85" w:type="dxa"/>
              <w:start w:w="90" w:type="dxa"/>
              <w:end w:w="90" w:type="dxa"/>
            </w:tcMar>
            <w:vAlign w:val="top"/>
          </w:tcPr>
          <w:p>
            <w:pPr>
              <w:spacing w:after="30" w:line="247" w:lineRule="auto"/>
            </w:pPr>
            <w:r>
              <w:rPr>
                <w:b w:val="0"/>
                <w:sz w:val="18"/>
              </w:rPr>
              <w:t>With the actual tenant role, request forbidden baseline/group/port/external changes. Separately perform one approved workload operation.</w:t>
            </w:r>
          </w:p>
        </w:tc>
        <w:tc>
          <w:tcPr>
            <w:tcW w:type="dxa" w:w="3917"/>
            <w:tcMar>
              <w:top w:w="85" w:type="dxa"/>
              <w:bottom w:w="85" w:type="dxa"/>
              <w:start w:w="90" w:type="dxa"/>
              <w:end w:w="90" w:type="dxa"/>
            </w:tcMar>
            <w:vAlign w:val="top"/>
          </w:tcPr>
          <w:p>
            <w:pPr>
              <w:spacing w:after="30" w:line="247" w:lineRule="auto"/>
            </w:pPr>
            <w:r>
              <w:rPr>
                <w:b w:val="0"/>
                <w:sz w:val="18"/>
              </w:rPr>
              <w:t>Forbidden native mutations fail; entitled operation works. Record principal, target, operation and effective permission without storing secrets.</w:t>
            </w:r>
          </w:p>
        </w:tc>
      </w:tr>
      <w:tr>
        <w:trPr>
          <w:cantSplit/>
        </w:trPr>
        <w:tc>
          <w:tcPr>
            <w:tcW w:type="dxa" w:w="2246"/>
            <w:tcMar>
              <w:top w:w="85" w:type="dxa"/>
              <w:bottom w:w="85" w:type="dxa"/>
              <w:start w:w="90" w:type="dxa"/>
              <w:end w:w="90" w:type="dxa"/>
            </w:tcMar>
            <w:vAlign w:val="top"/>
            <w:shd w:fill="EEF5F7" w:val="clear"/>
          </w:tcPr>
          <w:p>
            <w:pPr>
              <w:spacing w:after="30" w:line="247" w:lineRule="auto"/>
            </w:pPr>
            <w:r>
              <w:rPr>
                <w:b w:val="0"/>
                <w:sz w:val="18"/>
              </w:rPr>
              <w:t>Q11-06: data attachment and copy scope</w:t>
              <w:br/>
              <w:t>CT-037, CT-078</w:t>
            </w:r>
          </w:p>
        </w:tc>
        <w:tc>
          <w:tcPr>
            <w:tcW w:type="dxa" w:w="4118"/>
            <w:tcMar>
              <w:top w:w="85" w:type="dxa"/>
              <w:bottom w:w="85" w:type="dxa"/>
              <w:start w:w="90" w:type="dxa"/>
              <w:end w:w="90" w:type="dxa"/>
            </w:tcMar>
            <w:vAlign w:val="top"/>
            <w:shd w:fill="EEF5F7" w:val="clear"/>
          </w:tcPr>
          <w:p>
            <w:pPr>
              <w:spacing w:after="30" w:line="247" w:lineRule="auto"/>
            </w:pPr>
            <w:r>
              <w:rPr>
                <w:b w:val="0"/>
                <w:sz w:val="18"/>
              </w:rPr>
              <w:t>Create disposable owned data and a known integrity marker. Test authorized access and bounded foreign attachment/clone/export attempts.</w:t>
            </w:r>
          </w:p>
        </w:tc>
        <w:tc>
          <w:tcPr>
            <w:tcW w:type="dxa" w:w="3917"/>
            <w:tcMar>
              <w:top w:w="85" w:type="dxa"/>
              <w:bottom w:w="85" w:type="dxa"/>
              <w:start w:w="90" w:type="dxa"/>
              <w:end w:w="90" w:type="dxa"/>
            </w:tcMar>
            <w:vAlign w:val="top"/>
            <w:shd w:fill="EEF5F7" w:val="clear"/>
          </w:tcPr>
          <w:p>
            <w:pPr>
              <w:spacing w:after="30" w:line="247" w:lineRule="auto"/>
            </w:pPr>
            <w:r>
              <w:rPr>
                <w:b w:val="0"/>
                <w:sz w:val="18"/>
              </w:rPr>
              <w:t>Owned access works; unauthorized data or lower-scope copy access fails. Retain data-service decisions, copy lineage and cleanup.</w:t>
            </w:r>
          </w:p>
        </w:tc>
      </w:tr>
      <w:tr>
        <w:trPr>
          <w:cantSplit/>
        </w:trPr>
        <w:tc>
          <w:tcPr>
            <w:tcW w:type="dxa" w:w="2246"/>
            <w:tcMar>
              <w:top w:w="85" w:type="dxa"/>
              <w:bottom w:w="85" w:type="dxa"/>
              <w:start w:w="90" w:type="dxa"/>
              <w:end w:w="90" w:type="dxa"/>
            </w:tcMar>
            <w:vAlign w:val="top"/>
          </w:tcPr>
          <w:p>
            <w:pPr>
              <w:spacing w:after="30" w:line="247" w:lineRule="auto"/>
            </w:pPr>
            <w:r>
              <w:rPr>
                <w:b w:val="0"/>
                <w:sz w:val="18"/>
              </w:rPr>
              <w:t>Q11-07: identity and key lifecycle</w:t>
              <w:br/>
              <w:t>CT-028, CT-038, CT-079</w:t>
            </w:r>
          </w:p>
        </w:tc>
        <w:tc>
          <w:tcPr>
            <w:tcW w:type="dxa" w:w="4118"/>
            <w:tcMar>
              <w:top w:w="85" w:type="dxa"/>
              <w:bottom w:w="85" w:type="dxa"/>
              <w:start w:w="90" w:type="dxa"/>
              <w:end w:w="90" w:type="dxa"/>
            </w:tcMar>
            <w:vAlign w:val="top"/>
          </w:tcPr>
          <w:p>
            <w:pPr>
              <w:spacing w:after="30" w:line="247" w:lineRule="auto"/>
            </w:pPr>
            <w:r>
              <w:rPr>
                <w:b w:val="0"/>
                <w:sz w:val="18"/>
              </w:rPr>
              <w:t>Use disposable credentials/key material in an approved scope. Observe valid use, rotation/revocation and denied foreign or revoked use.</w:t>
            </w:r>
          </w:p>
        </w:tc>
        <w:tc>
          <w:tcPr>
            <w:tcW w:type="dxa" w:w="3917"/>
            <w:tcMar>
              <w:top w:w="85" w:type="dxa"/>
              <w:bottom w:w="85" w:type="dxa"/>
              <w:start w:w="90" w:type="dxa"/>
              <w:end w:w="90" w:type="dxa"/>
            </w:tcMar>
            <w:vAlign w:val="top"/>
          </w:tcPr>
          <w:p>
            <w:pPr>
              <w:spacing w:after="30" w:line="247" w:lineRule="auto"/>
            </w:pPr>
            <w:r>
              <w:rPr>
                <w:b w:val="0"/>
                <w:sz w:val="18"/>
              </w:rPr>
              <w:t>Required use remains attributable; old authority expires as designed. Retain issuer/service logs and timestamps; no plaintext fallback.</w:t>
            </w:r>
          </w:p>
        </w:tc>
      </w:tr>
      <w:tr>
        <w:trPr>
          <w:cantSplit/>
        </w:trPr>
        <w:tc>
          <w:tcPr>
            <w:tcW w:type="dxa" w:w="2246"/>
            <w:tcMar>
              <w:top w:w="85" w:type="dxa"/>
              <w:bottom w:w="85" w:type="dxa"/>
              <w:start w:w="90" w:type="dxa"/>
              <w:end w:w="90" w:type="dxa"/>
            </w:tcMar>
            <w:vAlign w:val="top"/>
            <w:shd w:fill="EEF5F7" w:val="clear"/>
          </w:tcPr>
          <w:p>
            <w:pPr>
              <w:spacing w:after="30" w:line="247" w:lineRule="auto"/>
            </w:pPr>
            <w:r>
              <w:rPr>
                <w:b w:val="0"/>
                <w:sz w:val="18"/>
              </w:rPr>
              <w:t>Q11-08: service protocols and MTU</w:t>
              <w:br/>
              <w:t>CT-008, CT-030, CT-031, CT-032</w:t>
            </w:r>
          </w:p>
        </w:tc>
        <w:tc>
          <w:tcPr>
            <w:tcW w:type="dxa" w:w="4118"/>
            <w:tcMar>
              <w:top w:w="85" w:type="dxa"/>
              <w:bottom w:w="85" w:type="dxa"/>
              <w:start w:w="90" w:type="dxa"/>
              <w:end w:w="90" w:type="dxa"/>
            </w:tcMar>
            <w:vAlign w:val="top"/>
            <w:shd w:fill="EEF5F7" w:val="clear"/>
          </w:tcPr>
          <w:p>
            <w:pPr>
              <w:spacing w:after="30" w:line="247" w:lineRule="auto"/>
            </w:pPr>
            <w:r>
              <w:rPr>
                <w:b w:val="0"/>
                <w:sz w:val="18"/>
              </w:rPr>
              <w:t>Exercise DNS UDP/TCP and controlled fallback; check authorized resolver only. Test actual workload packet budget, PMTU and offered families end to end.</w:t>
            </w:r>
          </w:p>
        </w:tc>
        <w:tc>
          <w:tcPr>
            <w:tcW w:type="dxa" w:w="3917"/>
            <w:tcMar>
              <w:top w:w="85" w:type="dxa"/>
              <w:bottom w:w="85" w:type="dxa"/>
              <w:start w:w="90" w:type="dxa"/>
              <w:end w:w="90" w:type="dxa"/>
            </w:tcMar>
            <w:vAlign w:val="top"/>
            <w:shd w:fill="EEF5F7" w:val="clear"/>
          </w:tcPr>
          <w:p>
            <w:pPr>
              <w:spacing w:after="30" w:line="247" w:lineRule="auto"/>
            </w:pPr>
            <w:r>
              <w:rPr>
                <w:b w:val="0"/>
                <w:sz w:val="18"/>
              </w:rPr>
              <w:t>Necessary protocol behaviour works without broad egress or alternate-path bypass. Retain family/path matrix, packet budget and observed outcomes.</w:t>
            </w:r>
          </w:p>
        </w:tc>
      </w:tr>
    </w:tbl>
    <w:p>
      <w:pPr>
        <w:spacing w:after="0" w:before="0" w:line="120"/>
      </w:pPr>
    </w:p>
    <w:p>
      <w:r>
        <w:t>For block storage, identify whether the operation is hypervisor-mediated or guest-initiated. Do not assume a guest firewall denied a virtual-disk attachment that never used the guest NIC. For keys, distinguish the actual host, storage service or workload client from the administrator who manages key lifecycle.</w:t>
      </w:r>
    </w:p>
    <w:p>
      <w:r>
        <w:t>These observations elaborate the inherited test methods. Apply current source and approved site protocol profiles through engineering; do not infer that an “encrypted” flag proves endpoint identity, current cryptographic suitability or successful retained-data recovery.</w:t>
      </w:r>
    </w:p>
    <w:p>
      <w:pPr>
        <w:pStyle w:val="Caption"/>
      </w:pPr>
      <w:r>
        <w:t xml:space="preserve">Continue with: </w:t>
      </w:r>
      <w:hyperlink r:id="rId29">
        <w:r>
          <w:rPr>
            <w:color w:val="0B6B70"/>
            <w:u w:val="single"/>
          </w:rPr>
          <w:t>OPS §4</w:t>
        </w:r>
      </w:hyperlink>
      <w:r>
        <w:t xml:space="preserve">  •  </w:t>
      </w:r>
      <w:hyperlink r:id="rId24">
        <w:r>
          <w:rPr>
            <w:color w:val="0B6B70"/>
            <w:u w:val="single"/>
          </w:rPr>
          <w:t>IT §4</w:t>
        </w:r>
      </w:hyperlink>
    </w:p>
    <w:p>
      <w:r>
        <w:br w:type="page"/>
      </w:r>
    </w:p>
    <w:p>
      <w:pPr>
        <w:pStyle w:val="Heading1"/>
      </w:pPr>
      <w:r>
        <w:t>5. Separate safe failure, service continuity and recovery</w:t>
      </w:r>
      <w:bookmarkStart w:id="126" w:name="QCP_05"/>
      <w:bookmarkEnd w:id="126"/>
    </w:p>
    <w:p>
      <w:r>
        <w:t>Authorize the fault scope, workload limit and restoration plan before using these cards. Do not perform intrusive tests against unrelated production tenants.</w:t>
      </w:r>
    </w:p>
    <w:p>
      <w:pPr>
        <w:pStyle w:val="Caption"/>
      </w:pPr>
      <w:r>
        <w:t xml:space="preserve">Design basis and related records: </w:t>
      </w:r>
      <w:hyperlink r:id="rId30">
        <w:r>
          <w:rPr>
            <w:color w:val="0B6B70"/>
            <w:u w:val="single"/>
          </w:rPr>
          <w:t>NBD §7</w:t>
        </w:r>
      </w:hyperlink>
      <w:r>
        <w:t xml:space="preserve">  •  </w:t>
      </w:r>
      <w:hyperlink r:id="rId11">
        <w:r>
          <w:rPr>
            <w:color w:val="0B6B70"/>
            <w:u w:val="single"/>
          </w:rPr>
          <w:t>QUAL §5</w:t>
        </w:r>
      </w:hyperlink>
      <w:r>
        <w:t xml:space="preserve">  •  </w:t>
      </w:r>
      <w:hyperlink r:id="rId31">
        <w:r>
          <w:rPr>
            <w:color w:val="0B6B70"/>
            <w:u w:val="single"/>
          </w:rPr>
          <w:t>OPS §2</w:t>
        </w:r>
      </w:hyperlink>
    </w:p>
    <w:tbl>
      <w:tblPr>
        <w:tblW w:type="auto" w:w="0"/>
        <w:jc w:val="center"/>
        <w:tblLayout w:type="fixed"/>
        <w:tblLook w:firstColumn="1" w:firstRow="1" w:lastColumn="0" w:lastRow="0" w:noHBand="0" w:noVBand="1" w:val="04A0"/>
      </w:tblPr>
      <w:tblGrid>
        <w:gridCol w:w="2203"/>
        <w:gridCol w:w="4248"/>
        <w:gridCol w:w="3830"/>
      </w:tblGrid>
      <w:tr>
        <w:trPr>
          <w:tblHeader/>
        </w:trPr>
        <w:tc>
          <w:tcPr>
            <w:tcW w:type="dxa" w:w="2203"/>
            <w:tcMar>
              <w:top w:w="85" w:type="dxa"/>
              <w:bottom w:w="85" w:type="dxa"/>
              <w:start w:w="90" w:type="dxa"/>
              <w:end w:w="90" w:type="dxa"/>
            </w:tcMar>
            <w:vAlign w:val="top"/>
            <w:shd w:fill="15384A" w:val="clear"/>
          </w:tcPr>
          <w:p>
            <w:pPr>
              <w:spacing w:after="30" w:line="247" w:lineRule="auto"/>
            </w:pPr>
            <w:r>
              <w:rPr>
                <w:b/>
                <w:color w:val="FFFFFF"/>
                <w:sz w:val="18"/>
              </w:rPr>
              <w:t>Card / existing tests</w:t>
            </w:r>
          </w:p>
        </w:tc>
        <w:tc>
          <w:tcPr>
            <w:tcW w:type="dxa" w:w="4248"/>
            <w:tcMar>
              <w:top w:w="85" w:type="dxa"/>
              <w:bottom w:w="85" w:type="dxa"/>
              <w:start w:w="90" w:type="dxa"/>
              <w:end w:w="90" w:type="dxa"/>
            </w:tcMar>
            <w:vAlign w:val="top"/>
            <w:shd w:fill="15384A" w:val="clear"/>
          </w:tcPr>
          <w:p>
            <w:pPr>
              <w:spacing w:after="30" w:line="247" w:lineRule="auto"/>
            </w:pPr>
            <w:r>
              <w:rPr>
                <w:b/>
                <w:color w:val="FFFFFF"/>
                <w:sz w:val="18"/>
              </w:rPr>
              <w:t>Controlled observation</w:t>
            </w:r>
          </w:p>
        </w:tc>
        <w:tc>
          <w:tcPr>
            <w:tcW w:type="dxa" w:w="3830"/>
            <w:tcMar>
              <w:top w:w="85" w:type="dxa"/>
              <w:bottom w:w="85" w:type="dxa"/>
              <w:start w:w="90" w:type="dxa"/>
              <w:end w:w="90" w:type="dxa"/>
            </w:tcMar>
            <w:vAlign w:val="top"/>
            <w:shd w:fill="15384A" w:val="clear"/>
          </w:tcPr>
          <w:p>
            <w:pPr>
              <w:spacing w:after="30" w:line="247" w:lineRule="auto"/>
            </w:pPr>
            <w:r>
              <w:rPr>
                <w:b/>
                <w:color w:val="FFFFFF"/>
                <w:sz w:val="18"/>
              </w:rPr>
              <w:t>Independent result dimensions</w:t>
            </w:r>
          </w:p>
        </w:tc>
      </w:tr>
      <w:tr>
        <w:trPr>
          <w:cantSplit/>
        </w:trPr>
        <w:tc>
          <w:tcPr>
            <w:tcW w:type="dxa" w:w="2203"/>
            <w:tcMar>
              <w:top w:w="85" w:type="dxa"/>
              <w:bottom w:w="85" w:type="dxa"/>
              <w:start w:w="90" w:type="dxa"/>
              <w:end w:w="90" w:type="dxa"/>
            </w:tcMar>
            <w:vAlign w:val="top"/>
          </w:tcPr>
          <w:p>
            <w:pPr>
              <w:spacing w:after="30" w:line="247" w:lineRule="auto"/>
            </w:pPr>
            <w:r>
              <w:rPr>
                <w:b w:val="0"/>
                <w:sz w:val="18"/>
              </w:rPr>
              <w:t>Q11-09: edge or link loss</w:t>
              <w:br/>
              <w:t>CT-012, CT-024, CT-034</w:t>
            </w:r>
          </w:p>
        </w:tc>
        <w:tc>
          <w:tcPr>
            <w:tcW w:type="dxa" w:w="4248"/>
            <w:tcMar>
              <w:top w:w="85" w:type="dxa"/>
              <w:bottom w:w="85" w:type="dxa"/>
              <w:start w:w="90" w:type="dxa"/>
              <w:end w:w="90" w:type="dxa"/>
            </w:tcMar>
            <w:vAlign w:val="top"/>
          </w:tcPr>
          <w:p>
            <w:pPr>
              <w:spacing w:after="30" w:line="247" w:lineRule="auto"/>
            </w:pPr>
            <w:r>
              <w:rPr>
                <w:b w:val="0"/>
                <w:sz w:val="18"/>
              </w:rPr>
              <w:t>Under approved representative load, observe the selected node/link failure and restoration using the site MOP. Capture new and established sessions.</w:t>
            </w:r>
          </w:p>
        </w:tc>
        <w:tc>
          <w:tcPr>
            <w:tcW w:type="dxa" w:w="3830"/>
            <w:tcMar>
              <w:top w:w="85" w:type="dxa"/>
              <w:bottom w:w="85" w:type="dxa"/>
              <w:start w:w="90" w:type="dxa"/>
              <w:end w:w="90" w:type="dxa"/>
            </w:tcMar>
            <w:vAlign w:val="top"/>
          </w:tcPr>
          <w:p>
            <w:pPr>
              <w:spacing w:after="30" w:line="247" w:lineRule="auto"/>
            </w:pPr>
            <w:r>
              <w:rPr>
                <w:b w:val="0"/>
                <w:sz w:val="18"/>
              </w:rPr>
              <w:t>Security: no bypass. Service: actual interruption and surviving load. Recovery: correct route/state after restoration.</w:t>
            </w:r>
          </w:p>
        </w:tc>
      </w:tr>
      <w:tr>
        <w:trPr>
          <w:cantSplit/>
        </w:trPr>
        <w:tc>
          <w:tcPr>
            <w:tcW w:type="dxa" w:w="2203"/>
            <w:tcMar>
              <w:top w:w="85" w:type="dxa"/>
              <w:bottom w:w="85" w:type="dxa"/>
              <w:start w:w="90" w:type="dxa"/>
              <w:end w:w="90" w:type="dxa"/>
            </w:tcMar>
            <w:vAlign w:val="top"/>
            <w:shd w:fill="EEF5F7" w:val="clear"/>
          </w:tcPr>
          <w:p>
            <w:pPr>
              <w:spacing w:after="30" w:line="247" w:lineRule="auto"/>
            </w:pPr>
            <w:r>
              <w:rPr>
                <w:b w:val="0"/>
                <w:sz w:val="18"/>
              </w:rPr>
              <w:t>Q11-10: dependency loss</w:t>
              <w:br/>
              <w:t>CT-011, CT-027, CT-038, CT-050, CT-055</w:t>
            </w:r>
          </w:p>
        </w:tc>
        <w:tc>
          <w:tcPr>
            <w:tcW w:type="dxa" w:w="4248"/>
            <w:tcMar>
              <w:top w:w="85" w:type="dxa"/>
              <w:bottom w:w="85" w:type="dxa"/>
              <w:start w:w="90" w:type="dxa"/>
              <w:end w:w="90" w:type="dxa"/>
            </w:tcMar>
            <w:vAlign w:val="top"/>
            <w:shd w:fill="EEF5F7" w:val="clear"/>
          </w:tcPr>
          <w:p>
            <w:pPr>
              <w:spacing w:after="30" w:line="247" w:lineRule="auto"/>
            </w:pPr>
            <w:r>
              <w:rPr>
                <w:b w:val="0"/>
                <w:sz w:val="18"/>
              </w:rPr>
              <w:t>Observe one scoped management, identity, key, logging or state dependency loss at a time; follow its accepted recovery procedure.</w:t>
            </w:r>
          </w:p>
        </w:tc>
        <w:tc>
          <w:tcPr>
            <w:tcW w:type="dxa" w:w="3830"/>
            <w:tcMar>
              <w:top w:w="85" w:type="dxa"/>
              <w:bottom w:w="85" w:type="dxa"/>
              <w:start w:w="90" w:type="dxa"/>
              <w:end w:w="90" w:type="dxa"/>
            </w:tcMar>
            <w:vAlign w:val="top"/>
            <w:shd w:fill="EEF5F7" w:val="clear"/>
          </w:tcPr>
          <w:p>
            <w:pPr>
              <w:spacing w:after="30" w:line="247" w:lineRule="auto"/>
            </w:pPr>
            <w:r>
              <w:rPr>
                <w:b w:val="0"/>
                <w:sz w:val="18"/>
              </w:rPr>
              <w:t>No fallback privilege/permit/plaintext. Existing and new operations match the documented limits. Evidence gaps and recovery time remain visible.</w:t>
            </w:r>
          </w:p>
        </w:tc>
      </w:tr>
      <w:tr>
        <w:trPr>
          <w:cantSplit/>
        </w:trPr>
        <w:tc>
          <w:tcPr>
            <w:tcW w:type="dxa" w:w="2203"/>
            <w:tcMar>
              <w:top w:w="85" w:type="dxa"/>
              <w:bottom w:w="85" w:type="dxa"/>
              <w:start w:w="90" w:type="dxa"/>
              <w:end w:w="90" w:type="dxa"/>
            </w:tcMar>
            <w:vAlign w:val="top"/>
          </w:tcPr>
          <w:p>
            <w:pPr>
              <w:spacing w:after="30" w:line="247" w:lineRule="auto"/>
            </w:pPr>
            <w:r>
              <w:rPr>
                <w:b w:val="0"/>
                <w:sz w:val="18"/>
              </w:rPr>
              <w:t>Q11-11: uncertain provisioning outcome</w:t>
              <w:br/>
              <w:t>CT-045, CT-046, CT-048</w:t>
            </w:r>
          </w:p>
        </w:tc>
        <w:tc>
          <w:tcPr>
            <w:tcW w:type="dxa" w:w="4248"/>
            <w:tcMar>
              <w:top w:w="85" w:type="dxa"/>
              <w:bottom w:w="85" w:type="dxa"/>
              <w:start w:w="90" w:type="dxa"/>
              <w:end w:w="90" w:type="dxa"/>
            </w:tcMar>
            <w:vAlign w:val="top"/>
          </w:tcPr>
          <w:p>
            <w:pPr>
              <w:spacing w:after="30" w:line="247" w:lineRule="auto"/>
            </w:pPr>
            <w:r>
              <w:rPr>
                <w:b w:val="0"/>
                <w:sz w:val="18"/>
              </w:rPr>
              <w:t>In a disposable scope, interrupt a response or executor at an approved point. Freeze competing writes; discover actual native tasks and resources before recovery.</w:t>
            </w:r>
          </w:p>
        </w:tc>
        <w:tc>
          <w:tcPr>
            <w:tcW w:type="dxa" w:w="3830"/>
            <w:tcMar>
              <w:top w:w="85" w:type="dxa"/>
              <w:bottom w:w="85" w:type="dxa"/>
              <w:start w:w="90" w:type="dxa"/>
              <w:end w:w="90" w:type="dxa"/>
            </w:tcMar>
            <w:vAlign w:val="top"/>
          </w:tcPr>
          <w:p>
            <w:pPr>
              <w:spacing w:after="30" w:line="247" w:lineRule="auto"/>
            </w:pPr>
            <w:r>
              <w:rPr>
                <w:b w:val="0"/>
                <w:sz w:val="18"/>
              </w:rPr>
              <w:t>No duplicate allocation or unsafe deletion. Denied unfinished resources remain owned. Retain task, plan, state and actual-outcome reconciliation.</w:t>
            </w:r>
          </w:p>
        </w:tc>
      </w:tr>
      <w:tr>
        <w:trPr>
          <w:cantSplit/>
        </w:trPr>
        <w:tc>
          <w:tcPr>
            <w:tcW w:type="dxa" w:w="2203"/>
            <w:tcMar>
              <w:top w:w="85" w:type="dxa"/>
              <w:bottom w:w="85" w:type="dxa"/>
              <w:start w:w="90" w:type="dxa"/>
              <w:end w:w="90" w:type="dxa"/>
            </w:tcMar>
            <w:vAlign w:val="top"/>
            <w:shd w:fill="EEF5F7" w:val="clear"/>
          </w:tcPr>
          <w:p>
            <w:pPr>
              <w:spacing w:after="30" w:line="247" w:lineRule="auto"/>
            </w:pPr>
            <w:r>
              <w:rPr>
                <w:b w:val="0"/>
                <w:sz w:val="18"/>
              </w:rPr>
              <w:t>Q11-12: isolated restore and cutover</w:t>
              <w:br/>
              <w:t>CT-052, CT-053, CT-054, CT-060</w:t>
            </w:r>
          </w:p>
        </w:tc>
        <w:tc>
          <w:tcPr>
            <w:tcW w:type="dxa" w:w="4248"/>
            <w:tcMar>
              <w:top w:w="85" w:type="dxa"/>
              <w:bottom w:w="85" w:type="dxa"/>
              <w:start w:w="90" w:type="dxa"/>
              <w:end w:w="90" w:type="dxa"/>
            </w:tcMar>
            <w:vAlign w:val="top"/>
            <w:shd w:fill="EEF5F7" w:val="clear"/>
          </w:tcPr>
          <w:p>
            <w:pPr>
              <w:spacing w:after="30" w:line="247" w:lineRule="auto"/>
            </w:pPr>
            <w:r>
              <w:rPr>
                <w:b w:val="0"/>
                <w:sz w:val="18"/>
              </w:rPr>
              <w:t>Restore a known disposable dataset and dependencies into the authorized recovery domain; validate consistency, identity/keys and paths before controlled activation.</w:t>
            </w:r>
          </w:p>
        </w:tc>
        <w:tc>
          <w:tcPr>
            <w:tcW w:type="dxa" w:w="3830"/>
            <w:tcMar>
              <w:top w:w="85" w:type="dxa"/>
              <w:bottom w:w="85" w:type="dxa"/>
              <w:start w:w="90" w:type="dxa"/>
              <w:end w:w="90" w:type="dxa"/>
            </w:tcMar>
            <w:vAlign w:val="top"/>
            <w:shd w:fill="EEF5F7" w:val="clear"/>
          </w:tcPr>
          <w:p>
            <w:pPr>
              <w:spacing w:after="30" w:line="247" w:lineRule="auto"/>
            </w:pPr>
            <w:r>
              <w:rPr>
                <w:b w:val="0"/>
                <w:sz w:val="18"/>
              </w:rPr>
              <w:t>Useful data and measured RTO/RPO; no ambiguous simultaneous writer; protection, return path and operating ownership survive cutover.</w:t>
            </w:r>
          </w:p>
        </w:tc>
      </w:tr>
    </w:tbl>
    <w:p>
      <w:pPr>
        <w:spacing w:after="0" w:before="0" w:line="120"/>
      </w:pPr>
    </w:p>
    <w:p>
      <w:r>
        <w:t>An edge can preserve security by denying traffic while failing its availability target. A backup can produce readable files while failing the required consistency point. Report these outcomes separately; do not collapse them into one green status.</w:t>
      </w:r>
    </w:p>
    <w:p>
      <w:r>
        <w:t>The safety envelope defines which failure is covered, who may stop the test, required surviving access, maximum permitted impact and restoration authority. A clean node shutdown does not represent every partition or overload; record the specific tested condition and any remaining untested scope.</w:t>
      </w:r>
    </w:p>
    <w:p>
      <w:pPr>
        <w:pStyle w:val="Caption"/>
      </w:pPr>
      <w:r>
        <w:t xml:space="preserve">Continue with: </w:t>
      </w:r>
      <w:hyperlink r:id="rId29">
        <w:r>
          <w:rPr>
            <w:color w:val="0B6B70"/>
            <w:u w:val="single"/>
          </w:rPr>
          <w:t>OPS §4</w:t>
        </w:r>
      </w:hyperlink>
      <w:r>
        <w:t xml:space="preserve">  •  </w:t>
      </w:r>
      <w:hyperlink r:id="rId32">
        <w:r>
          <w:rPr>
            <w:color w:val="0B6B70"/>
            <w:u w:val="single"/>
          </w:rPr>
          <w:t>OPS §5</w:t>
        </w:r>
      </w:hyperlink>
      <w:r>
        <w:t xml:space="preserve">  •  </w:t>
      </w:r>
      <w:hyperlink r:id="rId33">
        <w:r>
          <w:rPr>
            <w:color w:val="0B6B70"/>
            <w:u w:val="single"/>
          </w:rPr>
          <w:t>IT §5</w:t>
        </w:r>
      </w:hyperlink>
    </w:p>
    <w:p>
      <w:r>
        <w:br w:type="page"/>
      </w:r>
    </w:p>
    <w:p>
      <w:pPr>
        <w:pStyle w:val="Heading1"/>
      </w:pPr>
      <w:r>
        <w:t>6. Build an evidence packet a reviewer can challenge</w:t>
      </w:r>
      <w:bookmarkStart w:id="127" w:name="QCP_06"/>
      <w:bookmarkEnd w:id="127"/>
    </w:p>
    <w:p>
      <w:r>
        <w:t>Evidence supports an assertion only when its target, scope, time and observation method match the claim.</w:t>
      </w:r>
    </w:p>
    <w:p>
      <w:pPr>
        <w:pStyle w:val="Caption"/>
      </w:pPr>
      <w:r>
        <w:t xml:space="preserve">Design basis and related records: </w:t>
      </w:r>
      <w:hyperlink r:id="rId34">
        <w:r>
          <w:rPr>
            <w:color w:val="0B6B70"/>
            <w:u w:val="single"/>
          </w:rPr>
          <w:t>RA §28</w:t>
        </w:r>
      </w:hyperlink>
      <w:r>
        <w:t xml:space="preserve">  •  </w:t>
      </w:r>
      <w:hyperlink r:id="rId11">
        <w:r>
          <w:rPr>
            <w:color w:val="0B6B70"/>
            <w:u w:val="single"/>
          </w:rPr>
          <w:t>QUAL §5</w:t>
        </w:r>
      </w:hyperlink>
      <w:r>
        <w:t xml:space="preserve">  •  </w:t>
      </w:r>
      <w:hyperlink r:id="rId24">
        <w:r>
          <w:rPr>
            <w:color w:val="0B6B70"/>
            <w:u w:val="single"/>
          </w:rPr>
          <w:t>IT §4</w:t>
        </w:r>
      </w:hyperlink>
    </w:p>
    <w:tbl>
      <w:tblPr>
        <w:tblW w:type="auto" w:w="0"/>
        <w:jc w:val="center"/>
        <w:tblLayout w:type="fixed"/>
        <w:tblLook w:firstColumn="1" w:firstRow="1" w:lastColumn="0" w:lastRow="0" w:noHBand="0" w:noVBand="1" w:val="04A0"/>
      </w:tblPr>
      <w:tblGrid>
        <w:gridCol w:w="2074"/>
        <w:gridCol w:w="4450"/>
        <w:gridCol w:w="3758"/>
      </w:tblGrid>
      <w:tr>
        <w:trPr>
          <w:tblHeader/>
        </w:trPr>
        <w:tc>
          <w:tcPr>
            <w:tcW w:type="dxa" w:w="2074"/>
            <w:tcMar>
              <w:top w:w="85" w:type="dxa"/>
              <w:bottom w:w="85" w:type="dxa"/>
              <w:start w:w="90" w:type="dxa"/>
              <w:end w:w="90" w:type="dxa"/>
            </w:tcMar>
            <w:vAlign w:val="top"/>
            <w:shd w:fill="15384A" w:val="clear"/>
          </w:tcPr>
          <w:p>
            <w:pPr>
              <w:spacing w:after="30" w:line="247" w:lineRule="auto"/>
            </w:pPr>
            <w:r>
              <w:rPr>
                <w:b/>
                <w:color w:val="FFFFFF"/>
                <w:sz w:val="18"/>
              </w:rPr>
              <w:t>Record area</w:t>
            </w:r>
          </w:p>
        </w:tc>
        <w:tc>
          <w:tcPr>
            <w:tcW w:type="dxa" w:w="4450"/>
            <w:tcMar>
              <w:top w:w="85" w:type="dxa"/>
              <w:bottom w:w="85" w:type="dxa"/>
              <w:start w:w="90" w:type="dxa"/>
              <w:end w:w="90" w:type="dxa"/>
            </w:tcMar>
            <w:vAlign w:val="top"/>
            <w:shd w:fill="15384A" w:val="clear"/>
          </w:tcPr>
          <w:p>
            <w:pPr>
              <w:spacing w:after="30" w:line="247" w:lineRule="auto"/>
            </w:pPr>
            <w:r>
              <w:rPr>
                <w:b/>
                <w:color w:val="FFFFFF"/>
                <w:sz w:val="18"/>
              </w:rPr>
              <w:t>Minimum content</w:t>
            </w:r>
          </w:p>
        </w:tc>
        <w:tc>
          <w:tcPr>
            <w:tcW w:type="dxa" w:w="3758"/>
            <w:tcMar>
              <w:top w:w="85" w:type="dxa"/>
              <w:bottom w:w="85" w:type="dxa"/>
              <w:start w:w="90" w:type="dxa"/>
              <w:end w:w="90" w:type="dxa"/>
            </w:tcMar>
            <w:vAlign w:val="top"/>
            <w:shd w:fill="15384A" w:val="clear"/>
          </w:tcPr>
          <w:p>
            <w:pPr>
              <w:spacing w:after="30" w:line="247" w:lineRule="auto"/>
            </w:pPr>
            <w:r>
              <w:rPr>
                <w:b/>
                <w:color w:val="FFFFFF"/>
                <w:sz w:val="18"/>
              </w:rPr>
              <w:t>Review rejection example</w:t>
            </w:r>
          </w:p>
        </w:tc>
      </w:tr>
      <w:tr>
        <w:trPr>
          <w:cantSplit/>
        </w:trPr>
        <w:tc>
          <w:tcPr>
            <w:tcW w:type="dxa" w:w="2074"/>
            <w:tcMar>
              <w:top w:w="85" w:type="dxa"/>
              <w:bottom w:w="85" w:type="dxa"/>
              <w:start w:w="90" w:type="dxa"/>
              <w:end w:w="90" w:type="dxa"/>
            </w:tcMar>
            <w:vAlign w:val="top"/>
          </w:tcPr>
          <w:p>
            <w:pPr>
              <w:spacing w:after="30" w:line="247" w:lineRule="auto"/>
            </w:pPr>
            <w:r>
              <w:rPr>
                <w:b w:val="0"/>
                <w:sz w:val="18"/>
              </w:rPr>
              <w:t>Identity and scope</w:t>
            </w:r>
          </w:p>
        </w:tc>
        <w:tc>
          <w:tcPr>
            <w:tcW w:type="dxa" w:w="4450"/>
            <w:tcMar>
              <w:top w:w="85" w:type="dxa"/>
              <w:bottom w:w="85" w:type="dxa"/>
              <w:start w:w="90" w:type="dxa"/>
              <w:end w:w="90" w:type="dxa"/>
            </w:tcMar>
            <w:vAlign w:val="top"/>
          </w:tcPr>
          <w:p>
            <w:pPr>
              <w:spacing w:after="30" w:line="247" w:lineRule="auto"/>
            </w:pPr>
            <w:r>
              <w:rPr>
                <w:b w:val="0"/>
                <w:sz w:val="18"/>
              </w:rPr>
              <w:t>Case/assertion, actual tenant/domain/resource, topology and component/API/provider revision.</w:t>
            </w:r>
          </w:p>
        </w:tc>
        <w:tc>
          <w:tcPr>
            <w:tcW w:type="dxa" w:w="3758"/>
            <w:tcMar>
              <w:top w:w="85" w:type="dxa"/>
              <w:bottom w:w="85" w:type="dxa"/>
              <w:start w:w="90" w:type="dxa"/>
              <w:end w:w="90" w:type="dxa"/>
            </w:tcMar>
            <w:vAlign w:val="top"/>
          </w:tcPr>
          <w:p>
            <w:pPr>
              <w:spacing w:after="30" w:line="247" w:lineRule="auto"/>
            </w:pPr>
            <w:r>
              <w:rPr>
                <w:b w:val="0"/>
                <w:sz w:val="18"/>
              </w:rPr>
              <w:t>A passing result refers to yesterday’s gateway or another service class.</w:t>
            </w:r>
          </w:p>
        </w:tc>
      </w:tr>
      <w:tr>
        <w:trPr>
          <w:cantSplit/>
        </w:trPr>
        <w:tc>
          <w:tcPr>
            <w:tcW w:type="dxa" w:w="2074"/>
            <w:tcMar>
              <w:top w:w="85" w:type="dxa"/>
              <w:bottom w:w="85" w:type="dxa"/>
              <w:start w:w="90" w:type="dxa"/>
              <w:end w:w="90" w:type="dxa"/>
            </w:tcMar>
            <w:vAlign w:val="top"/>
            <w:shd w:fill="EEF5F7" w:val="clear"/>
          </w:tcPr>
          <w:p>
            <w:pPr>
              <w:spacing w:after="30" w:line="247" w:lineRule="auto"/>
            </w:pPr>
            <w:r>
              <w:rPr>
                <w:b w:val="0"/>
                <w:sz w:val="18"/>
              </w:rPr>
              <w:t>Preconditions</w:t>
            </w:r>
          </w:p>
        </w:tc>
        <w:tc>
          <w:tcPr>
            <w:tcW w:type="dxa" w:w="4450"/>
            <w:tcMar>
              <w:top w:w="85" w:type="dxa"/>
              <w:bottom w:w="85" w:type="dxa"/>
              <w:start w:w="90" w:type="dxa"/>
              <w:end w:w="90" w:type="dxa"/>
            </w:tcMar>
            <w:vAlign w:val="top"/>
            <w:shd w:fill="EEF5F7" w:val="clear"/>
          </w:tcPr>
          <w:p>
            <w:pPr>
              <w:spacing w:after="30" w:line="247" w:lineRule="auto"/>
            </w:pPr>
            <w:r>
              <w:rPr>
                <w:b w:val="0"/>
                <w:sz w:val="18"/>
              </w:rPr>
              <w:t>Healthy allowed controls, actual placement, required services, load and authorized test scope.</w:t>
            </w:r>
          </w:p>
        </w:tc>
        <w:tc>
          <w:tcPr>
            <w:tcW w:type="dxa" w:w="3758"/>
            <w:tcMar>
              <w:top w:w="85" w:type="dxa"/>
              <w:bottom w:w="85" w:type="dxa"/>
              <w:start w:w="90" w:type="dxa"/>
              <w:end w:w="90" w:type="dxa"/>
            </w:tcMar>
            <w:vAlign w:val="top"/>
            <w:shd w:fill="EEF5F7" w:val="clear"/>
          </w:tcPr>
          <w:p>
            <w:pPr>
              <w:spacing w:after="30" w:line="247" w:lineRule="auto"/>
            </w:pPr>
            <w:r>
              <w:rPr>
                <w:b w:val="0"/>
                <w:sz w:val="18"/>
              </w:rPr>
              <w:t>A timeout is labelled isolation success while the target service is stopped.</w:t>
            </w:r>
          </w:p>
        </w:tc>
      </w:tr>
      <w:tr>
        <w:trPr>
          <w:cantSplit/>
        </w:trPr>
        <w:tc>
          <w:tcPr>
            <w:tcW w:type="dxa" w:w="2074"/>
            <w:tcMar>
              <w:top w:w="85" w:type="dxa"/>
              <w:bottom w:w="85" w:type="dxa"/>
              <w:start w:w="90" w:type="dxa"/>
              <w:end w:w="90" w:type="dxa"/>
            </w:tcMar>
            <w:vAlign w:val="top"/>
          </w:tcPr>
          <w:p>
            <w:pPr>
              <w:spacing w:after="30" w:line="247" w:lineRule="auto"/>
            </w:pPr>
            <w:r>
              <w:rPr>
                <w:b w:val="0"/>
                <w:sz w:val="18"/>
              </w:rPr>
              <w:t>Observation</w:t>
            </w:r>
          </w:p>
        </w:tc>
        <w:tc>
          <w:tcPr>
            <w:tcW w:type="dxa" w:w="4450"/>
            <w:tcMar>
              <w:top w:w="85" w:type="dxa"/>
              <w:bottom w:w="85" w:type="dxa"/>
              <w:start w:w="90" w:type="dxa"/>
              <w:end w:w="90" w:type="dxa"/>
            </w:tcMar>
            <w:vAlign w:val="top"/>
          </w:tcPr>
          <w:p>
            <w:pPr>
              <w:spacing w:after="30" w:line="247" w:lineRule="auto"/>
            </w:pPr>
            <w:r>
              <w:rPr>
                <w:b w:val="0"/>
                <w:sz w:val="18"/>
              </w:rPr>
              <w:t>Actual requests/results, native policy/path decisions, timestamps and relevant dependency state.</w:t>
            </w:r>
          </w:p>
        </w:tc>
        <w:tc>
          <w:tcPr>
            <w:tcW w:type="dxa" w:w="3758"/>
            <w:tcMar>
              <w:top w:w="85" w:type="dxa"/>
              <w:bottom w:w="85" w:type="dxa"/>
              <w:start w:w="90" w:type="dxa"/>
              <w:end w:w="90" w:type="dxa"/>
            </w:tcMar>
            <w:vAlign w:val="top"/>
          </w:tcPr>
          <w:p>
            <w:pPr>
              <w:spacing w:after="30" w:line="247" w:lineRule="auto"/>
            </w:pPr>
            <w:r>
              <w:rPr>
                <w:b w:val="0"/>
                <w:sz w:val="18"/>
              </w:rPr>
              <w:t>Expected wording was copied into the observed-result field.</w:t>
            </w:r>
          </w:p>
        </w:tc>
      </w:tr>
      <w:tr>
        <w:trPr>
          <w:cantSplit/>
        </w:trPr>
        <w:tc>
          <w:tcPr>
            <w:tcW w:type="dxa" w:w="2074"/>
            <w:tcMar>
              <w:top w:w="85" w:type="dxa"/>
              <w:bottom w:w="85" w:type="dxa"/>
              <w:start w:w="90" w:type="dxa"/>
              <w:end w:w="90" w:type="dxa"/>
            </w:tcMar>
            <w:vAlign w:val="top"/>
            <w:shd w:fill="EEF5F7" w:val="clear"/>
          </w:tcPr>
          <w:p>
            <w:pPr>
              <w:spacing w:after="30" w:line="247" w:lineRule="auto"/>
            </w:pPr>
            <w:r>
              <w:rPr>
                <w:b w:val="0"/>
                <w:sz w:val="18"/>
              </w:rPr>
              <w:t>Artifact integrity</w:t>
            </w:r>
          </w:p>
        </w:tc>
        <w:tc>
          <w:tcPr>
            <w:tcW w:type="dxa" w:w="4450"/>
            <w:tcMar>
              <w:top w:w="85" w:type="dxa"/>
              <w:bottom w:w="85" w:type="dxa"/>
              <w:start w:w="90" w:type="dxa"/>
              <w:end w:w="90" w:type="dxa"/>
            </w:tcMar>
            <w:vAlign w:val="top"/>
            <w:shd w:fill="EEF5F7" w:val="clear"/>
          </w:tcPr>
          <w:p>
            <w:pPr>
              <w:spacing w:after="30" w:line="247" w:lineRule="auto"/>
            </w:pPr>
            <w:r>
              <w:rPr>
                <w:b w:val="0"/>
                <w:sz w:val="18"/>
              </w:rPr>
              <w:t>Protected artifact reference, collection time, integrity identifier, custodian and access scope.</w:t>
            </w:r>
          </w:p>
        </w:tc>
        <w:tc>
          <w:tcPr>
            <w:tcW w:type="dxa" w:w="3758"/>
            <w:tcMar>
              <w:top w:w="85" w:type="dxa"/>
              <w:bottom w:w="85" w:type="dxa"/>
              <w:start w:w="90" w:type="dxa"/>
              <w:end w:w="90" w:type="dxa"/>
            </w:tcMar>
            <w:vAlign w:val="top"/>
            <w:shd w:fill="EEF5F7" w:val="clear"/>
          </w:tcPr>
          <w:p>
            <w:pPr>
              <w:spacing w:after="30" w:line="247" w:lineRule="auto"/>
            </w:pPr>
            <w:r>
              <w:rPr>
                <w:b w:val="0"/>
                <w:sz w:val="18"/>
              </w:rPr>
              <w:t>A filename or signature-reference string is treated as verified authenticity.</w:t>
            </w:r>
          </w:p>
        </w:tc>
      </w:tr>
      <w:tr>
        <w:trPr>
          <w:cantSplit/>
        </w:trPr>
        <w:tc>
          <w:tcPr>
            <w:tcW w:type="dxa" w:w="2074"/>
            <w:tcMar>
              <w:top w:w="85" w:type="dxa"/>
              <w:bottom w:w="85" w:type="dxa"/>
              <w:start w:w="90" w:type="dxa"/>
              <w:end w:w="90" w:type="dxa"/>
            </w:tcMar>
            <w:vAlign w:val="top"/>
          </w:tcPr>
          <w:p>
            <w:pPr>
              <w:spacing w:after="30" w:line="247" w:lineRule="auto"/>
            </w:pPr>
            <w:r>
              <w:rPr>
                <w:b w:val="0"/>
                <w:sz w:val="18"/>
              </w:rPr>
              <w:t>Disposition</w:t>
            </w:r>
          </w:p>
        </w:tc>
        <w:tc>
          <w:tcPr>
            <w:tcW w:type="dxa" w:w="4450"/>
            <w:tcMar>
              <w:top w:w="85" w:type="dxa"/>
              <w:bottom w:w="85" w:type="dxa"/>
              <w:start w:w="90" w:type="dxa"/>
              <w:end w:w="90" w:type="dxa"/>
            </w:tcMar>
            <w:vAlign w:val="top"/>
          </w:tcPr>
          <w:p>
            <w:pPr>
              <w:spacing w:after="30" w:line="247" w:lineRule="auto"/>
            </w:pPr>
            <w:r>
              <w:rPr>
                <w:b w:val="0"/>
                <w:sz w:val="18"/>
              </w:rPr>
              <w:t>Passed, failed, blocked, not-run or approved not-applicable; reviewer, reasons and residual gaps.</w:t>
            </w:r>
          </w:p>
        </w:tc>
        <w:tc>
          <w:tcPr>
            <w:tcW w:type="dxa" w:w="3758"/>
            <w:tcMar>
              <w:top w:w="85" w:type="dxa"/>
              <w:bottom w:w="85" w:type="dxa"/>
              <w:start w:w="90" w:type="dxa"/>
              <w:end w:w="90" w:type="dxa"/>
            </w:tcMar>
            <w:vAlign w:val="top"/>
          </w:tcPr>
          <w:p>
            <w:pPr>
              <w:spacing w:after="30" w:line="247" w:lineRule="auto"/>
            </w:pPr>
            <w:r>
              <w:rPr>
                <w:b w:val="0"/>
                <w:sz w:val="18"/>
              </w:rPr>
              <w:t>Missing required evidence is reclassified as not-applicable merely to close a gate.</w:t>
            </w:r>
          </w:p>
        </w:tc>
      </w:tr>
    </w:tbl>
    <w:p>
      <w:pPr>
        <w:spacing w:after="0" w:before="0" w:line="120"/>
      </w:pPr>
    </w:p>
    <w:p>
      <w:pPr>
        <w:pStyle w:val="Heading2"/>
      </w:pPr>
      <w:r>
        <w:t>Worked review example</w:t>
      </w:r>
    </w:p>
    <w:p>
      <w:r>
        <w:t>A cross-tenant connection times out, but the same-tenant positive control also fails. The correct disposition is blocked pending a healthy control, not passed. After the endpoint is restored, repeat both observations and retain the original blocked record. A subsequent passing test is a new result; it does not rewrite what happened earlier.</w:t>
      </w:r>
    </w:p>
    <w:p>
      <w:r>
        <w:t>Evidence freshness follows material change as well as the approved interval. Recheck affected observations after routing, roles, group membership, backend, key custody or placement changes. Keep historical authorization separate from current technical status. A reviewer accepts the supported scope; software or a workbook does not issue risk authority.</w:t>
      </w:r>
    </w:p>
    <w:p>
      <w:pPr>
        <w:pStyle w:val="Caption"/>
      </w:pPr>
      <w:r>
        <w:t xml:space="preserve">Continue with: </w:t>
      </w:r>
      <w:hyperlink r:id="rId14">
        <w:r>
          <w:rPr>
            <w:color w:val="0B6B70"/>
            <w:u w:val="single"/>
          </w:rPr>
          <w:t>QCP §8</w:t>
        </w:r>
      </w:hyperlink>
      <w:r>
        <w:t xml:space="preserve">  •  </w:t>
      </w:r>
      <w:hyperlink r:id="rId35">
        <w:r>
          <w:rPr>
            <w:color w:val="0B6B70"/>
            <w:u w:val="single"/>
          </w:rPr>
          <w:t>OPS §8</w:t>
        </w:r>
      </w:hyperlink>
    </w:p>
    <w:p>
      <w:r>
        <w:br w:type="page"/>
      </w:r>
    </w:p>
    <w:p>
      <w:pPr>
        <w:pStyle w:val="Heading1"/>
      </w:pPr>
      <w:r>
        <w:t>7. Compare vendor realizations without assuming migration</w:t>
      </w:r>
      <w:bookmarkStart w:id="128" w:name="QCP_07"/>
      <w:bookmarkEnd w:id="128"/>
    </w:p>
    <w:p>
      <w:r>
        <w:t>The architecture is portable when the required outcomes can be realized and operated on another eligible implementation. Transfer of existing data and workload state is a separate claim.</w:t>
      </w:r>
    </w:p>
    <w:p>
      <w:pPr>
        <w:pStyle w:val="Caption"/>
      </w:pPr>
      <w:r>
        <w:t xml:space="preserve">Design basis and related records: </w:t>
      </w:r>
      <w:hyperlink r:id="rId36">
        <w:r>
          <w:rPr>
            <w:color w:val="0B6B70"/>
            <w:u w:val="single"/>
          </w:rPr>
          <w:t>RA §15</w:t>
        </w:r>
      </w:hyperlink>
      <w:r>
        <w:t xml:space="preserve">  •  </w:t>
      </w:r>
      <w:hyperlink r:id="rId37">
        <w:r>
          <w:rPr>
            <w:color w:val="0B6B70"/>
            <w:u w:val="single"/>
          </w:rPr>
          <w:t>RA §27</w:t>
        </w:r>
      </w:hyperlink>
      <w:r>
        <w:t xml:space="preserve">  •  </w:t>
      </w:r>
      <w:hyperlink r:id="rId38">
        <w:r>
          <w:rPr>
            <w:color w:val="0B6B70"/>
            <w:u w:val="single"/>
          </w:rPr>
          <w:t>VC §1</w:t>
        </w:r>
      </w:hyperlink>
      <w:r>
        <w:t xml:space="preserve">  •  </w:t>
      </w:r>
      <w:hyperlink r:id="rId39">
        <w:r>
          <w:rPr>
            <w:color w:val="0B6B70"/>
            <w:u w:val="single"/>
          </w:rPr>
          <w:t>OPS §6</w:t>
        </w:r>
      </w:hyperlink>
    </w:p>
    <w:tbl>
      <w:tblPr>
        <w:tblW w:type="auto" w:w="0"/>
        <w:jc w:val="center"/>
        <w:tblLayout w:type="fixed"/>
        <w:tblLook w:firstColumn="1" w:firstRow="1" w:lastColumn="0" w:lastRow="0" w:noHBand="0" w:noVBand="1" w:val="04A0"/>
      </w:tblPr>
      <w:tblGrid>
        <w:gridCol w:w="1973"/>
        <w:gridCol w:w="4162"/>
        <w:gridCol w:w="4147"/>
      </w:tblGrid>
      <w:tr>
        <w:trPr>
          <w:tblHeader/>
        </w:trPr>
        <w:tc>
          <w:tcPr>
            <w:tcW w:type="dxa" w:w="1973"/>
            <w:tcMar>
              <w:top w:w="85" w:type="dxa"/>
              <w:bottom w:w="85" w:type="dxa"/>
              <w:start w:w="90" w:type="dxa"/>
              <w:end w:w="90" w:type="dxa"/>
            </w:tcMar>
            <w:vAlign w:val="top"/>
            <w:shd w:fill="15384A" w:val="clear"/>
          </w:tcPr>
          <w:p>
            <w:pPr>
              <w:spacing w:after="30" w:line="247" w:lineRule="auto"/>
            </w:pPr>
            <w:r>
              <w:rPr>
                <w:b/>
                <w:color w:val="FFFFFF"/>
                <w:sz w:val="18"/>
              </w:rPr>
              <w:t>Comparison dimension</w:t>
            </w:r>
          </w:p>
        </w:tc>
        <w:tc>
          <w:tcPr>
            <w:tcW w:type="dxa" w:w="4162"/>
            <w:tcMar>
              <w:top w:w="85" w:type="dxa"/>
              <w:bottom w:w="85" w:type="dxa"/>
              <w:start w:w="90" w:type="dxa"/>
              <w:end w:w="90" w:type="dxa"/>
            </w:tcMar>
            <w:vAlign w:val="top"/>
            <w:shd w:fill="15384A" w:val="clear"/>
          </w:tcPr>
          <w:p>
            <w:pPr>
              <w:spacing w:after="30" w:line="247" w:lineRule="auto"/>
            </w:pPr>
            <w:r>
              <w:rPr>
                <w:b/>
                <w:color w:val="FFFFFF"/>
                <w:sz w:val="18"/>
              </w:rPr>
              <w:t>Hold constant</w:t>
            </w:r>
          </w:p>
        </w:tc>
        <w:tc>
          <w:tcPr>
            <w:tcW w:type="dxa" w:w="4147"/>
            <w:tcMar>
              <w:top w:w="85" w:type="dxa"/>
              <w:bottom w:w="85" w:type="dxa"/>
              <w:start w:w="90" w:type="dxa"/>
              <w:end w:w="90" w:type="dxa"/>
            </w:tcMar>
            <w:vAlign w:val="top"/>
            <w:shd w:fill="15384A" w:val="clear"/>
          </w:tcPr>
          <w:p>
            <w:pPr>
              <w:spacing w:after="30" w:line="247" w:lineRule="auto"/>
            </w:pPr>
            <w:r>
              <w:rPr>
                <w:b/>
                <w:color w:val="FFFFFF"/>
                <w:sz w:val="18"/>
              </w:rPr>
              <w:t>Allow to differ and verify</w:t>
            </w:r>
          </w:p>
        </w:tc>
      </w:tr>
      <w:tr>
        <w:trPr>
          <w:cantSplit/>
        </w:trPr>
        <w:tc>
          <w:tcPr>
            <w:tcW w:type="dxa" w:w="1973"/>
            <w:tcMar>
              <w:top w:w="85" w:type="dxa"/>
              <w:bottom w:w="85" w:type="dxa"/>
              <w:start w:w="90" w:type="dxa"/>
              <w:end w:w="90" w:type="dxa"/>
            </w:tcMar>
            <w:vAlign w:val="top"/>
          </w:tcPr>
          <w:p>
            <w:pPr>
              <w:spacing w:after="30" w:line="247" w:lineRule="auto"/>
            </w:pPr>
            <w:r>
              <w:rPr>
                <w:b w:val="0"/>
                <w:sz w:val="18"/>
              </w:rPr>
              <w:t>Service requirements</w:t>
            </w:r>
          </w:p>
        </w:tc>
        <w:tc>
          <w:tcPr>
            <w:tcW w:type="dxa" w:w="4162"/>
            <w:tcMar>
              <w:top w:w="85" w:type="dxa"/>
              <w:bottom w:w="85" w:type="dxa"/>
              <w:start w:w="90" w:type="dxa"/>
              <w:end w:w="90" w:type="dxa"/>
            </w:tcMar>
            <w:vAlign w:val="top"/>
          </w:tcPr>
          <w:p>
            <w:pPr>
              <w:spacing w:after="30" w:line="247" w:lineRule="auto"/>
            </w:pPr>
            <w:r>
              <w:rPr>
                <w:b w:val="0"/>
                <w:sz w:val="18"/>
              </w:rPr>
              <w:t>Tenant authority, zones, approved operations, resource/protection needs and recovery scope.</w:t>
            </w:r>
          </w:p>
        </w:tc>
        <w:tc>
          <w:tcPr>
            <w:tcW w:type="dxa" w:w="4147"/>
            <w:tcMar>
              <w:top w:w="85" w:type="dxa"/>
              <w:bottom w:w="85" w:type="dxa"/>
              <w:start w:w="90" w:type="dxa"/>
              <w:end w:w="90" w:type="dxa"/>
            </w:tcMar>
            <w:vAlign w:val="top"/>
          </w:tcPr>
          <w:p>
            <w:pPr>
              <w:spacing w:after="30" w:line="247" w:lineRule="auto"/>
            </w:pPr>
            <w:r>
              <w:rPr>
                <w:b w:val="0"/>
                <w:sz w:val="18"/>
              </w:rPr>
              <w:t>Native projects, VPCs, routers, segments and gateway arrangements.</w:t>
            </w:r>
          </w:p>
        </w:tc>
      </w:tr>
      <w:tr>
        <w:trPr>
          <w:cantSplit/>
        </w:trPr>
        <w:tc>
          <w:tcPr>
            <w:tcW w:type="dxa" w:w="1973"/>
            <w:tcMar>
              <w:top w:w="85" w:type="dxa"/>
              <w:bottom w:w="85" w:type="dxa"/>
              <w:start w:w="90" w:type="dxa"/>
              <w:end w:w="90" w:type="dxa"/>
            </w:tcMar>
            <w:vAlign w:val="top"/>
            <w:shd w:fill="EEF5F7" w:val="clear"/>
          </w:tcPr>
          <w:p>
            <w:pPr>
              <w:spacing w:after="30" w:line="247" w:lineRule="auto"/>
            </w:pPr>
            <w:r>
              <w:rPr>
                <w:b w:val="0"/>
                <w:sz w:val="18"/>
              </w:rPr>
              <w:t>Security outcome</w:t>
            </w:r>
          </w:p>
        </w:tc>
        <w:tc>
          <w:tcPr>
            <w:tcW w:type="dxa" w:w="4162"/>
            <w:tcMar>
              <w:top w:w="85" w:type="dxa"/>
              <w:bottom w:w="85" w:type="dxa"/>
              <w:start w:w="90" w:type="dxa"/>
              <w:end w:w="90" w:type="dxa"/>
            </w:tcMar>
            <w:vAlign w:val="top"/>
            <w:shd w:fill="EEF5F7" w:val="clear"/>
          </w:tcPr>
          <w:p>
            <w:pPr>
              <w:spacing w:after="30" w:line="247" w:lineRule="auto"/>
            </w:pPr>
            <w:r>
              <w:rPr>
                <w:b w:val="0"/>
                <w:sz w:val="18"/>
              </w:rPr>
              <w:t>Denied cross-tenant/management access; explicit boundary and service entitlement.</w:t>
            </w:r>
          </w:p>
        </w:tc>
        <w:tc>
          <w:tcPr>
            <w:tcW w:type="dxa" w:w="4147"/>
            <w:tcMar>
              <w:top w:w="85" w:type="dxa"/>
              <w:bottom w:w="85" w:type="dxa"/>
              <w:start w:w="90" w:type="dxa"/>
              <w:end w:w="90" w:type="dxa"/>
            </w:tcMar>
            <w:vAlign w:val="top"/>
            <w:shd w:fill="EEF5F7" w:val="clear"/>
          </w:tcPr>
          <w:p>
            <w:pPr>
              <w:spacing w:after="30" w:line="247" w:lineRule="auto"/>
            </w:pPr>
            <w:r>
              <w:rPr>
                <w:b w:val="0"/>
                <w:sz w:val="18"/>
              </w:rPr>
              <w:t>Distributed versus centralized enforcement locations, with required functions fully evidenced.</w:t>
            </w:r>
          </w:p>
        </w:tc>
      </w:tr>
      <w:tr>
        <w:trPr>
          <w:cantSplit/>
        </w:trPr>
        <w:tc>
          <w:tcPr>
            <w:tcW w:type="dxa" w:w="1973"/>
            <w:tcMar>
              <w:top w:w="85" w:type="dxa"/>
              <w:bottom w:w="85" w:type="dxa"/>
              <w:start w:w="90" w:type="dxa"/>
              <w:end w:w="90" w:type="dxa"/>
            </w:tcMar>
            <w:vAlign w:val="top"/>
          </w:tcPr>
          <w:p>
            <w:pPr>
              <w:spacing w:after="30" w:line="247" w:lineRule="auto"/>
            </w:pPr>
            <w:r>
              <w:rPr>
                <w:b w:val="0"/>
                <w:sz w:val="18"/>
              </w:rPr>
              <w:t>Resource behaviour</w:t>
            </w:r>
          </w:p>
        </w:tc>
        <w:tc>
          <w:tcPr>
            <w:tcW w:type="dxa" w:w="4162"/>
            <w:tcMar>
              <w:top w:w="85" w:type="dxa"/>
              <w:bottom w:w="85" w:type="dxa"/>
              <w:start w:w="90" w:type="dxa"/>
              <w:end w:w="90" w:type="dxa"/>
            </w:tcMar>
            <w:vAlign w:val="top"/>
          </w:tcPr>
          <w:p>
            <w:pPr>
              <w:spacing w:after="30" w:line="247" w:lineRule="auto"/>
            </w:pPr>
            <w:r>
              <w:rPr>
                <w:b w:val="0"/>
                <w:sz w:val="18"/>
              </w:rPr>
              <w:t>Eligible placement, owned data, image baseline, support and service limits.</w:t>
            </w:r>
          </w:p>
        </w:tc>
        <w:tc>
          <w:tcPr>
            <w:tcW w:type="dxa" w:w="4147"/>
            <w:tcMar>
              <w:top w:w="85" w:type="dxa"/>
              <w:bottom w:w="85" w:type="dxa"/>
              <w:start w:w="90" w:type="dxa"/>
              <w:end w:w="90" w:type="dxa"/>
            </w:tcMar>
            <w:vAlign w:val="top"/>
          </w:tcPr>
          <w:p>
            <w:pPr>
              <w:spacing w:after="30" w:line="247" w:lineRule="auto"/>
            </w:pPr>
            <w:r>
              <w:rPr>
                <w:b w:val="0"/>
                <w:sz w:val="18"/>
              </w:rPr>
              <w:t>Virtual hardware, storage implementation and supported lifecycle mechanisms.</w:t>
            </w:r>
          </w:p>
        </w:tc>
      </w:tr>
      <w:tr>
        <w:trPr>
          <w:cantSplit/>
        </w:trPr>
        <w:tc>
          <w:tcPr>
            <w:tcW w:type="dxa" w:w="1973"/>
            <w:tcMar>
              <w:top w:w="85" w:type="dxa"/>
              <w:bottom w:w="85" w:type="dxa"/>
              <w:start w:w="90" w:type="dxa"/>
              <w:end w:w="90" w:type="dxa"/>
            </w:tcMar>
            <w:vAlign w:val="top"/>
            <w:shd w:fill="EEF5F7" w:val="clear"/>
          </w:tcPr>
          <w:p>
            <w:pPr>
              <w:spacing w:after="30" w:line="247" w:lineRule="auto"/>
            </w:pPr>
            <w:r>
              <w:rPr>
                <w:b w:val="0"/>
                <w:sz w:val="18"/>
              </w:rPr>
              <w:t>Operating acceptance</w:t>
            </w:r>
          </w:p>
        </w:tc>
        <w:tc>
          <w:tcPr>
            <w:tcW w:type="dxa" w:w="4162"/>
            <w:tcMar>
              <w:top w:w="85" w:type="dxa"/>
              <w:bottom w:w="85" w:type="dxa"/>
              <w:start w:w="90" w:type="dxa"/>
              <w:end w:w="90" w:type="dxa"/>
            </w:tcMar>
            <w:vAlign w:val="top"/>
            <w:shd w:fill="EEF5F7" w:val="clear"/>
          </w:tcPr>
          <w:p>
            <w:pPr>
              <w:spacing w:after="30" w:line="247" w:lineRule="auto"/>
            </w:pPr>
            <w:r>
              <w:rPr>
                <w:b w:val="0"/>
                <w:sz w:val="18"/>
              </w:rPr>
              <w:t>Monitoring, owner, restore, maintenance and retirement obligations.</w:t>
            </w:r>
          </w:p>
        </w:tc>
        <w:tc>
          <w:tcPr>
            <w:tcW w:type="dxa" w:w="4147"/>
            <w:tcMar>
              <w:top w:w="85" w:type="dxa"/>
              <w:bottom w:w="85" w:type="dxa"/>
              <w:start w:w="90" w:type="dxa"/>
              <w:end w:w="90" w:type="dxa"/>
            </w:tcMar>
            <w:vAlign w:val="top"/>
            <w:shd w:fill="EEF5F7" w:val="clear"/>
          </w:tcPr>
          <w:p>
            <w:pPr>
              <w:spacing w:after="30" w:line="247" w:lineRule="auto"/>
            </w:pPr>
            <w:r>
              <w:rPr>
                <w:b w:val="0"/>
                <w:sz w:val="18"/>
              </w:rPr>
              <w:t>Native logs, task models, capture/restore tooling and operational procedures.</w:t>
            </w:r>
          </w:p>
        </w:tc>
      </w:tr>
      <w:tr>
        <w:trPr>
          <w:cantSplit/>
        </w:trPr>
        <w:tc>
          <w:tcPr>
            <w:tcW w:type="dxa" w:w="1973"/>
            <w:tcMar>
              <w:top w:w="85" w:type="dxa"/>
              <w:bottom w:w="85" w:type="dxa"/>
              <w:start w:w="90" w:type="dxa"/>
              <w:end w:w="90" w:type="dxa"/>
            </w:tcMar>
            <w:vAlign w:val="top"/>
          </w:tcPr>
          <w:p>
            <w:pPr>
              <w:spacing w:after="30" w:line="247" w:lineRule="auto"/>
            </w:pPr>
            <w:r>
              <w:rPr>
                <w:b w:val="0"/>
                <w:sz w:val="18"/>
              </w:rPr>
              <w:t>Exit / transfer</w:t>
            </w:r>
          </w:p>
        </w:tc>
        <w:tc>
          <w:tcPr>
            <w:tcW w:type="dxa" w:w="4162"/>
            <w:tcMar>
              <w:top w:w="85" w:type="dxa"/>
              <w:bottom w:w="85" w:type="dxa"/>
              <w:start w:w="90" w:type="dxa"/>
              <w:end w:w="90" w:type="dxa"/>
            </w:tcMar>
            <w:vAlign w:val="top"/>
          </w:tcPr>
          <w:p>
            <w:pPr>
              <w:spacing w:after="30" w:line="247" w:lineRule="auto"/>
            </w:pPr>
            <w:r>
              <w:rPr>
                <w:b w:val="0"/>
                <w:sz w:val="18"/>
              </w:rPr>
              <w:t>Integrity, consistency, authorized target, identity/keys and controlled cutover.</w:t>
            </w:r>
          </w:p>
        </w:tc>
        <w:tc>
          <w:tcPr>
            <w:tcW w:type="dxa" w:w="4147"/>
            <w:tcMar>
              <w:top w:w="85" w:type="dxa"/>
              <w:bottom w:w="85" w:type="dxa"/>
              <w:start w:w="90" w:type="dxa"/>
              <w:end w:w="90" w:type="dxa"/>
            </w:tcMar>
            <w:vAlign w:val="top"/>
          </w:tcPr>
          <w:p>
            <w:pPr>
              <w:spacing w:after="30" w:line="247" w:lineRule="auto"/>
            </w:pPr>
            <w:r>
              <w:rPr>
                <w:b w:val="0"/>
                <w:sz w:val="18"/>
              </w:rPr>
              <w:t>Conversion method, downtime and supported format/driver changes; no assumed live migration.</w:t>
            </w:r>
          </w:p>
        </w:tc>
      </w:tr>
    </w:tbl>
    <w:p>
      <w:pPr>
        <w:spacing w:after="0" w:before="0" w:line="120"/>
      </w:pPr>
    </w:p>
    <w:p>
      <w:r>
        <w:t>Use the same logical fixture and acceptance assertions for the second stack, then record every material difference. A product-specific extension remains visible with its effect on exit. The target cannot pass by silently dropping inspection, dedicated placement, data protection or another mandatory outcome.</w:t>
      </w:r>
    </w:p>
    <w:p>
      <w:r>
        <w:t>For a representative transfer rehearsal, capture source state, target preparation, final consistency point, transfer integrity, recovered-service tests and authority for the writer switch. Measure effort, elapsed interruption and remaining dependencies. Successful creation of an empty target VM is not evidence that the source workload has been migrated.</w:t>
      </w:r>
    </w:p>
    <w:p>
      <w:pPr>
        <w:keepLines/>
        <w:spacing w:before="120"/>
        <w:shd w:fill="EEF5F7" w:val="clear"/>
        <w:pBdr>
          <w:left w:val="single" w:sz="12" w:space="8" w:color="0B6B70"/>
        </w:pBdr>
      </w:pPr>
      <w:r>
        <w:rPr>
          <w:b/>
        </w:rPr>
        <w:t>Do not require all three stacks to exist for first-stack qualification. A simultaneous composite service across stacks has an additional latency, dependency and failure design.</w:t>
      </w:r>
    </w:p>
    <w:p>
      <w:pPr>
        <w:pStyle w:val="Caption"/>
      </w:pPr>
      <w:r>
        <w:t xml:space="preserve">Continue with: </w:t>
      </w:r>
      <w:hyperlink r:id="rId15">
        <w:r>
          <w:rPr>
            <w:color w:val="0B6B70"/>
            <w:u w:val="single"/>
          </w:rPr>
          <w:t>PBS §9</w:t>
        </w:r>
      </w:hyperlink>
      <w:r>
        <w:t xml:space="preserve">  •  </w:t>
      </w:r>
      <w:hyperlink r:id="rId14">
        <w:r>
          <w:rPr>
            <w:color w:val="0B6B70"/>
            <w:u w:val="single"/>
          </w:rPr>
          <w:t>QCP §8</w:t>
        </w:r>
      </w:hyperlink>
    </w:p>
    <w:p>
      <w:r>
        <w:br w:type="page"/>
      </w:r>
    </w:p>
    <w:p>
      <w:pPr>
        <w:pStyle w:val="Heading1"/>
      </w:pPr>
      <w:r>
        <w:t>8. Close defects and issue a scoped campaign disposition</w:t>
      </w:r>
      <w:bookmarkStart w:id="129" w:name="QCP_08"/>
      <w:bookmarkEnd w:id="129"/>
    </w:p>
    <w:p>
      <w:r>
        <w:t>Use an independent review where the adopted assurance model requires it. A test author’s expected outcome is not the final acceptance decision.</w:t>
      </w:r>
    </w:p>
    <w:p>
      <w:pPr>
        <w:pStyle w:val="Caption"/>
      </w:pPr>
      <w:r>
        <w:t xml:space="preserve">Design basis and related records: </w:t>
      </w:r>
      <w:hyperlink r:id="rId13">
        <w:r>
          <w:rPr>
            <w:color w:val="0B6B70"/>
            <w:u w:val="single"/>
          </w:rPr>
          <w:t>DEL §3</w:t>
        </w:r>
      </w:hyperlink>
      <w:r>
        <w:t xml:space="preserve">  •  </w:t>
      </w:r>
      <w:hyperlink r:id="rId40">
        <w:r>
          <w:rPr>
            <w:color w:val="0B6B70"/>
            <w:u w:val="single"/>
          </w:rPr>
          <w:t>IK §7</w:t>
        </w:r>
      </w:hyperlink>
      <w:r>
        <w:t xml:space="preserve">  •  </w:t>
      </w:r>
      <w:hyperlink r:id="rId24">
        <w:r>
          <w:rPr>
            <w:color w:val="0B6B70"/>
            <w:u w:val="single"/>
          </w:rPr>
          <w:t>IT §4</w:t>
        </w:r>
      </w:hyperlink>
      <w:r>
        <w:t xml:space="preserve">  •  </w:t>
      </w:r>
      <w:hyperlink r:id="rId41">
        <w:r>
          <w:rPr>
            <w:color w:val="0B6B70"/>
            <w:u w:val="single"/>
          </w:rPr>
          <w:t>IT §7</w:t>
        </w:r>
      </w:hyperlink>
    </w:p>
    <w:tbl>
      <w:tblPr>
        <w:tblW w:type="auto" w:w="0"/>
        <w:jc w:val="center"/>
        <w:tblLayout w:type="fixed"/>
        <w:tblLook w:firstColumn="1" w:firstRow="1" w:lastColumn="0" w:lastRow="0" w:noHBand="0" w:noVBand="1" w:val="04A0"/>
      </w:tblPr>
      <w:tblGrid>
        <w:gridCol w:w="2059"/>
        <w:gridCol w:w="5170"/>
        <w:gridCol w:w="3053"/>
      </w:tblGrid>
      <w:tr>
        <w:trPr>
          <w:tblHeader/>
        </w:trPr>
        <w:tc>
          <w:tcPr>
            <w:tcW w:type="dxa" w:w="2059"/>
            <w:tcMar>
              <w:top w:w="85" w:type="dxa"/>
              <w:bottom w:w="85" w:type="dxa"/>
              <w:start w:w="90" w:type="dxa"/>
              <w:end w:w="90" w:type="dxa"/>
            </w:tcMar>
            <w:vAlign w:val="top"/>
            <w:shd w:fill="15384A" w:val="clear"/>
          </w:tcPr>
          <w:p>
            <w:pPr>
              <w:spacing w:after="30" w:line="247" w:lineRule="auto"/>
            </w:pPr>
            <w:r>
              <w:rPr>
                <w:b/>
                <w:color w:val="FFFFFF"/>
                <w:sz w:val="18"/>
              </w:rPr>
              <w:t>Campaign decision</w:t>
            </w:r>
          </w:p>
        </w:tc>
        <w:tc>
          <w:tcPr>
            <w:tcW w:type="dxa" w:w="5170"/>
            <w:tcMar>
              <w:top w:w="85" w:type="dxa"/>
              <w:bottom w:w="85" w:type="dxa"/>
              <w:start w:w="90" w:type="dxa"/>
              <w:end w:w="90" w:type="dxa"/>
            </w:tcMar>
            <w:vAlign w:val="top"/>
            <w:shd w:fill="15384A" w:val="clear"/>
          </w:tcPr>
          <w:p>
            <w:pPr>
              <w:spacing w:after="30" w:line="247" w:lineRule="auto"/>
            </w:pPr>
            <w:r>
              <w:rPr>
                <w:b/>
                <w:color w:val="FFFFFF"/>
                <w:sz w:val="18"/>
              </w:rPr>
              <w:t>What must be recorded</w:t>
            </w:r>
          </w:p>
        </w:tc>
        <w:tc>
          <w:tcPr>
            <w:tcW w:type="dxa" w:w="3053"/>
            <w:tcMar>
              <w:top w:w="85" w:type="dxa"/>
              <w:bottom w:w="85" w:type="dxa"/>
              <w:start w:w="90" w:type="dxa"/>
              <w:end w:w="90" w:type="dxa"/>
            </w:tcMar>
            <w:vAlign w:val="top"/>
            <w:shd w:fill="15384A" w:val="clear"/>
          </w:tcPr>
          <w:p>
            <w:pPr>
              <w:spacing w:after="30" w:line="247" w:lineRule="auto"/>
            </w:pPr>
            <w:r>
              <w:rPr>
                <w:b/>
                <w:color w:val="FFFFFF"/>
                <w:sz w:val="18"/>
              </w:rPr>
              <w:t>Working response</w:t>
            </w:r>
          </w:p>
        </w:tc>
      </w:tr>
      <w:tr>
        <w:trPr>
          <w:cantSplit/>
        </w:trPr>
        <w:tc>
          <w:tcPr>
            <w:tcW w:type="dxa" w:w="2059"/>
            <w:tcMar>
              <w:top w:w="85" w:type="dxa"/>
              <w:bottom w:w="85" w:type="dxa"/>
              <w:start w:w="90" w:type="dxa"/>
              <w:end w:w="90" w:type="dxa"/>
            </w:tcMar>
            <w:vAlign w:val="top"/>
          </w:tcPr>
          <w:p>
            <w:pPr>
              <w:spacing w:after="30" w:line="247" w:lineRule="auto"/>
            </w:pPr>
            <w:r>
              <w:rPr>
                <w:b w:val="0"/>
                <w:sz w:val="18"/>
              </w:rPr>
              <w:t>Scope and applicability</w:t>
            </w:r>
          </w:p>
        </w:tc>
        <w:tc>
          <w:tcPr>
            <w:tcW w:type="dxa" w:w="5170"/>
            <w:tcMar>
              <w:top w:w="85" w:type="dxa"/>
              <w:bottom w:w="85" w:type="dxa"/>
              <w:start w:w="90" w:type="dxa"/>
              <w:end w:w="90" w:type="dxa"/>
            </w:tcMar>
            <w:vAlign w:val="top"/>
          </w:tcPr>
          <w:p>
            <w:pPr>
              <w:spacing w:after="30" w:line="247" w:lineRule="auto"/>
            </w:pPr>
            <w:r>
              <w:rPr>
                <w:b w:val="0"/>
                <w:sz w:val="18"/>
              </w:rPr>
              <w:t>Exact offered service, tuple, topology, assertion set, families and approved exclusions.</w:t>
            </w:r>
          </w:p>
        </w:tc>
        <w:tc>
          <w:tcPr>
            <w:tcW w:type="dxa" w:w="3053"/>
            <w:tcMar>
              <w:top w:w="85" w:type="dxa"/>
              <w:bottom w:w="85" w:type="dxa"/>
              <w:start w:w="90" w:type="dxa"/>
              <w:end w:w="90" w:type="dxa"/>
            </w:tcMar>
            <w:vAlign w:val="top"/>
            <w:shd w:fill="EEF5F7" w:val="clear"/>
          </w:tcPr>
          <w:p>
            <w:pPr>
              <w:spacing w:after="30" w:line="247" w:lineRule="auto"/>
            </w:pPr>
            <w:sdt>
              <w:sdtPr>
                <w:id w:val="10018"/>
                <w:tag w:val="QCP_CAMPAIGN_SCOPE"/>
                <w:alias w:val="QCP CAMPAIGN SCOPE"/>
                <w:text w:multiLine="1"/>
              </w:sdtPr>
              <w:sdtContent>
                <w:r>
                  <w:rPr>
                    <w:color w:val="0B6B70"/>
                  </w:rPr>
                  <w:t>[Enter qcp campaign scope]</w:t>
                </w:r>
              </w:sdtContent>
            </w:sdt>
          </w:p>
        </w:tc>
      </w:tr>
      <w:tr>
        <w:trPr>
          <w:cantSplit/>
        </w:trPr>
        <w:tc>
          <w:tcPr>
            <w:tcW w:type="dxa" w:w="2059"/>
            <w:tcMar>
              <w:top w:w="85" w:type="dxa"/>
              <w:bottom w:w="85" w:type="dxa"/>
              <w:start w:w="90" w:type="dxa"/>
              <w:end w:w="90" w:type="dxa"/>
            </w:tcMar>
            <w:vAlign w:val="top"/>
            <w:shd w:fill="EEF5F7" w:val="clear"/>
          </w:tcPr>
          <w:p>
            <w:pPr>
              <w:spacing w:after="30" w:line="247" w:lineRule="auto"/>
            </w:pPr>
            <w:r>
              <w:rPr>
                <w:b w:val="0"/>
                <w:sz w:val="18"/>
              </w:rPr>
              <w:t>Evidence result</w:t>
            </w:r>
          </w:p>
        </w:tc>
        <w:tc>
          <w:tcPr>
            <w:tcW w:type="dxa" w:w="5170"/>
            <w:tcMar>
              <w:top w:w="85" w:type="dxa"/>
              <w:bottom w:w="85" w:type="dxa"/>
              <w:start w:w="90" w:type="dxa"/>
              <w:end w:w="90" w:type="dxa"/>
            </w:tcMar>
            <w:vAlign w:val="top"/>
            <w:shd w:fill="EEF5F7" w:val="clear"/>
          </w:tcPr>
          <w:p>
            <w:pPr>
              <w:spacing w:after="30" w:line="247" w:lineRule="auto"/>
            </w:pPr>
            <w:r>
              <w:rPr>
                <w:b w:val="0"/>
                <w:sz w:val="18"/>
              </w:rPr>
              <w:t>Execution IDs, artifact references, observed results and freshness after changes.</w:t>
            </w:r>
          </w:p>
        </w:tc>
        <w:tc>
          <w:tcPr>
            <w:tcW w:type="dxa" w:w="3053"/>
            <w:tcMar>
              <w:top w:w="85" w:type="dxa"/>
              <w:bottom w:w="85" w:type="dxa"/>
              <w:start w:w="90" w:type="dxa"/>
              <w:end w:w="90" w:type="dxa"/>
            </w:tcMar>
            <w:vAlign w:val="top"/>
            <w:shd w:fill="EEF5F7" w:val="clear"/>
          </w:tcPr>
          <w:p>
            <w:pPr>
              <w:spacing w:after="30" w:line="247" w:lineRule="auto"/>
            </w:pPr>
            <w:sdt>
              <w:sdtPr>
                <w:id w:val="10019"/>
                <w:tag w:val="QCP_EVIDENCE_SET"/>
                <w:alias w:val="QCP EVIDENCE SET"/>
                <w:text w:multiLine="1"/>
              </w:sdtPr>
              <w:sdtContent>
                <w:r>
                  <w:rPr>
                    <w:color w:val="0B6B70"/>
                  </w:rPr>
                  <w:t>[Enter qcp evidence set]</w:t>
                </w:r>
              </w:sdtContent>
            </w:sdt>
          </w:p>
        </w:tc>
      </w:tr>
      <w:tr>
        <w:trPr>
          <w:cantSplit/>
        </w:trPr>
        <w:tc>
          <w:tcPr>
            <w:tcW w:type="dxa" w:w="2059"/>
            <w:tcMar>
              <w:top w:w="85" w:type="dxa"/>
              <w:bottom w:w="85" w:type="dxa"/>
              <w:start w:w="90" w:type="dxa"/>
              <w:end w:w="90" w:type="dxa"/>
            </w:tcMar>
            <w:vAlign w:val="top"/>
          </w:tcPr>
          <w:p>
            <w:pPr>
              <w:spacing w:after="30" w:line="247" w:lineRule="auto"/>
            </w:pPr>
            <w:r>
              <w:rPr>
                <w:b w:val="0"/>
                <w:sz w:val="18"/>
              </w:rPr>
              <w:t>Defects / retests</w:t>
            </w:r>
          </w:p>
        </w:tc>
        <w:tc>
          <w:tcPr>
            <w:tcW w:type="dxa" w:w="5170"/>
            <w:tcMar>
              <w:top w:w="85" w:type="dxa"/>
              <w:bottom w:w="85" w:type="dxa"/>
              <w:start w:w="90" w:type="dxa"/>
              <w:end w:w="90" w:type="dxa"/>
            </w:tcMar>
            <w:vAlign w:val="top"/>
          </w:tcPr>
          <w:p>
            <w:pPr>
              <w:spacing w:after="30" w:line="247" w:lineRule="auto"/>
            </w:pPr>
            <w:r>
              <w:rPr>
                <w:b w:val="0"/>
                <w:sz w:val="18"/>
              </w:rPr>
              <w:t>Impact, owner, affected service, correction, targeted regression and retained original result.</w:t>
            </w:r>
          </w:p>
        </w:tc>
        <w:tc>
          <w:tcPr>
            <w:tcW w:type="dxa" w:w="3053"/>
            <w:tcMar>
              <w:top w:w="85" w:type="dxa"/>
              <w:bottom w:w="85" w:type="dxa"/>
              <w:start w:w="90" w:type="dxa"/>
              <w:end w:w="90" w:type="dxa"/>
            </w:tcMar>
            <w:vAlign w:val="top"/>
            <w:shd w:fill="EEF5F7" w:val="clear"/>
          </w:tcPr>
          <w:p>
            <w:pPr>
              <w:spacing w:after="30" w:line="247" w:lineRule="auto"/>
            </w:pPr>
            <w:sdt>
              <w:sdtPr>
                <w:id w:val="10020"/>
                <w:tag w:val="QCP_DEFECT_DISPOSITION"/>
                <w:alias w:val="QCP DEFECT DISPOSITION"/>
                <w:text w:multiLine="1"/>
              </w:sdtPr>
              <w:sdtContent>
                <w:r>
                  <w:rPr>
                    <w:color w:val="0B6B70"/>
                  </w:rPr>
                  <w:t>[Enter qcp defect disposition]</w:t>
                </w:r>
              </w:sdtContent>
            </w:sdt>
          </w:p>
        </w:tc>
      </w:tr>
      <w:tr>
        <w:trPr>
          <w:cantSplit/>
        </w:trPr>
        <w:tc>
          <w:tcPr>
            <w:tcW w:type="dxa" w:w="2059"/>
            <w:tcMar>
              <w:top w:w="85" w:type="dxa"/>
              <w:bottom w:w="85" w:type="dxa"/>
              <w:start w:w="90" w:type="dxa"/>
              <w:end w:w="90" w:type="dxa"/>
            </w:tcMar>
            <w:vAlign w:val="top"/>
            <w:shd w:fill="EEF5F7" w:val="clear"/>
          </w:tcPr>
          <w:p>
            <w:pPr>
              <w:spacing w:after="30" w:line="247" w:lineRule="auto"/>
            </w:pPr>
            <w:r>
              <w:rPr>
                <w:b w:val="0"/>
                <w:sz w:val="18"/>
              </w:rPr>
              <w:t>Limits / residual work</w:t>
            </w:r>
          </w:p>
        </w:tc>
        <w:tc>
          <w:tcPr>
            <w:tcW w:type="dxa" w:w="5170"/>
            <w:tcMar>
              <w:top w:w="85" w:type="dxa"/>
              <w:bottom w:w="85" w:type="dxa"/>
              <w:start w:w="90" w:type="dxa"/>
              <w:end w:w="90" w:type="dxa"/>
            </w:tcMar>
            <w:vAlign w:val="top"/>
            <w:shd w:fill="EEF5F7" w:val="clear"/>
          </w:tcPr>
          <w:p>
            <w:pPr>
              <w:spacing w:after="30" w:line="247" w:lineRule="auto"/>
            </w:pPr>
            <w:r>
              <w:rPr>
                <w:b w:val="0"/>
                <w:sz w:val="18"/>
              </w:rPr>
              <w:t>Measured limits, untested conditions and capabilities not qualified.</w:t>
            </w:r>
          </w:p>
        </w:tc>
        <w:tc>
          <w:tcPr>
            <w:tcW w:type="dxa" w:w="3053"/>
            <w:tcMar>
              <w:top w:w="85" w:type="dxa"/>
              <w:bottom w:w="85" w:type="dxa"/>
              <w:start w:w="90" w:type="dxa"/>
              <w:end w:w="90" w:type="dxa"/>
            </w:tcMar>
            <w:vAlign w:val="top"/>
            <w:shd w:fill="EEF5F7" w:val="clear"/>
          </w:tcPr>
          <w:p>
            <w:pPr>
              <w:spacing w:after="30" w:line="247" w:lineRule="auto"/>
            </w:pPr>
            <w:sdt>
              <w:sdtPr>
                <w:id w:val="10021"/>
                <w:tag w:val="QCP_REMAINING_LIMITS"/>
                <w:alias w:val="QCP REMAINING LIMITS"/>
                <w:text w:multiLine="1"/>
              </w:sdtPr>
              <w:sdtContent>
                <w:r>
                  <w:rPr>
                    <w:color w:val="0B6B70"/>
                  </w:rPr>
                  <w:t>[Enter qcp remaining limits]</w:t>
                </w:r>
              </w:sdtContent>
            </w:sdt>
          </w:p>
        </w:tc>
      </w:tr>
      <w:tr>
        <w:trPr>
          <w:cantSplit/>
        </w:trPr>
        <w:tc>
          <w:tcPr>
            <w:tcW w:type="dxa" w:w="2059"/>
            <w:tcMar>
              <w:top w:w="85" w:type="dxa"/>
              <w:bottom w:w="85" w:type="dxa"/>
              <w:start w:w="90" w:type="dxa"/>
              <w:end w:w="90" w:type="dxa"/>
            </w:tcMar>
            <w:vAlign w:val="top"/>
          </w:tcPr>
          <w:p>
            <w:pPr>
              <w:spacing w:after="30" w:line="247" w:lineRule="auto"/>
            </w:pPr>
            <w:r>
              <w:rPr>
                <w:b w:val="0"/>
                <w:sz w:val="18"/>
              </w:rPr>
              <w:t>Qualified scope</w:t>
            </w:r>
          </w:p>
        </w:tc>
        <w:tc>
          <w:tcPr>
            <w:tcW w:type="dxa" w:w="5170"/>
            <w:tcMar>
              <w:top w:w="85" w:type="dxa"/>
              <w:bottom w:w="85" w:type="dxa"/>
              <w:start w:w="90" w:type="dxa"/>
              <w:end w:w="90" w:type="dxa"/>
            </w:tcMar>
            <w:vAlign w:val="top"/>
          </w:tcPr>
          <w:p>
            <w:pPr>
              <w:spacing w:after="30" w:line="247" w:lineRule="auto"/>
            </w:pPr>
            <w:r>
              <w:rPr>
                <w:b w:val="0"/>
                <w:sz w:val="18"/>
              </w:rPr>
              <w:t>Actual technical review authority, decision reference, validity and review triggers.</w:t>
            </w:r>
          </w:p>
        </w:tc>
        <w:tc>
          <w:tcPr>
            <w:tcW w:type="dxa" w:w="3053"/>
            <w:tcMar>
              <w:top w:w="85" w:type="dxa"/>
              <w:bottom w:w="85" w:type="dxa"/>
              <w:start w:w="90" w:type="dxa"/>
              <w:end w:w="90" w:type="dxa"/>
            </w:tcMar>
            <w:vAlign w:val="top"/>
            <w:shd w:fill="EEF5F7" w:val="clear"/>
          </w:tcPr>
          <w:p>
            <w:pPr>
              <w:spacing w:after="30" w:line="247" w:lineRule="auto"/>
            </w:pPr>
            <w:sdt>
              <w:sdtPr>
                <w:id w:val="10022"/>
                <w:tag w:val="QCP_QUALIFICATION_DECISION"/>
                <w:alias w:val="QCP QUALIFICATION DECISION"/>
                <w:text w:multiLine="1"/>
              </w:sdtPr>
              <w:sdtContent>
                <w:r>
                  <w:rPr>
                    <w:color w:val="0B6B70"/>
                  </w:rPr>
                  <w:t>[Enter qcp qualification decision]</w:t>
                </w:r>
              </w:sdtContent>
            </w:sdt>
          </w:p>
        </w:tc>
      </w:tr>
      <w:tr>
        <w:trPr>
          <w:cantSplit/>
        </w:trPr>
        <w:tc>
          <w:tcPr>
            <w:tcW w:type="dxa" w:w="2059"/>
            <w:tcMar>
              <w:top w:w="85" w:type="dxa"/>
              <w:bottom w:w="85" w:type="dxa"/>
              <w:start w:w="90" w:type="dxa"/>
              <w:end w:w="90" w:type="dxa"/>
            </w:tcMar>
            <w:vAlign w:val="top"/>
            <w:shd w:fill="EEF5F7" w:val="clear"/>
          </w:tcPr>
          <w:p>
            <w:pPr>
              <w:spacing w:after="30" w:line="247" w:lineRule="auto"/>
            </w:pPr>
            <w:r>
              <w:rPr>
                <w:b w:val="0"/>
                <w:sz w:val="18"/>
              </w:rPr>
              <w:t>Activation prerequisites</w:t>
            </w:r>
          </w:p>
        </w:tc>
        <w:tc>
          <w:tcPr>
            <w:tcW w:type="dxa" w:w="5170"/>
            <w:tcMar>
              <w:top w:w="85" w:type="dxa"/>
              <w:bottom w:w="85" w:type="dxa"/>
              <w:start w:w="90" w:type="dxa"/>
              <w:end w:w="90" w:type="dxa"/>
            </w:tcMar>
            <w:vAlign w:val="top"/>
            <w:shd w:fill="EEF5F7" w:val="clear"/>
          </w:tcPr>
          <w:p>
            <w:pPr>
              <w:spacing w:after="30" w:line="247" w:lineRule="auto"/>
            </w:pPr>
            <w:r>
              <w:rPr>
                <w:b w:val="0"/>
                <w:sz w:val="18"/>
              </w:rPr>
              <w:t>Required initial G4 evidence and separately valid service/security authority before G3.</w:t>
            </w:r>
          </w:p>
        </w:tc>
        <w:tc>
          <w:tcPr>
            <w:tcW w:type="dxa" w:w="3053"/>
            <w:tcMar>
              <w:top w:w="85" w:type="dxa"/>
              <w:bottom w:w="85" w:type="dxa"/>
              <w:start w:w="90" w:type="dxa"/>
              <w:end w:w="90" w:type="dxa"/>
            </w:tcMar>
            <w:vAlign w:val="top"/>
            <w:shd w:fill="EEF5F7" w:val="clear"/>
          </w:tcPr>
          <w:p>
            <w:pPr>
              <w:spacing w:after="30" w:line="247" w:lineRule="auto"/>
            </w:pPr>
            <w:sdt>
              <w:sdtPr>
                <w:id w:val="10023"/>
                <w:tag w:val="QCP_ACTIVATION_DEPENDENCIES"/>
                <w:alias w:val="QCP ACTIVATION DEPENDENCIES"/>
                <w:text w:multiLine="1"/>
              </w:sdtPr>
              <w:sdtContent>
                <w:r>
                  <w:rPr>
                    <w:color w:val="0B6B70"/>
                  </w:rPr>
                  <w:t>[Enter qcp activation dependencies]</w:t>
                </w:r>
              </w:sdtContent>
            </w:sdt>
          </w:p>
        </w:tc>
      </w:tr>
    </w:tbl>
    <w:p>
      <w:pPr>
        <w:spacing w:after="0" w:before="0" w:line="120"/>
      </w:pPr>
    </w:p>
    <w:p>
      <w:r>
        <w:t>A corrected defect is not closed until the changed assertion and its affected neighbours are observed again. An altered shared edge may invalidate more than the single failed case. A change in test scope or an approved not-applicable decision is recorded explicitly and cannot disguise a missing mandatory outcome.</w:t>
      </w:r>
    </w:p>
    <w:p>
      <w:r>
        <w:t>The release disposition can be qualified for a narrow service, restricted with explicit exclusions, or blocked. Existing workloads follow their actual continuity/risk conditions; do not automatically destroy data because a new qualification is withheld. Initial operational/recovery readiness precedes production activation; recurring exercises after activation do not replace it.</w:t>
      </w:r>
    </w:p>
    <w:p>
      <w:pPr>
        <w:keepLines/>
        <w:spacing w:before="120"/>
        <w:shd w:fill="EEF5F7" w:val="clear"/>
        <w:pBdr>
          <w:left w:val="single" w:sz="12" w:space="8" w:color="0B6B70"/>
        </w:pBdr>
      </w:pPr>
      <w:r>
        <w:rPr>
          <w:b/>
        </w:rPr>
        <w:t>Current release record: procedures and editable campaign fields supplied; all platform observations NOT RUN and all real qualification/activation decisions unissued.</w:t>
      </w:r>
    </w:p>
    <w:sectPr w:rsidR="00FC693F" w:rsidRPr="0006063C" w:rsidSect="00034616">
      <w:headerReference w:type="default" r:id="rId9"/>
      <w:footerReference w:type="default" r:id="rId10"/>
      <w:pgSz w:w="12240" w:h="15840"/>
      <w:pgMar w:top="936" w:right="979" w:bottom="936"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Delivery kits v1.1  •  Reference architecture v1.4  •  Proposed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PORTABLE MULTI-TENANT SECURE HOSTING  |  QCP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Calibri" w:hAnsi="Calibri"/>
      <w:color w:val="2133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heme="majorHAnsi" w:eastAsiaTheme="majorEastAsia" w:hAnsiTheme="majorHAnsi" w:cstheme="majorBidi" w:ascii="Calibri" w:hAnsi="Calibri"/>
      <w:b/>
      <w:bCs/>
      <w:color w:val="15384A"/>
      <w:sz w:val="34"/>
      <w:szCs w:val="28"/>
    </w:rPr>
  </w:style>
  <w:style w:type="paragraph" w:styleId="Heading2">
    <w:name w:val="heading 2"/>
    <w:basedOn w:val="Normal"/>
    <w:next w:val="Normal"/>
    <w:link w:val="Heading2Char"/>
    <w:uiPriority w:val="9"/>
    <w:unhideWhenUsed/>
    <w:qFormat/>
    <w:rsid w:val="00FC693F"/>
    <w:pPr>
      <w:keepNext/>
      <w:keepLines/>
      <w:spacing w:before="160" w:after="140"/>
      <w:outlineLvl w:val="1"/>
    </w:pPr>
    <w:rPr>
      <w:rFonts w:asciiTheme="majorHAnsi" w:eastAsiaTheme="majorEastAsia" w:hAnsiTheme="majorHAnsi" w:cstheme="majorBidi" w:ascii="Calibri" w:hAnsi="Calibri"/>
      <w:b/>
      <w:bCs/>
      <w:color w:val="0B6B70"/>
      <w:sz w:val="23"/>
      <w:szCs w:val="26"/>
    </w:rPr>
  </w:style>
  <w:style w:type="paragraph" w:styleId="Heading3">
    <w:name w:val="heading 3"/>
    <w:basedOn w:val="Normal"/>
    <w:next w:val="Normal"/>
    <w:link w:val="Heading3Char"/>
    <w:uiPriority w:val="9"/>
    <w:unhideWhenUsed/>
    <w:qFormat/>
    <w:rsid w:val="00FC693F"/>
    <w:pPr>
      <w:keepNext/>
      <w:keepLines/>
      <w:spacing w:before="160" w:after="140"/>
      <w:outlineLvl w:val="2"/>
    </w:pPr>
    <w:rPr>
      <w:rFonts w:asciiTheme="majorHAnsi" w:eastAsiaTheme="majorEastAsia" w:hAnsiTheme="majorHAnsi" w:cstheme="majorBidi" w:ascii="Calibri" w:hAnsi="Calibri"/>
      <w:b/>
      <w:bCs/>
      <w:color w:val="1538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60"/>
      <w:contextualSpacing/>
    </w:pPr>
    <w:rPr>
      <w:rFonts w:asciiTheme="majorHAnsi" w:eastAsiaTheme="majorEastAsia" w:hAnsiTheme="majorHAnsi" w:cstheme="majorBidi" w:ascii="Calibri" w:hAnsi="Calibri"/>
      <w:b/>
      <w:color w:val="15384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40"/>
    </w:pPr>
    <w:rPr>
      <w:rFonts w:asciiTheme="majorHAnsi" w:eastAsiaTheme="majorEastAsia" w:hAnsiTheme="majorHAnsi" w:cstheme="majorBidi" w:ascii="Calibri" w:hAnsi="Calibri"/>
      <w:b w:val="0"/>
      <w:i/>
      <w:iCs/>
      <w:color w:val="0B6B7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257" w:lineRule="auto"/>
    </w:pPr>
    <w:rPr>
      <w:rFonts w:ascii="Calibri" w:hAnsi="Calibri"/>
      <w:color w:val="21333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7" w:lineRule="auto"/>
      <w:contextualSpacing/>
    </w:pPr>
    <w:rPr>
      <w:rFonts w:ascii="Calibri" w:hAnsi="Calibri"/>
      <w:color w:val="21333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7" w:lineRule="auto"/>
      <w:contextualSpacing/>
    </w:pPr>
    <w:rPr>
      <w:rFonts w:ascii="Calibri" w:hAnsi="Calibri"/>
      <w:color w:val="21333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52636D"/>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05_Reference_v1_4/06_Site_Design_Qualification_and_Operations_v1_4.docx#QUAL_s_005" TargetMode="External"/><Relationship Id="rId12" Type="http://schemas.openxmlformats.org/officeDocument/2006/relationships/hyperlink" Target="Implementation_Kit.docx#IK_06" TargetMode="External"/><Relationship Id="rId13" Type="http://schemas.openxmlformats.org/officeDocument/2006/relationships/hyperlink" Target="../00_Delivery_Map.docx#DEL_03" TargetMode="External"/><Relationship Id="rId14" Type="http://schemas.openxmlformats.org/officeDocument/2006/relationships/hyperlink" Target="Qualification_Campaign_and_Evidence_Procedures.docx#QCP_08" TargetMode="External"/><Relationship Id="rId15" Type="http://schemas.openxmlformats.org/officeDocument/2006/relationships/hyperlink" Target="../02_Engineering/Platform_Engineering_and_Build_Specifications.docx#PBS_09" TargetMode="External"/><Relationship Id="rId16" Type="http://schemas.openxmlformats.org/officeDocument/2006/relationships/hyperlink" Target="../05_Reference_v1_4/07_Worked_Infrastructure_Design_and_Acceptance_v1_4.docx#WD14_S02" TargetMode="External"/><Relationship Id="rId17" Type="http://schemas.openxmlformats.org/officeDocument/2006/relationships/hyperlink" Target="../05_Reference_v1_4/07_Worked_Infrastructure_Design_and_Acceptance_v1_4.docx#WD14_S11" TargetMode="External"/><Relationship Id="rId18" Type="http://schemas.openxmlformats.org/officeDocument/2006/relationships/hyperlink" Target="../02_Engineering/Engineering_Kit.docx#EK_06" TargetMode="External"/><Relationship Id="rId19" Type="http://schemas.openxmlformats.org/officeDocument/2006/relationships/hyperlink" Target="Qualification_Campaign_and_Evidence_Procedures.docx#QCP_03" TargetMode="External"/><Relationship Id="rId20" Type="http://schemas.openxmlformats.org/officeDocument/2006/relationships/hyperlink" Target="Qualification_Campaign_and_Evidence_Procedures.docx#QCP_06" TargetMode="External"/><Relationship Id="rId21" Type="http://schemas.openxmlformats.org/officeDocument/2006/relationships/hyperlink" Target="../02_Engineering/Network_and_Boundary_Detailed_Engineering.docx#NBD_02" TargetMode="External"/><Relationship Id="rId22" Type="http://schemas.openxmlformats.org/officeDocument/2006/relationships/hyperlink" Target="../02_Engineering/Network_and_Boundary_Detailed_Engineering.docx#NBD_03" TargetMode="External"/><Relationship Id="rId23" Type="http://schemas.openxmlformats.org/officeDocument/2006/relationships/hyperlink" Target="../05_Reference_v1_4/02_Fabric_Security_and_Interfaces_v1_4.docx#NET_s_003" TargetMode="External"/><Relationship Id="rId24" Type="http://schemas.openxmlformats.org/officeDocument/2006/relationships/hyperlink" Target="MOP_Test_and_Handover_Template.docx#IT_04" TargetMode="External"/><Relationship Id="rId25" Type="http://schemas.openxmlformats.org/officeDocument/2006/relationships/hyperlink" Target="../02_Engineering/Platform_Engineering_and_Build_Specifications.docx#PBS_07" TargetMode="External"/><Relationship Id="rId26" Type="http://schemas.openxmlformats.org/officeDocument/2006/relationships/hyperlink" Target="../05_Reference_v1_4/05_Shared_Services_Data_and_Recovery_v1_4.docx#SVC_s_003" TargetMode="External"/><Relationship Id="rId27" Type="http://schemas.openxmlformats.org/officeDocument/2006/relationships/hyperlink" Target="../05_Reference_v1_4/05_Shared_Services_Data_and_Recovery_v1_4.docx#SVC_s_004" TargetMode="External"/><Relationship Id="rId28" Type="http://schemas.openxmlformats.org/officeDocument/2006/relationships/hyperlink" Target="Implementation_Kit.docx#IK_05" TargetMode="External"/><Relationship Id="rId29" Type="http://schemas.openxmlformats.org/officeDocument/2006/relationships/hyperlink" Target="Operations_Recovery_and_Transition_Playbook.docx#OPS_04" TargetMode="External"/><Relationship Id="rId30" Type="http://schemas.openxmlformats.org/officeDocument/2006/relationships/hyperlink" Target="../02_Engineering/Network_and_Boundary_Detailed_Engineering.docx#NBD_07" TargetMode="External"/><Relationship Id="rId31" Type="http://schemas.openxmlformats.org/officeDocument/2006/relationships/hyperlink" Target="Operations_Recovery_and_Transition_Playbook.docx#OPS_02" TargetMode="External"/><Relationship Id="rId32" Type="http://schemas.openxmlformats.org/officeDocument/2006/relationships/hyperlink" Target="Operations_Recovery_and_Transition_Playbook.docx#OPS_05" TargetMode="External"/><Relationship Id="rId33" Type="http://schemas.openxmlformats.org/officeDocument/2006/relationships/hyperlink" Target="MOP_Test_and_Handover_Template.docx#IT_05" TargetMode="External"/><Relationship Id="rId34" Type="http://schemas.openxmlformats.org/officeDocument/2006/relationships/hyperlink" Target="../05_Reference_v1_4/00_Reference_Architecture_v1_4.docx#RA_s_028" TargetMode="External"/><Relationship Id="rId35" Type="http://schemas.openxmlformats.org/officeDocument/2006/relationships/hyperlink" Target="Operations_Recovery_and_Transition_Playbook.docx#OPS_08" TargetMode="External"/><Relationship Id="rId36" Type="http://schemas.openxmlformats.org/officeDocument/2006/relationships/hyperlink" Target="../05_Reference_v1_4/00_Reference_Architecture_v1_4.docx#RA_s_015" TargetMode="External"/><Relationship Id="rId37" Type="http://schemas.openxmlformats.org/officeDocument/2006/relationships/hyperlink" Target="../05_Reference_v1_4/00_Reference_Architecture_v1_4.docx#RA_s_027" TargetMode="External"/><Relationship Id="rId38" Type="http://schemas.openxmlformats.org/officeDocument/2006/relationships/hyperlink" Target="../02_Engineering/Vendor_Realization_Cards.docx#VC_01" TargetMode="External"/><Relationship Id="rId39" Type="http://schemas.openxmlformats.org/officeDocument/2006/relationships/hyperlink" Target="Operations_Recovery_and_Transition_Playbook.docx#OPS_06" TargetMode="External"/><Relationship Id="rId40" Type="http://schemas.openxmlformats.org/officeDocument/2006/relationships/hyperlink" Target="Implementation_Kit.docx#IK_07" TargetMode="External"/><Relationship Id="rId41" Type="http://schemas.openxmlformats.org/officeDocument/2006/relationships/hyperlink" Target="MOP_Test_and_Handover_Template.docx#IT_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Qualification Campaign and Evidence Procedures</dc:title>
  <dc:subject>Infrastructure architecture and delivery development</dc:subject>
  <dc:creator/>
  <cp:keywords/>
  <dc:description/>
  <cp:lastModifiedBy/>
  <cp:revision>1</cp:revision>
  <dcterms:created xsi:type="dcterms:W3CDTF">2013-12-23T23:15:00Z</dcterms:created>
  <dcterms:modified xsi:type="dcterms:W3CDTF">2013-12-23T23:15:00Z</dcterms:modified>
  <cp:category/>
  <cp:version>1.1</cp:version>
</cp:coreProperties>
</file>