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DELIVERY KIT  /  EX</w:t>
      </w:r>
    </w:p>
    <w:p>
      <w:pPr>
        <w:pStyle w:val="Title"/>
      </w:pPr>
      <w:r>
        <w:t>Worked Delivery Example — From Decision to Evidence</w:t>
      </w:r>
    </w:p>
    <w:p>
      <w:pPr>
        <w:pStyle w:val="Subtitle"/>
      </w:pPr>
      <w:r>
        <w:t>An illustrative completed design chain with deliberately unexecuted acceptance.</w:t>
      </w:r>
    </w:p>
    <w:p>
      <w:r>
        <w:t>Kit v1.0 • 16 September 2026 • Aligned to the frozen v1.4 reference architecture</w:t>
      </w:r>
    </w:p>
    <w:p>
      <w:pPr>
        <w:keepLines/>
        <w:spacing w:before="140" w:after="200"/>
        <w:shd w:fill="EEF5F7" w:val="clear"/>
        <w:pBdr>
          <w:left w:val="single" w:sz="12" w:space="8" w:color="0B6B70"/>
        </w:pBdr>
      </w:pPr>
      <w:r>
        <w:rPr>
          <w:b/>
        </w:rPr>
        <w:t>Working kit, not an approved site design or deployed platform. Templates, reference examples and live evidence are separate records.</w:t>
      </w:r>
    </w:p>
    <w:p>
      <w:r>
        <w:t>This example uses the frozen WD fixture and adds proposed kit record IDs to demonstrate handoffs between teams. It is neither a production design nor a claim that these configurations were built. Real project templates remain blank and separate.</w:t>
      </w:r>
    </w:p>
    <w:p>
      <w:pPr>
        <w:pStyle w:val="Heading2"/>
      </w:pPr>
      <w:r>
        <w:t>Section links</w:t>
      </w:r>
    </w:p>
    <w:p>
      <w:pPr>
        <w:spacing w:after="60"/>
      </w:pPr>
      <w:r/>
      <w:hyperlink w:anchor="EX_01">
        <w:r>
          <w:rPr>
            <w:color w:val="0B6B70"/>
            <w:u w:val="single"/>
          </w:rPr>
          <w:t>1. Trace one decision into engineering and evidence</w:t>
        </w:r>
      </w:hyperlink>
    </w:p>
    <w:p>
      <w:pPr>
        <w:spacing w:after="60"/>
      </w:pPr>
      <w:r/>
      <w:hyperlink w:anchor="EX_02">
        <w:r>
          <w:rPr>
            <w:color w:val="0B6B70"/>
            <w:u w:val="single"/>
          </w:rPr>
          <w:t>2. Resource and boundary schedule</w:t>
        </w:r>
      </w:hyperlink>
    </w:p>
    <w:p>
      <w:pPr>
        <w:spacing w:after="60"/>
      </w:pPr>
      <w:r/>
      <w:hyperlink w:anchor="EX_03">
        <w:r>
          <w:rPr>
            <w:color w:val="0B6B70"/>
            <w:u w:val="single"/>
          </w:rPr>
          <w:t>3. Forward route, return route and service permission</w:t>
        </w:r>
      </w:hyperlink>
    </w:p>
    <w:p>
      <w:pPr>
        <w:spacing w:after="60"/>
      </w:pPr>
      <w:r/>
      <w:hyperlink w:anchor="EX_04">
        <w:r>
          <w:rPr>
            <w:color w:val="0B6B70"/>
            <w:u w:val="single"/>
          </w:rPr>
          <w:t>4. Native realization and provisioning ownership</w:t>
        </w:r>
      </w:hyperlink>
    </w:p>
    <w:p>
      <w:pPr>
        <w:spacing w:after="60"/>
      </w:pPr>
      <w:r/>
      <w:hyperlink w:anchor="EX_05">
        <w:r>
          <w:rPr>
            <w:color w:val="0B6B70"/>
            <w:u w:val="single"/>
          </w:rPr>
          <w:t>5. Commission, qualify, prepare and activate</w:t>
        </w:r>
      </w:hyperlink>
    </w:p>
    <w:p>
      <w:pPr>
        <w:spacing w:after="60"/>
      </w:pPr>
      <w:r/>
      <w:hyperlink w:anchor="EX_06">
        <w:r>
          <w:rPr>
            <w:color w:val="0B6B70"/>
            <w:u w:val="single"/>
          </w:rPr>
          <w:t>6. Capacity and test-resource accounting</w:t>
        </w:r>
      </w:hyperlink>
    </w:p>
    <w:p>
      <w:pPr>
        <w:spacing w:after="60"/>
      </w:pPr>
      <w:r/>
      <w:hyperlink w:anchor="EX_07">
        <w:r>
          <w:rPr>
            <w:color w:val="0B6B70"/>
            <w:u w:val="single"/>
          </w:rPr>
          <w:t>7. Observe, recover and retire without invented results</w:t>
        </w:r>
      </w:hyperlink>
    </w:p>
    <w:p>
      <w:pPr>
        <w:pStyle w:val="Caption"/>
      </w:pPr>
      <w:r>
        <w:t>All additional process guidance is proposed kit practice. RA/WD references identify baseline-derived architecture; K references identify external mechanism checks. No site values or approval signatures are supplied.</w:t>
      </w:r>
    </w:p>
    <w:p>
      <w:r>
        <w:br w:type="page"/>
      </w:r>
    </w:p>
    <w:p>
      <w:pPr>
        <w:pStyle w:val="Heading1"/>
      </w:pPr>
      <w:r>
        <w:t>1. Trace one decision into engineering and evidence</w:t>
      </w:r>
      <w:bookmarkStart w:id="1017" w:name="EX_01"/>
      <w:bookmarkEnd w:id="1017"/>
    </w:p>
    <w:p>
      <w:r>
        <w:t>Follow the chain from a reasoned architecture selection to a measurable infrastructure result. The same identity appears in the HLD decision, LLD schedule, build step and observation.</w:t>
      </w:r>
    </w:p>
    <w:p>
      <w:pPr>
        <w:pStyle w:val="Caption"/>
      </w:pPr>
      <w:r>
        <w:t xml:space="preserve">Baseline and related records: </w:t>
      </w:r>
      <w:hyperlink r:id="rId11">
        <w:r>
          <w:rPr>
            <w:color w:val="0B6B70"/>
            <w:u w:val="single"/>
          </w:rPr>
          <w:t>WD §2</w:t>
        </w:r>
      </w:hyperlink>
      <w:r>
        <w:t xml:space="preserve">  •  </w:t>
      </w:r>
      <w:hyperlink r:id="rId12">
        <w:r>
          <w:rPr>
            <w:color w:val="0B6B70"/>
            <w:u w:val="single"/>
          </w:rPr>
          <w:t>AK §5</w:t>
        </w:r>
      </w:hyperlink>
      <w:r>
        <w:t xml:space="preserve">  •  </w:t>
      </w:r>
      <w:hyperlink r:id="rId13">
        <w:r>
          <w:rPr>
            <w:color w:val="0B6B70"/>
            <w:u w:val="single"/>
          </w:rPr>
          <w:t>ET §4</w:t>
        </w:r>
      </w:hyperlink>
      <w:r>
        <w:t xml:space="preserve">  •  </w:t>
      </w:r>
      <w:hyperlink r:id="rId14">
        <w:r>
          <w:rPr>
            <w:color w:val="0B6B70"/>
            <w:u w:val="single"/>
          </w:rPr>
          <w:t>IT §4</w:t>
        </w:r>
      </w:hyperlink>
    </w:p>
    <w:tbl>
      <w:tblPr>
        <w:tblW w:type="auto" w:w="0"/>
        <w:jc w:val="center"/>
        <w:tblLayout w:type="fixed"/>
        <w:tblLook w:firstColumn="1" w:firstRow="1" w:lastColumn="0" w:lastRow="0" w:noHBand="0" w:noVBand="1" w:val="04A0"/>
      </w:tblPr>
      <w:tblGrid>
        <w:gridCol w:w="2491"/>
        <w:gridCol w:w="5400"/>
        <w:gridCol w:w="2390"/>
      </w:tblGrid>
      <w:tr>
        <w:trPr>
          <w:tblHeader/>
        </w:trPr>
        <w:tc>
          <w:tcPr>
            <w:tcW w:type="dxa" w:w="2491"/>
            <w:shd w:fill="15384A" w:val="clear"/>
            <w:tcMar>
              <w:top w:w="70" w:type="dxa"/>
              <w:start w:w="90" w:type="dxa"/>
              <w:bottom w:w="70" w:type="dxa"/>
              <w:end w:w="90" w:type="dxa"/>
            </w:tcMar>
          </w:tcPr>
          <w:p>
            <w:r>
              <w:rPr>
                <w:b/>
                <w:color w:val="FFFFFF"/>
                <w:sz w:val="18"/>
              </w:rPr>
              <w:t>Layer / example record</w:t>
            </w:r>
          </w:p>
        </w:tc>
        <w:tc>
          <w:tcPr>
            <w:tcW w:type="dxa" w:w="5400"/>
            <w:shd w:fill="15384A" w:val="clear"/>
            <w:tcMar>
              <w:top w:w="70" w:type="dxa"/>
              <w:start w:w="90" w:type="dxa"/>
              <w:bottom w:w="70" w:type="dxa"/>
              <w:end w:w="90" w:type="dxa"/>
            </w:tcMar>
          </w:tcPr>
          <w:p>
            <w:r>
              <w:rPr>
                <w:b/>
                <w:color w:val="FFFFFF"/>
                <w:sz w:val="18"/>
              </w:rPr>
              <w:t>Content</w:t>
            </w:r>
          </w:p>
        </w:tc>
        <w:tc>
          <w:tcPr>
            <w:tcW w:type="dxa" w:w="2390"/>
            <w:shd w:fill="15384A" w:val="clear"/>
            <w:tcMar>
              <w:top w:w="70" w:type="dxa"/>
              <w:start w:w="90" w:type="dxa"/>
              <w:bottom w:w="70" w:type="dxa"/>
              <w:end w:w="90" w:type="dxa"/>
            </w:tcMar>
          </w:tcPr>
          <w:p>
            <w:r>
              <w:rPr>
                <w:b/>
                <w:color w:val="FFFFFF"/>
                <w:sz w:val="18"/>
              </w:rPr>
              <w:t>Disposition</w:t>
            </w:r>
          </w:p>
        </w:tc>
      </w:tr>
      <w:tr>
        <w:trPr>
          <w:cantSplit/>
        </w:trPr>
        <w:tc>
          <w:tcPr>
            <w:tcW w:type="dxa" w:w="2491"/>
            <w:tcMar>
              <w:top w:w="70" w:type="dxa"/>
              <w:start w:w="90" w:type="dxa"/>
              <w:bottom w:w="70" w:type="dxa"/>
              <w:end w:w="90" w:type="dxa"/>
            </w:tcMar>
            <w:vAlign w:val="top"/>
          </w:tcPr>
          <w:p>
            <w:pPr>
              <w:spacing w:after="40" w:line="245" w:lineRule="auto"/>
            </w:pPr>
            <w:r>
              <w:rPr>
                <w:sz w:val="18"/>
              </w:rPr>
              <w:t>Architecture / ADR-EX-01</w:t>
            </w:r>
          </w:p>
        </w:tc>
        <w:tc>
          <w:tcPr>
            <w:tcW w:type="dxa" w:w="5400"/>
            <w:tcMar>
              <w:top w:w="70" w:type="dxa"/>
              <w:start w:w="90" w:type="dxa"/>
              <w:bottom w:w="70" w:type="dxa"/>
              <w:end w:w="90" w:type="dxa"/>
            </w:tcMar>
            <w:vAlign w:val="top"/>
          </w:tcPr>
          <w:p>
            <w:pPr>
              <w:spacing w:after="40" w:line="245" w:lineRule="auto"/>
            </w:pPr>
            <w:r>
              <w:rPr>
                <w:sz w:val="18"/>
              </w:rPr>
              <w:t>Use dedicated domain-to-edge handoffs until a shared attachment has proven connected-route, neighbour, source and return-path isolation.</w:t>
            </w:r>
          </w:p>
        </w:tc>
        <w:tc>
          <w:tcPr>
            <w:tcW w:type="dxa" w:w="2390"/>
            <w:tcMar>
              <w:top w:w="70" w:type="dxa"/>
              <w:start w:w="90" w:type="dxa"/>
              <w:bottom w:w="70" w:type="dxa"/>
              <w:end w:w="90" w:type="dxa"/>
            </w:tcMar>
            <w:vAlign w:val="top"/>
          </w:tcPr>
          <w:p>
            <w:pPr>
              <w:spacing w:after="40" w:line="245" w:lineRule="auto"/>
            </w:pPr>
            <w:r>
              <w:rPr>
                <w:sz w:val="18"/>
              </w:rPr>
              <w:t>Proposed selection; authority not assigned.</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Requirement / ARCH-003, ZIP-001</w:t>
            </w:r>
          </w:p>
        </w:tc>
        <w:tc>
          <w:tcPr>
            <w:tcW w:type="dxa" w:w="5400"/>
            <w:tcMar>
              <w:top w:w="70" w:type="dxa"/>
              <w:start w:w="90" w:type="dxa"/>
              <w:bottom w:w="70" w:type="dxa"/>
              <w:end w:w="90" w:type="dxa"/>
            </w:tcMar>
            <w:vAlign w:val="top"/>
            <w:shd w:fill="F4F7F9" w:val="clear"/>
          </w:tcPr>
          <w:p>
            <w:pPr>
              <w:spacing w:after="40" w:line="245" w:lineRule="auto"/>
            </w:pPr>
            <w:r>
              <w:rPr>
                <w:sz w:val="18"/>
              </w:rPr>
              <w:t>Independent zone traffic traverses the applicable qualified boundary.</w:t>
            </w:r>
          </w:p>
        </w:tc>
        <w:tc>
          <w:tcPr>
            <w:tcW w:type="dxa" w:w="2390"/>
            <w:tcMar>
              <w:top w:w="70" w:type="dxa"/>
              <w:start w:w="90" w:type="dxa"/>
              <w:bottom w:w="70" w:type="dxa"/>
              <w:end w:w="90" w:type="dxa"/>
            </w:tcMar>
            <w:vAlign w:val="top"/>
            <w:shd w:fill="F4F7F9" w:val="clear"/>
          </w:tcPr>
          <w:p>
            <w:pPr>
              <w:spacing w:after="40" w:line="245" w:lineRule="auto"/>
            </w:pPr>
            <w:r>
              <w:rPr>
                <w:sz w:val="18"/>
              </w:rPr>
              <w:t>Inherited baseline; target applicability/review required.</w:t>
            </w:r>
          </w:p>
        </w:tc>
      </w:tr>
      <w:tr>
        <w:trPr>
          <w:cantSplit/>
        </w:trPr>
        <w:tc>
          <w:tcPr>
            <w:tcW w:type="dxa" w:w="2491"/>
            <w:tcMar>
              <w:top w:w="70" w:type="dxa"/>
              <w:start w:w="90" w:type="dxa"/>
              <w:bottom w:w="70" w:type="dxa"/>
              <w:end w:w="90" w:type="dxa"/>
            </w:tcMar>
            <w:vAlign w:val="top"/>
          </w:tcPr>
          <w:p>
            <w:pPr>
              <w:spacing w:after="40" w:line="245" w:lineRule="auto"/>
            </w:pPr>
            <w:r>
              <w:rPr>
                <w:sz w:val="18"/>
              </w:rPr>
              <w:t>Engineering / NET-EX-A01O</w:t>
            </w:r>
          </w:p>
        </w:tc>
        <w:tc>
          <w:tcPr>
            <w:tcW w:type="dxa" w:w="5400"/>
            <w:tcMar>
              <w:top w:w="70" w:type="dxa"/>
              <w:start w:w="90" w:type="dxa"/>
              <w:bottom w:w="70" w:type="dxa"/>
              <w:end w:w="90" w:type="dxa"/>
            </w:tcMar>
            <w:vAlign w:val="top"/>
          </w:tcPr>
          <w:p>
            <w:pPr>
              <w:spacing w:after="40" w:line="245" w:lineRule="auto"/>
            </w:pPr>
            <w:r>
              <w:rPr>
                <w:sz w:val="18"/>
              </w:rPr>
              <w:t>D01O native gateway connects to EC-01 through the A01O handoff; forward and reply routes are identified.</w:t>
            </w:r>
          </w:p>
        </w:tc>
        <w:tc>
          <w:tcPr>
            <w:tcW w:type="dxa" w:w="2390"/>
            <w:tcMar>
              <w:top w:w="70" w:type="dxa"/>
              <w:start w:w="90" w:type="dxa"/>
              <w:bottom w:w="70" w:type="dxa"/>
              <w:end w:w="90" w:type="dxa"/>
            </w:tcMar>
            <w:vAlign w:val="top"/>
          </w:tcPr>
          <w:p>
            <w:pPr>
              <w:spacing w:after="40" w:line="245" w:lineRule="auto"/>
            </w:pPr>
            <w:r>
              <w:rPr>
                <w:sz w:val="18"/>
              </w:rPr>
              <w:t>Documentation addresses only; native support not established.</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Implementation / STEP-EX-01</w:t>
            </w:r>
          </w:p>
        </w:tc>
        <w:tc>
          <w:tcPr>
            <w:tcW w:type="dxa" w:w="5400"/>
            <w:tcMar>
              <w:top w:w="70" w:type="dxa"/>
              <w:start w:w="90" w:type="dxa"/>
              <w:bottom w:w="70" w:type="dxa"/>
              <w:end w:w="90" w:type="dxa"/>
            </w:tcMar>
            <w:vAlign w:val="top"/>
            <w:shd w:fill="F4F7F9" w:val="clear"/>
          </w:tcPr>
          <w:p>
            <w:pPr>
              <w:spacing w:after="40" w:line="245" w:lineRule="auto"/>
            </w:pPr>
            <w:r>
              <w:rPr>
                <w:sz w:val="18"/>
              </w:rPr>
              <w:t>Owning network/platform executors instantiate the accepted attachment and baseline; edge owner supplies scoped policy.</w:t>
            </w:r>
          </w:p>
        </w:tc>
        <w:tc>
          <w:tcPr>
            <w:tcW w:type="dxa" w:w="2390"/>
            <w:tcMar>
              <w:top w:w="70" w:type="dxa"/>
              <w:start w:w="90" w:type="dxa"/>
              <w:bottom w:w="70" w:type="dxa"/>
              <w:end w:w="90" w:type="dxa"/>
            </w:tcMar>
            <w:vAlign w:val="top"/>
            <w:shd w:fill="F4F7F9" w:val="clear"/>
          </w:tcPr>
          <w:p>
            <w:pPr>
              <w:spacing w:after="40" w:line="245" w:lineRule="auto"/>
            </w:pPr>
            <w:r>
              <w:rPr>
                <w:sz w:val="18"/>
              </w:rPr>
              <w:t>Not executed; exact site artifact still required.</w:t>
            </w:r>
          </w:p>
        </w:tc>
      </w:tr>
      <w:tr>
        <w:trPr>
          <w:cantSplit/>
        </w:trPr>
        <w:tc>
          <w:tcPr>
            <w:tcW w:type="dxa" w:w="2491"/>
            <w:tcMar>
              <w:top w:w="70" w:type="dxa"/>
              <w:start w:w="90" w:type="dxa"/>
              <w:bottom w:w="70" w:type="dxa"/>
              <w:end w:w="90" w:type="dxa"/>
            </w:tcMar>
            <w:vAlign w:val="top"/>
          </w:tcPr>
          <w:p>
            <w:pPr>
              <w:spacing w:after="40" w:line="245" w:lineRule="auto"/>
            </w:pPr>
            <w:r>
              <w:rPr>
                <w:sz w:val="18"/>
              </w:rPr>
              <w:t>Verification / OBS-EX-01</w:t>
            </w:r>
          </w:p>
        </w:tc>
        <w:tc>
          <w:tcPr>
            <w:tcW w:type="dxa" w:w="5400"/>
            <w:tcMar>
              <w:top w:w="70" w:type="dxa"/>
              <w:start w:w="90" w:type="dxa"/>
              <w:bottom w:w="70" w:type="dxa"/>
              <w:end w:w="90" w:type="dxa"/>
            </w:tcMar>
            <w:vAlign w:val="top"/>
          </w:tcPr>
          <w:p>
            <w:pPr>
              <w:spacing w:after="40" w:line="245" w:lineRule="auto"/>
            </w:pPr>
            <w:r>
              <w:rPr>
                <w:sz w:val="18"/>
              </w:rPr>
              <w:t>W14-01 and relevant CT-003/009/023/024 observations compare actual routes and enforcement with the schedule.</w:t>
            </w:r>
          </w:p>
        </w:tc>
        <w:tc>
          <w:tcPr>
            <w:tcW w:type="dxa" w:w="2390"/>
            <w:tcMar>
              <w:top w:w="70" w:type="dxa"/>
              <w:start w:w="90" w:type="dxa"/>
              <w:bottom w:w="70" w:type="dxa"/>
              <w:end w:w="90" w:type="dxa"/>
            </w:tcMar>
            <w:vAlign w:val="top"/>
          </w:tcPr>
          <w:p>
            <w:pPr>
              <w:spacing w:after="40" w:line="245" w:lineRule="auto"/>
            </w:pPr>
            <w:r>
              <w:rPr>
                <w:sz w:val="18"/>
              </w:rPr>
              <w:t>NOT RUN; no observed artifacts.</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Acceptance / GATE-EX-01</w:t>
            </w:r>
          </w:p>
        </w:tc>
        <w:tc>
          <w:tcPr>
            <w:tcW w:type="dxa" w:w="5400"/>
            <w:tcMar>
              <w:top w:w="70" w:type="dxa"/>
              <w:start w:w="90" w:type="dxa"/>
              <w:bottom w:w="70" w:type="dxa"/>
              <w:end w:w="90" w:type="dxa"/>
            </w:tcMar>
            <w:vAlign w:val="top"/>
            <w:shd w:fill="F4F7F9" w:val="clear"/>
          </w:tcPr>
          <w:p>
            <w:pPr>
              <w:spacing w:after="40" w:line="245" w:lineRule="auto"/>
            </w:pPr>
            <w:r>
              <w:rPr>
                <w:sz w:val="18"/>
              </w:rPr>
              <w:t>Relevant G2 qualification and initial G4 readiness precede production G3 and valid operating authority.</w:t>
            </w:r>
          </w:p>
        </w:tc>
        <w:tc>
          <w:tcPr>
            <w:tcW w:type="dxa" w:w="2390"/>
            <w:tcMar>
              <w:top w:w="70" w:type="dxa"/>
              <w:start w:w="90" w:type="dxa"/>
              <w:bottom w:w="70" w:type="dxa"/>
              <w:end w:w="90" w:type="dxa"/>
            </w:tcMar>
            <w:vAlign w:val="top"/>
            <w:shd w:fill="F4F7F9" w:val="clear"/>
          </w:tcPr>
          <w:p>
            <w:pPr>
              <w:spacing w:after="40" w:line="245" w:lineRule="auto"/>
            </w:pPr>
            <w:r>
              <w:rPr>
                <w:sz w:val="18"/>
              </w:rPr>
              <w:t>NOT ISSUED; example does not grant permission.</w:t>
            </w:r>
          </w:p>
        </w:tc>
      </w:tr>
    </w:tbl>
    <w:p>
      <w:pPr>
        <w:spacing w:after="0"/>
      </w:pPr>
      <w:r/>
    </w:p>
    <w:p>
      <w:r>
        <w:t>An accepted topology choice would not by itself prove native compatibility. If engineering selects a supported alternative, the changed boundary and evidence must return to the architecture decision owner rather than silently rewriting the intended outcome.</w:t>
      </w:r>
    </w:p>
    <w:p>
      <w:r>
        <w:br w:type="page"/>
      </w:r>
    </w:p>
    <w:p>
      <w:pPr>
        <w:pStyle w:val="Heading1"/>
      </w:pPr>
      <w:r>
        <w:t>2. Resource and boundary schedule</w:t>
      </w:r>
      <w:bookmarkStart w:id="1018" w:name="EX_02"/>
      <w:bookmarkEnd w:id="1018"/>
    </w:p>
    <w:p>
      <w:r>
        <w:t>The example selects one platform for the first campaign. Repeating it on another platform is a separate comparison, not a simultaneous three-platform deployment.</w:t>
      </w:r>
    </w:p>
    <w:p>
      <w:pPr>
        <w:pStyle w:val="Caption"/>
      </w:pPr>
      <w:r>
        <w:t xml:space="preserve">Baseline and related records: </w:t>
      </w:r>
      <w:hyperlink r:id="rId15">
        <w:r>
          <w:rPr>
            <w:color w:val="0B6B70"/>
            <w:u w:val="single"/>
          </w:rPr>
          <w:t>WD §3</w:t>
        </w:r>
      </w:hyperlink>
      <w:r>
        <w:t xml:space="preserve">  •  </w:t>
      </w:r>
      <w:hyperlink r:id="rId16">
        <w:r>
          <w:rPr>
            <w:color w:val="0B6B70"/>
            <w:u w:val="single"/>
          </w:rPr>
          <w:t>WD §4</w:t>
        </w:r>
      </w:hyperlink>
      <w:r>
        <w:t xml:space="preserve">  •  </w:t>
      </w:r>
      <w:hyperlink r:id="rId17">
        <w:r>
          <w:rPr>
            <w:color w:val="0B6B70"/>
            <w:u w:val="single"/>
          </w:rPr>
          <w:t>WD §5</w:t>
        </w:r>
      </w:hyperlink>
    </w:p>
    <w:tbl>
      <w:tblPr>
        <w:tblW w:type="auto" w:w="0"/>
        <w:jc w:val="center"/>
        <w:tblLayout w:type="fixed"/>
        <w:tblLook w:firstColumn="1" w:firstRow="1" w:lastColumn="0" w:lastRow="0" w:noHBand="0" w:noVBand="1" w:val="04A0"/>
      </w:tblPr>
      <w:tblGrid>
        <w:gridCol w:w="2534"/>
        <w:gridCol w:w="3528"/>
        <w:gridCol w:w="4219"/>
      </w:tblGrid>
      <w:tr>
        <w:trPr>
          <w:tblHeader/>
        </w:trPr>
        <w:tc>
          <w:tcPr>
            <w:tcW w:type="dxa" w:w="2534"/>
            <w:shd w:fill="15384A" w:val="clear"/>
            <w:tcMar>
              <w:top w:w="70" w:type="dxa"/>
              <w:start w:w="90" w:type="dxa"/>
              <w:bottom w:w="70" w:type="dxa"/>
              <w:end w:w="90" w:type="dxa"/>
            </w:tcMar>
          </w:tcPr>
          <w:p>
            <w:r>
              <w:rPr>
                <w:b/>
                <w:color w:val="FFFFFF"/>
                <w:sz w:val="18"/>
              </w:rPr>
              <w:t>Domain / endpoint</w:t>
            </w:r>
          </w:p>
        </w:tc>
        <w:tc>
          <w:tcPr>
            <w:tcW w:type="dxa" w:w="3528"/>
            <w:shd w:fill="15384A" w:val="clear"/>
            <w:tcMar>
              <w:top w:w="70" w:type="dxa"/>
              <w:start w:w="90" w:type="dxa"/>
              <w:bottom w:w="70" w:type="dxa"/>
              <w:end w:w="90" w:type="dxa"/>
            </w:tcMar>
          </w:tcPr>
          <w:p>
            <w:r>
              <w:rPr>
                <w:b/>
                <w:color w:val="FFFFFF"/>
                <w:sz w:val="18"/>
              </w:rPr>
              <w:t>Illustrative prefix and gateway</w:t>
            </w:r>
          </w:p>
        </w:tc>
        <w:tc>
          <w:tcPr>
            <w:tcW w:type="dxa" w:w="4219"/>
            <w:shd w:fill="15384A" w:val="clear"/>
            <w:tcMar>
              <w:top w:w="70" w:type="dxa"/>
              <w:start w:w="90" w:type="dxa"/>
              <w:bottom w:w="70" w:type="dxa"/>
              <w:end w:w="90" w:type="dxa"/>
            </w:tcMar>
          </w:tcPr>
          <w:p>
            <w:r>
              <w:rPr>
                <w:b/>
                <w:color w:val="FFFFFF"/>
                <w:sz w:val="18"/>
              </w:rPr>
              <w:t>Boundary and owner</w:t>
            </w:r>
          </w:p>
        </w:tc>
      </w:tr>
      <w:tr>
        <w:trPr>
          <w:cantSplit/>
        </w:trPr>
        <w:tc>
          <w:tcPr>
            <w:tcW w:type="dxa" w:w="2534"/>
            <w:tcMar>
              <w:top w:w="70" w:type="dxa"/>
              <w:start w:w="90" w:type="dxa"/>
              <w:bottom w:w="70" w:type="dxa"/>
              <w:end w:w="90" w:type="dxa"/>
            </w:tcMar>
            <w:vAlign w:val="top"/>
          </w:tcPr>
          <w:p>
            <w:pPr>
              <w:spacing w:after="40" w:line="245" w:lineRule="auto"/>
            </w:pPr>
            <w:r>
              <w:rPr>
                <w:sz w:val="18"/>
              </w:rPr>
              <w:t>D01O / processor-01</w:t>
            </w:r>
          </w:p>
        </w:tc>
        <w:tc>
          <w:tcPr>
            <w:tcW w:type="dxa" w:w="3528"/>
            <w:tcMar>
              <w:top w:w="70" w:type="dxa"/>
              <w:start w:w="90" w:type="dxa"/>
              <w:bottom w:w="70" w:type="dxa"/>
              <w:end w:w="90" w:type="dxa"/>
            </w:tcMar>
            <w:vAlign w:val="top"/>
          </w:tcPr>
          <w:p>
            <w:pPr>
              <w:spacing w:after="40" w:line="245" w:lineRule="auto"/>
            </w:pPr>
            <w:r>
              <w:rPr>
                <w:sz w:val="18"/>
              </w:rPr>
              <w:t>192.0.2.0/27; gateway .1; host .10</w:t>
            </w:r>
          </w:p>
        </w:tc>
        <w:tc>
          <w:tcPr>
            <w:tcW w:type="dxa" w:w="4219"/>
            <w:tcMar>
              <w:top w:w="70" w:type="dxa"/>
              <w:start w:w="90" w:type="dxa"/>
              <w:bottom w:w="70" w:type="dxa"/>
              <w:end w:w="90" w:type="dxa"/>
            </w:tcMar>
            <w:vAlign w:val="top"/>
          </w:tcPr>
          <w:p>
            <w:pPr>
              <w:spacing w:after="40" w:line="245" w:lineRule="auto"/>
            </w:pPr>
            <w:r>
              <w:rPr>
                <w:sz w:val="18"/>
              </w:rPr>
              <w:t>Tenant-01; NG-D01O → A01O → EC-01.</w:t>
            </w:r>
          </w:p>
        </w:tc>
      </w:tr>
      <w:tr>
        <w:trPr>
          <w:cantSplit/>
        </w:trPr>
        <w:tc>
          <w:tcPr>
            <w:tcW w:type="dxa" w:w="2534"/>
            <w:tcMar>
              <w:top w:w="70" w:type="dxa"/>
              <w:start w:w="90" w:type="dxa"/>
              <w:bottom w:w="70" w:type="dxa"/>
              <w:end w:w="90" w:type="dxa"/>
            </w:tcMar>
            <w:vAlign w:val="top"/>
            <w:shd w:fill="F4F7F9" w:val="clear"/>
          </w:tcPr>
          <w:p>
            <w:pPr>
              <w:spacing w:after="40" w:line="245" w:lineRule="auto"/>
            </w:pPr>
            <w:r>
              <w:rPr>
                <w:sz w:val="18"/>
              </w:rPr>
              <w:t>D01R / data-01</w:t>
            </w:r>
          </w:p>
        </w:tc>
        <w:tc>
          <w:tcPr>
            <w:tcW w:type="dxa" w:w="3528"/>
            <w:tcMar>
              <w:top w:w="70" w:type="dxa"/>
              <w:start w:w="90" w:type="dxa"/>
              <w:bottom w:w="70" w:type="dxa"/>
              <w:end w:w="90" w:type="dxa"/>
            </w:tcMar>
            <w:vAlign w:val="top"/>
            <w:shd w:fill="F4F7F9" w:val="clear"/>
          </w:tcPr>
          <w:p>
            <w:pPr>
              <w:spacing w:after="40" w:line="245" w:lineRule="auto"/>
            </w:pPr>
            <w:r>
              <w:rPr>
                <w:sz w:val="18"/>
              </w:rPr>
              <w:t>192.0.2.32/27; gateway .33; host .42</w:t>
            </w:r>
          </w:p>
        </w:tc>
        <w:tc>
          <w:tcPr>
            <w:tcW w:type="dxa" w:w="4219"/>
            <w:tcMar>
              <w:top w:w="70" w:type="dxa"/>
              <w:start w:w="90" w:type="dxa"/>
              <w:bottom w:w="70" w:type="dxa"/>
              <w:end w:w="90" w:type="dxa"/>
            </w:tcMar>
            <w:vAlign w:val="top"/>
            <w:shd w:fill="F4F7F9" w:val="clear"/>
          </w:tcPr>
          <w:p>
            <w:pPr>
              <w:spacing w:after="40" w:line="245" w:lineRule="auto"/>
            </w:pPr>
            <w:r>
              <w:rPr>
                <w:sz w:val="18"/>
              </w:rPr>
              <w:t>Tenant-01; NG-D01R → A01R → EC-01.</w:t>
            </w:r>
          </w:p>
        </w:tc>
      </w:tr>
      <w:tr>
        <w:trPr>
          <w:cantSplit/>
        </w:trPr>
        <w:tc>
          <w:tcPr>
            <w:tcW w:type="dxa" w:w="2534"/>
            <w:tcMar>
              <w:top w:w="70" w:type="dxa"/>
              <w:start w:w="90" w:type="dxa"/>
              <w:bottom w:w="70" w:type="dxa"/>
              <w:end w:w="90" w:type="dxa"/>
            </w:tcMar>
            <w:vAlign w:val="top"/>
          </w:tcPr>
          <w:p>
            <w:pPr>
              <w:spacing w:after="40" w:line="245" w:lineRule="auto"/>
            </w:pPr>
            <w:r>
              <w:rPr>
                <w:sz w:val="18"/>
              </w:rPr>
              <w:t>D02O / processor-02</w:t>
            </w:r>
          </w:p>
        </w:tc>
        <w:tc>
          <w:tcPr>
            <w:tcW w:type="dxa" w:w="3528"/>
            <w:tcMar>
              <w:top w:w="70" w:type="dxa"/>
              <w:start w:w="90" w:type="dxa"/>
              <w:bottom w:w="70" w:type="dxa"/>
              <w:end w:w="90" w:type="dxa"/>
            </w:tcMar>
            <w:vAlign w:val="top"/>
          </w:tcPr>
          <w:p>
            <w:pPr>
              <w:spacing w:after="40" w:line="245" w:lineRule="auto"/>
            </w:pPr>
            <w:r>
              <w:rPr>
                <w:sz w:val="18"/>
              </w:rPr>
              <w:t>192.0.2.64/27; gateway .65; host .74</w:t>
            </w:r>
          </w:p>
        </w:tc>
        <w:tc>
          <w:tcPr>
            <w:tcW w:type="dxa" w:w="4219"/>
            <w:tcMar>
              <w:top w:w="70" w:type="dxa"/>
              <w:start w:w="90" w:type="dxa"/>
              <w:bottom w:w="70" w:type="dxa"/>
              <w:end w:w="90" w:type="dxa"/>
            </w:tcMar>
            <w:vAlign w:val="top"/>
          </w:tcPr>
          <w:p>
            <w:pPr>
              <w:spacing w:after="40" w:line="245" w:lineRule="auto"/>
            </w:pPr>
            <w:r>
              <w:rPr>
                <w:sz w:val="18"/>
              </w:rPr>
              <w:t>Tenant-02; NG-D02O → A02O → EC-02.</w:t>
            </w:r>
          </w:p>
        </w:tc>
      </w:tr>
      <w:tr>
        <w:trPr>
          <w:cantSplit/>
        </w:trPr>
        <w:tc>
          <w:tcPr>
            <w:tcW w:type="dxa" w:w="2534"/>
            <w:tcMar>
              <w:top w:w="70" w:type="dxa"/>
              <w:start w:w="90" w:type="dxa"/>
              <w:bottom w:w="70" w:type="dxa"/>
              <w:end w:w="90" w:type="dxa"/>
            </w:tcMar>
            <w:vAlign w:val="top"/>
            <w:shd w:fill="F4F7F9" w:val="clear"/>
          </w:tcPr>
          <w:p>
            <w:pPr>
              <w:spacing w:after="40" w:line="245" w:lineRule="auto"/>
            </w:pPr>
            <w:r>
              <w:rPr>
                <w:sz w:val="18"/>
              </w:rPr>
              <w:t>D02R / data-02</w:t>
            </w:r>
          </w:p>
        </w:tc>
        <w:tc>
          <w:tcPr>
            <w:tcW w:type="dxa" w:w="3528"/>
            <w:tcMar>
              <w:top w:w="70" w:type="dxa"/>
              <w:start w:w="90" w:type="dxa"/>
              <w:bottom w:w="70" w:type="dxa"/>
              <w:end w:w="90" w:type="dxa"/>
            </w:tcMar>
            <w:vAlign w:val="top"/>
            <w:shd w:fill="F4F7F9" w:val="clear"/>
          </w:tcPr>
          <w:p>
            <w:pPr>
              <w:spacing w:after="40" w:line="245" w:lineRule="auto"/>
            </w:pPr>
            <w:r>
              <w:rPr>
                <w:sz w:val="18"/>
              </w:rPr>
              <w:t>192.0.2.96/27; gateway .97; host .106</w:t>
            </w:r>
          </w:p>
        </w:tc>
        <w:tc>
          <w:tcPr>
            <w:tcW w:type="dxa" w:w="4219"/>
            <w:tcMar>
              <w:top w:w="70" w:type="dxa"/>
              <w:start w:w="90" w:type="dxa"/>
              <w:bottom w:w="70" w:type="dxa"/>
              <w:end w:w="90" w:type="dxa"/>
            </w:tcMar>
            <w:vAlign w:val="top"/>
            <w:shd w:fill="F4F7F9" w:val="clear"/>
          </w:tcPr>
          <w:p>
            <w:pPr>
              <w:spacing w:after="40" w:line="245" w:lineRule="auto"/>
            </w:pPr>
            <w:r>
              <w:rPr>
                <w:sz w:val="18"/>
              </w:rPr>
              <w:t>Tenant-02; NG-D02R → A02R → EC-02.</w:t>
            </w:r>
          </w:p>
        </w:tc>
      </w:tr>
      <w:tr>
        <w:trPr>
          <w:cantSplit/>
        </w:trPr>
        <w:tc>
          <w:tcPr>
            <w:tcW w:type="dxa" w:w="2534"/>
            <w:tcMar>
              <w:top w:w="70" w:type="dxa"/>
              <w:start w:w="90" w:type="dxa"/>
              <w:bottom w:w="70" w:type="dxa"/>
              <w:end w:w="90" w:type="dxa"/>
            </w:tcMar>
            <w:vAlign w:val="top"/>
          </w:tcPr>
          <w:p>
            <w:pPr>
              <w:spacing w:after="40" w:line="245" w:lineRule="auto"/>
            </w:pPr>
            <w:r>
              <w:rPr>
                <w:sz w:val="18"/>
              </w:rPr>
              <w:t>Provider consumption</w:t>
            </w:r>
          </w:p>
        </w:tc>
        <w:tc>
          <w:tcPr>
            <w:tcW w:type="dxa" w:w="3528"/>
            <w:tcMar>
              <w:top w:w="70" w:type="dxa"/>
              <w:start w:w="90" w:type="dxa"/>
              <w:bottom w:w="70" w:type="dxa"/>
              <w:end w:w="90" w:type="dxa"/>
            </w:tcMar>
            <w:vAlign w:val="top"/>
          </w:tcPr>
          <w:p>
            <w:pPr>
              <w:spacing w:after="40" w:line="245" w:lineRule="auto"/>
            </w:pPr>
            <w:r>
              <w:rPr>
                <w:sz w:val="18"/>
              </w:rPr>
              <w:t>203.0.113.128/27; SE-01 .129; SE-02 .130</w:t>
            </w:r>
          </w:p>
        </w:tc>
        <w:tc>
          <w:tcPr>
            <w:tcW w:type="dxa" w:w="4219"/>
            <w:tcMar>
              <w:top w:w="70" w:type="dxa"/>
              <w:start w:w="90" w:type="dxa"/>
              <w:bottom w:w="70" w:type="dxa"/>
              <w:end w:w="90" w:type="dxa"/>
            </w:tcMar>
            <w:vAlign w:val="top"/>
          </w:tcPr>
          <w:p>
            <w:pPr>
              <w:spacing w:after="40" w:line="245" w:lineRule="auto"/>
            </w:pPr>
            <w:r>
              <w:rPr>
                <w:sz w:val="18"/>
              </w:rPr>
              <w:t>Service endpoints behind security contexts, not a shared native tenant-gateway segment.</w:t>
            </w:r>
          </w:p>
        </w:tc>
      </w:tr>
    </w:tbl>
    <w:p>
      <w:pPr>
        <w:spacing w:after="0"/>
      </w:pPr>
      <w:r/>
    </w:p>
    <w:tbl>
      <w:tblPr>
        <w:tblW w:type="auto" w:w="0"/>
        <w:jc w:val="center"/>
        <w:tblLayout w:type="fixed"/>
        <w:tblLook w:firstColumn="1" w:firstRow="1" w:lastColumn="0" w:lastRow="0" w:noHBand="0" w:noVBand="1" w:val="04A0"/>
      </w:tblPr>
      <w:tblGrid>
        <w:gridCol w:w="3888"/>
        <w:gridCol w:w="2837"/>
        <w:gridCol w:w="3557"/>
      </w:tblGrid>
      <w:tr>
        <w:trPr>
          <w:tblHeader/>
        </w:trPr>
        <w:tc>
          <w:tcPr>
            <w:tcW w:type="dxa" w:w="3888"/>
            <w:shd w:fill="15384A" w:val="clear"/>
            <w:tcMar>
              <w:top w:w="70" w:type="dxa"/>
              <w:start w:w="90" w:type="dxa"/>
              <w:bottom w:w="70" w:type="dxa"/>
              <w:end w:w="90" w:type="dxa"/>
            </w:tcMar>
          </w:tcPr>
          <w:p>
            <w:r>
              <w:rPr>
                <w:b/>
                <w:color w:val="FFFFFF"/>
                <w:sz w:val="18"/>
              </w:rPr>
              <w:t>Link</w:t>
            </w:r>
          </w:p>
        </w:tc>
        <w:tc>
          <w:tcPr>
            <w:tcW w:type="dxa" w:w="2837"/>
            <w:shd w:fill="15384A" w:val="clear"/>
            <w:tcMar>
              <w:top w:w="70" w:type="dxa"/>
              <w:start w:w="90" w:type="dxa"/>
              <w:bottom w:w="70" w:type="dxa"/>
              <w:end w:w="90" w:type="dxa"/>
            </w:tcMar>
          </w:tcPr>
          <w:p>
            <w:r>
              <w:rPr>
                <w:b/>
                <w:color w:val="FFFFFF"/>
                <w:sz w:val="18"/>
              </w:rPr>
              <w:t>EC endpoint</w:t>
            </w:r>
          </w:p>
        </w:tc>
        <w:tc>
          <w:tcPr>
            <w:tcW w:type="dxa" w:w="3557"/>
            <w:shd w:fill="15384A" w:val="clear"/>
            <w:tcMar>
              <w:top w:w="70" w:type="dxa"/>
              <w:start w:w="90" w:type="dxa"/>
              <w:bottom w:w="70" w:type="dxa"/>
              <w:end w:w="90" w:type="dxa"/>
            </w:tcMar>
          </w:tcPr>
          <w:p>
            <w:r>
              <w:rPr>
                <w:b/>
                <w:color w:val="FFFFFF"/>
                <w:sz w:val="18"/>
              </w:rPr>
              <w:t>Native gateway / service edge</w:t>
            </w:r>
          </w:p>
        </w:tc>
      </w:tr>
      <w:tr>
        <w:trPr>
          <w:cantSplit/>
        </w:trPr>
        <w:tc>
          <w:tcPr>
            <w:tcW w:type="dxa" w:w="3888"/>
            <w:tcMar>
              <w:top w:w="70" w:type="dxa"/>
              <w:start w:w="90" w:type="dxa"/>
              <w:bottom w:w="70" w:type="dxa"/>
              <w:end w:w="90" w:type="dxa"/>
            </w:tcMar>
            <w:vAlign w:val="top"/>
          </w:tcPr>
          <w:p>
            <w:pPr>
              <w:spacing w:after="40" w:line="245" w:lineRule="auto"/>
            </w:pPr>
            <w:r>
              <w:rPr>
                <w:sz w:val="18"/>
              </w:rPr>
              <w:t>A01O · 198.51.100.0/30</w:t>
            </w:r>
          </w:p>
        </w:tc>
        <w:tc>
          <w:tcPr>
            <w:tcW w:type="dxa" w:w="2837"/>
            <w:tcMar>
              <w:top w:w="70" w:type="dxa"/>
              <w:start w:w="90" w:type="dxa"/>
              <w:bottom w:w="70" w:type="dxa"/>
              <w:end w:w="90" w:type="dxa"/>
            </w:tcMar>
            <w:vAlign w:val="top"/>
          </w:tcPr>
          <w:p>
            <w:pPr>
              <w:spacing w:after="40" w:line="245" w:lineRule="auto"/>
            </w:pPr>
            <w:r>
              <w:rPr>
                <w:sz w:val="18"/>
              </w:rPr>
              <w:t>198.51.100.1</w:t>
            </w:r>
          </w:p>
        </w:tc>
        <w:tc>
          <w:tcPr>
            <w:tcW w:type="dxa" w:w="3557"/>
            <w:tcMar>
              <w:top w:w="70" w:type="dxa"/>
              <w:start w:w="90" w:type="dxa"/>
              <w:bottom w:w="70" w:type="dxa"/>
              <w:end w:w="90" w:type="dxa"/>
            </w:tcMar>
            <w:vAlign w:val="top"/>
          </w:tcPr>
          <w:p>
            <w:pPr>
              <w:spacing w:after="40" w:line="245" w:lineRule="auto"/>
            </w:pPr>
            <w:r>
              <w:rPr>
                <w:sz w:val="18"/>
              </w:rPr>
              <w:t>NG-D01O 198.51.100.2</w:t>
            </w:r>
          </w:p>
        </w:tc>
      </w:tr>
      <w:tr>
        <w:trPr>
          <w:cantSplit/>
        </w:trPr>
        <w:tc>
          <w:tcPr>
            <w:tcW w:type="dxa" w:w="3888"/>
            <w:tcMar>
              <w:top w:w="70" w:type="dxa"/>
              <w:start w:w="90" w:type="dxa"/>
              <w:bottom w:w="70" w:type="dxa"/>
              <w:end w:w="90" w:type="dxa"/>
            </w:tcMar>
            <w:vAlign w:val="top"/>
            <w:shd w:fill="F4F7F9" w:val="clear"/>
          </w:tcPr>
          <w:p>
            <w:pPr>
              <w:spacing w:after="40" w:line="245" w:lineRule="auto"/>
            </w:pPr>
            <w:r>
              <w:rPr>
                <w:sz w:val="18"/>
              </w:rPr>
              <w:t>A01R · 198.51.100.4/30</w:t>
            </w:r>
          </w:p>
        </w:tc>
        <w:tc>
          <w:tcPr>
            <w:tcW w:type="dxa" w:w="2837"/>
            <w:tcMar>
              <w:top w:w="70" w:type="dxa"/>
              <w:start w:w="90" w:type="dxa"/>
              <w:bottom w:w="70" w:type="dxa"/>
              <w:end w:w="90" w:type="dxa"/>
            </w:tcMar>
            <w:vAlign w:val="top"/>
            <w:shd w:fill="F4F7F9" w:val="clear"/>
          </w:tcPr>
          <w:p>
            <w:pPr>
              <w:spacing w:after="40" w:line="245" w:lineRule="auto"/>
            </w:pPr>
            <w:r>
              <w:rPr>
                <w:sz w:val="18"/>
              </w:rPr>
              <w:t>198.51.100.5</w:t>
            </w:r>
          </w:p>
        </w:tc>
        <w:tc>
          <w:tcPr>
            <w:tcW w:type="dxa" w:w="3557"/>
            <w:tcMar>
              <w:top w:w="70" w:type="dxa"/>
              <w:start w:w="90" w:type="dxa"/>
              <w:bottom w:w="70" w:type="dxa"/>
              <w:end w:w="90" w:type="dxa"/>
            </w:tcMar>
            <w:vAlign w:val="top"/>
            <w:shd w:fill="F4F7F9" w:val="clear"/>
          </w:tcPr>
          <w:p>
            <w:pPr>
              <w:spacing w:after="40" w:line="245" w:lineRule="auto"/>
            </w:pPr>
            <w:r>
              <w:rPr>
                <w:sz w:val="18"/>
              </w:rPr>
              <w:t>NG-D01R 198.51.100.6</w:t>
            </w:r>
          </w:p>
        </w:tc>
      </w:tr>
      <w:tr>
        <w:trPr>
          <w:cantSplit/>
        </w:trPr>
        <w:tc>
          <w:tcPr>
            <w:tcW w:type="dxa" w:w="3888"/>
            <w:tcMar>
              <w:top w:w="70" w:type="dxa"/>
              <w:start w:w="90" w:type="dxa"/>
              <w:bottom w:w="70" w:type="dxa"/>
              <w:end w:w="90" w:type="dxa"/>
            </w:tcMar>
            <w:vAlign w:val="top"/>
          </w:tcPr>
          <w:p>
            <w:pPr>
              <w:spacing w:after="40" w:line="245" w:lineRule="auto"/>
            </w:pPr>
            <w:r>
              <w:rPr>
                <w:sz w:val="18"/>
              </w:rPr>
              <w:t>SH-01 · 198.51.100.16/30</w:t>
            </w:r>
          </w:p>
        </w:tc>
        <w:tc>
          <w:tcPr>
            <w:tcW w:type="dxa" w:w="2837"/>
            <w:tcMar>
              <w:top w:w="70" w:type="dxa"/>
              <w:start w:w="90" w:type="dxa"/>
              <w:bottom w:w="70" w:type="dxa"/>
              <w:end w:w="90" w:type="dxa"/>
            </w:tcMar>
            <w:vAlign w:val="top"/>
          </w:tcPr>
          <w:p>
            <w:pPr>
              <w:spacing w:after="40" w:line="245" w:lineRule="auto"/>
            </w:pPr>
            <w:r>
              <w:rPr>
                <w:sz w:val="18"/>
              </w:rPr>
              <w:t>EC-01 198.51.100.17</w:t>
            </w:r>
          </w:p>
        </w:tc>
        <w:tc>
          <w:tcPr>
            <w:tcW w:type="dxa" w:w="3557"/>
            <w:tcMar>
              <w:top w:w="70" w:type="dxa"/>
              <w:start w:w="90" w:type="dxa"/>
              <w:bottom w:w="70" w:type="dxa"/>
              <w:end w:w="90" w:type="dxa"/>
            </w:tcMar>
            <w:vAlign w:val="top"/>
          </w:tcPr>
          <w:p>
            <w:pPr>
              <w:spacing w:after="40" w:line="245" w:lineRule="auto"/>
            </w:pPr>
            <w:r>
              <w:rPr>
                <w:sz w:val="18"/>
              </w:rPr>
              <w:t>SE-01 198.51.100.18</w:t>
            </w:r>
          </w:p>
        </w:tc>
      </w:tr>
    </w:tbl>
    <w:p>
      <w:pPr>
        <w:spacing w:after="0"/>
      </w:pPr>
      <w:r/>
    </w:p>
    <w:p>
      <w:pPr>
        <w:keepLines/>
        <w:spacing w:before="140" w:after="200"/>
        <w:shd w:fill="EEF5F7" w:val="clear"/>
        <w:pBdr>
          <w:left w:val="single" w:sz="12" w:space="8" w:color="0B6B70"/>
        </w:pBdr>
      </w:pPr>
      <w:r>
        <w:rPr>
          <w:b/>
        </w:rPr>
        <w:t>All addresses are WD documentation examples. Replace them through authoritative site allocation. These link sizes and logical gateway addresses do not establish native product support or physical port counts.</w:t>
      </w:r>
    </w:p>
    <w:p>
      <w:r>
        <w:t>Use EX_Routes4, EX_Routes6 and EX_Flows in the engineering workbook for the full inherited reference schedules. Actual site schedules occupy separate blank working sheets, preventing example values from being mistaken for allocations.</w:t>
      </w:r>
    </w:p>
    <w:p>
      <w:r>
        <w:br w:type="page"/>
      </w:r>
    </w:p>
    <w:p>
      <w:pPr>
        <w:pStyle w:val="Heading1"/>
      </w:pPr>
      <w:r>
        <w:t>3. Forward route, return route and service permission</w:t>
      </w:r>
      <w:bookmarkStart w:id="1019" w:name="EX_03"/>
      <w:bookmarkEnd w:id="1019"/>
    </w:p>
    <w:p>
      <w:r>
        <w:t>The following path shows one tenant application service and a shared resolver. Forwarding and policy are distinct.</w:t>
      </w:r>
    </w:p>
    <w:p>
      <w:pPr>
        <w:pStyle w:val="Caption"/>
      </w:pPr>
      <w:r>
        <w:t xml:space="preserve">Baseline and related records: </w:t>
      </w:r>
      <w:hyperlink r:id="rId18">
        <w:r>
          <w:rPr>
            <w:color w:val="0B6B70"/>
            <w:u w:val="single"/>
          </w:rPr>
          <w:t>WD §6</w:t>
        </w:r>
      </w:hyperlink>
      <w:r>
        <w:t xml:space="preserve">  •  </w:t>
      </w:r>
      <w:hyperlink r:id="rId19">
        <w:r>
          <w:rPr>
            <w:color w:val="0B6B70"/>
            <w:u w:val="single"/>
          </w:rPr>
          <w:t>WD §7</w:t>
        </w:r>
      </w:hyperlink>
      <w:r>
        <w:t xml:space="preserve">  •  </w:t>
      </w:r>
      <w:hyperlink r:id="rId20">
        <w:r>
          <w:rPr>
            <w:color w:val="0B6B70"/>
            <w:u w:val="single"/>
          </w:rPr>
          <w:t>NET §3</w:t>
        </w:r>
      </w:hyperlink>
    </w:p>
    <w:tbl>
      <w:tblPr>
        <w:tblW w:type="auto" w:w="0"/>
        <w:jc w:val="center"/>
        <w:tblLayout w:type="fixed"/>
        <w:tblLook w:firstColumn="1" w:firstRow="1" w:lastColumn="0" w:lastRow="0" w:noHBand="0" w:noVBand="1" w:val="04A0"/>
      </w:tblPr>
      <w:tblGrid>
        <w:gridCol w:w="2146"/>
        <w:gridCol w:w="4680"/>
        <w:gridCol w:w="3456"/>
      </w:tblGrid>
      <w:tr>
        <w:trPr>
          <w:tblHeader/>
        </w:trPr>
        <w:tc>
          <w:tcPr>
            <w:tcW w:type="dxa" w:w="2146"/>
            <w:shd w:fill="15384A" w:val="clear"/>
            <w:tcMar>
              <w:top w:w="70" w:type="dxa"/>
              <w:start w:w="90" w:type="dxa"/>
              <w:bottom w:w="70" w:type="dxa"/>
              <w:end w:w="90" w:type="dxa"/>
            </w:tcMar>
          </w:tcPr>
          <w:p>
            <w:r>
              <w:rPr>
                <w:b/>
                <w:color w:val="FFFFFF"/>
                <w:sz w:val="18"/>
              </w:rPr>
              <w:t>Path segment</w:t>
            </w:r>
          </w:p>
        </w:tc>
        <w:tc>
          <w:tcPr>
            <w:tcW w:type="dxa" w:w="4680"/>
            <w:shd w:fill="15384A" w:val="clear"/>
            <w:tcMar>
              <w:top w:w="70" w:type="dxa"/>
              <w:start w:w="90" w:type="dxa"/>
              <w:bottom w:w="70" w:type="dxa"/>
              <w:end w:w="90" w:type="dxa"/>
            </w:tcMar>
          </w:tcPr>
          <w:p>
            <w:r>
              <w:rPr>
                <w:b/>
                <w:color w:val="FFFFFF"/>
                <w:sz w:val="18"/>
              </w:rPr>
              <w:t>Illustrative next-hop decision</w:t>
            </w:r>
          </w:p>
        </w:tc>
        <w:tc>
          <w:tcPr>
            <w:tcW w:type="dxa" w:w="3456"/>
            <w:shd w:fill="15384A" w:val="clear"/>
            <w:tcMar>
              <w:top w:w="70" w:type="dxa"/>
              <w:start w:w="90" w:type="dxa"/>
              <w:bottom w:w="70" w:type="dxa"/>
              <w:end w:w="90" w:type="dxa"/>
            </w:tcMar>
          </w:tcPr>
          <w:p>
            <w:r>
              <w:rPr>
                <w:b/>
                <w:color w:val="FFFFFF"/>
                <w:sz w:val="18"/>
              </w:rPr>
              <w:t>Separate policy obligation</w:t>
            </w:r>
          </w:p>
        </w:tc>
      </w:tr>
      <w:tr>
        <w:trPr>
          <w:cantSplit/>
        </w:trPr>
        <w:tc>
          <w:tcPr>
            <w:tcW w:type="dxa" w:w="2146"/>
            <w:tcMar>
              <w:top w:w="70" w:type="dxa"/>
              <w:start w:w="90" w:type="dxa"/>
              <w:bottom w:w="70" w:type="dxa"/>
              <w:end w:w="90" w:type="dxa"/>
            </w:tcMar>
            <w:vAlign w:val="top"/>
          </w:tcPr>
          <w:p>
            <w:pPr>
              <w:spacing w:after="40" w:line="245" w:lineRule="auto"/>
            </w:pPr>
            <w:r>
              <w:rPr>
                <w:sz w:val="18"/>
              </w:rPr>
              <w:t>processor-01 → data-01</w:t>
            </w:r>
          </w:p>
        </w:tc>
        <w:tc>
          <w:tcPr>
            <w:tcW w:type="dxa" w:w="4680"/>
            <w:tcMar>
              <w:top w:w="70" w:type="dxa"/>
              <w:start w:w="90" w:type="dxa"/>
              <w:bottom w:w="70" w:type="dxa"/>
              <w:end w:w="90" w:type="dxa"/>
            </w:tcMar>
            <w:vAlign w:val="top"/>
          </w:tcPr>
          <w:p>
            <w:pPr>
              <w:spacing w:after="40" w:line="245" w:lineRule="auto"/>
            </w:pPr>
            <w:r>
              <w:rPr>
                <w:sz w:val="18"/>
              </w:rPr>
              <w:t>NG-D01O sends 192.0.2.32/27 toward EC-01 at 198.51.100.1; EC-01 sends toward NG-D01R at .6.</w:t>
            </w:r>
          </w:p>
        </w:tc>
        <w:tc>
          <w:tcPr>
            <w:tcW w:type="dxa" w:w="3456"/>
            <w:tcMar>
              <w:top w:w="70" w:type="dxa"/>
              <w:start w:w="90" w:type="dxa"/>
              <w:bottom w:w="70" w:type="dxa"/>
              <w:end w:w="90" w:type="dxa"/>
            </w:tcMar>
            <w:vAlign w:val="top"/>
          </w:tcPr>
          <w:p>
            <w:pPr>
              <w:spacing w:after="40" w:line="245" w:lineRule="auto"/>
            </w:pPr>
            <w:r>
              <w:rPr>
                <w:sz w:val="18"/>
              </w:rPr>
              <w:t>F14-01 permits the selected TCP/443 service with endpoint TLS validation; other services deny.</w:t>
            </w:r>
          </w:p>
        </w:tc>
      </w:tr>
      <w:tr>
        <w:trPr>
          <w:cantSplit/>
        </w:trPr>
        <w:tc>
          <w:tcPr>
            <w:tcW w:type="dxa" w:w="2146"/>
            <w:tcMar>
              <w:top w:w="70" w:type="dxa"/>
              <w:start w:w="90" w:type="dxa"/>
              <w:bottom w:w="70" w:type="dxa"/>
              <w:end w:w="90" w:type="dxa"/>
            </w:tcMar>
            <w:vAlign w:val="top"/>
            <w:shd w:fill="F4F7F9" w:val="clear"/>
          </w:tcPr>
          <w:p>
            <w:pPr>
              <w:spacing w:after="40" w:line="245" w:lineRule="auto"/>
            </w:pPr>
            <w:r>
              <w:rPr>
                <w:sz w:val="18"/>
              </w:rPr>
              <w:t>data-01 → processor-01 reply</w:t>
            </w:r>
          </w:p>
        </w:tc>
        <w:tc>
          <w:tcPr>
            <w:tcW w:type="dxa" w:w="4680"/>
            <w:tcMar>
              <w:top w:w="70" w:type="dxa"/>
              <w:start w:w="90" w:type="dxa"/>
              <w:bottom w:w="70" w:type="dxa"/>
              <w:end w:w="90" w:type="dxa"/>
            </w:tcMar>
            <w:vAlign w:val="top"/>
            <w:shd w:fill="F4F7F9" w:val="clear"/>
          </w:tcPr>
          <w:p>
            <w:pPr>
              <w:spacing w:after="40" w:line="245" w:lineRule="auto"/>
            </w:pPr>
            <w:r>
              <w:rPr>
                <w:sz w:val="18"/>
              </w:rPr>
              <w:t>NG-D01R sends 192.0.2.0/27 toward EC-01 at .5; EC-01 sends toward NG-D01O at .2.</w:t>
            </w:r>
          </w:p>
        </w:tc>
        <w:tc>
          <w:tcPr>
            <w:tcW w:type="dxa" w:w="3456"/>
            <w:tcMar>
              <w:top w:w="70" w:type="dxa"/>
              <w:start w:w="90" w:type="dxa"/>
              <w:bottom w:w="70" w:type="dxa"/>
              <w:end w:w="90" w:type="dxa"/>
            </w:tcMar>
            <w:vAlign w:val="top"/>
            <w:shd w:fill="F4F7F9" w:val="clear"/>
          </w:tcPr>
          <w:p>
            <w:pPr>
              <w:spacing w:after="40" w:line="245" w:lineRule="auto"/>
            </w:pPr>
            <w:r>
              <w:rPr>
                <w:sz w:val="18"/>
              </w:rPr>
              <w:t>Stateful replies use the correct context. A new unsolicited reverse connection remains denied.</w:t>
            </w:r>
          </w:p>
        </w:tc>
      </w:tr>
      <w:tr>
        <w:trPr>
          <w:cantSplit/>
        </w:trPr>
        <w:tc>
          <w:tcPr>
            <w:tcW w:type="dxa" w:w="2146"/>
            <w:tcMar>
              <w:top w:w="70" w:type="dxa"/>
              <w:start w:w="90" w:type="dxa"/>
              <w:bottom w:w="70" w:type="dxa"/>
              <w:end w:w="90" w:type="dxa"/>
            </w:tcMar>
            <w:vAlign w:val="top"/>
          </w:tcPr>
          <w:p>
            <w:pPr>
              <w:spacing w:after="40" w:line="245" w:lineRule="auto"/>
            </w:pPr>
            <w:r>
              <w:rPr>
                <w:sz w:val="18"/>
              </w:rPr>
              <w:t>processor-01 → resolver</w:t>
            </w:r>
          </w:p>
        </w:tc>
        <w:tc>
          <w:tcPr>
            <w:tcW w:type="dxa" w:w="4680"/>
            <w:tcMar>
              <w:top w:w="70" w:type="dxa"/>
              <w:start w:w="90" w:type="dxa"/>
              <w:bottom w:w="70" w:type="dxa"/>
              <w:end w:w="90" w:type="dxa"/>
            </w:tcMar>
            <w:vAlign w:val="top"/>
          </w:tcPr>
          <w:p>
            <w:pPr>
              <w:spacing w:after="40" w:line="245" w:lineRule="auto"/>
            </w:pPr>
            <w:r>
              <w:rPr>
                <w:sz w:val="18"/>
              </w:rPr>
              <w:t>Approved resolver 203.0.113.138/32 goes from NG-D01O to EC-01, then SH-01 to SE-01.</w:t>
            </w:r>
          </w:p>
        </w:tc>
        <w:tc>
          <w:tcPr>
            <w:tcW w:type="dxa" w:w="3456"/>
            <w:tcMar>
              <w:top w:w="70" w:type="dxa"/>
              <w:start w:w="90" w:type="dxa"/>
              <w:bottom w:w="70" w:type="dxa"/>
              <w:end w:w="90" w:type="dxa"/>
            </w:tcMar>
            <w:vAlign w:val="top"/>
          </w:tcPr>
          <w:p>
            <w:pPr>
              <w:spacing w:after="40" w:line="245" w:lineRule="auto"/>
            </w:pPr>
            <w:r>
              <w:rPr>
                <w:sz w:val="18"/>
              </w:rPr>
              <w:t>Entitled sources may use UDP/53 and TCP/53. No broad provider-subnet permission.</w:t>
            </w:r>
          </w:p>
        </w:tc>
      </w:tr>
      <w:tr>
        <w:trPr>
          <w:cantSplit/>
        </w:trPr>
        <w:tc>
          <w:tcPr>
            <w:tcW w:type="dxa" w:w="2146"/>
            <w:tcMar>
              <w:top w:w="70" w:type="dxa"/>
              <w:start w:w="90" w:type="dxa"/>
              <w:bottom w:w="70" w:type="dxa"/>
              <w:end w:w="90" w:type="dxa"/>
            </w:tcMar>
            <w:vAlign w:val="top"/>
            <w:shd w:fill="F4F7F9" w:val="clear"/>
          </w:tcPr>
          <w:p>
            <w:pPr>
              <w:spacing w:after="40" w:line="245" w:lineRule="auto"/>
            </w:pPr>
            <w:r>
              <w:rPr>
                <w:sz w:val="18"/>
              </w:rPr>
              <w:t>Resolver → tenant-01 reply</w:t>
            </w:r>
          </w:p>
        </w:tc>
        <w:tc>
          <w:tcPr>
            <w:tcW w:type="dxa" w:w="4680"/>
            <w:tcMar>
              <w:top w:w="70" w:type="dxa"/>
              <w:start w:w="90" w:type="dxa"/>
              <w:bottom w:w="70" w:type="dxa"/>
              <w:end w:w="90" w:type="dxa"/>
            </w:tcMar>
            <w:vAlign w:val="top"/>
            <w:shd w:fill="F4F7F9" w:val="clear"/>
          </w:tcPr>
          <w:p>
            <w:pPr>
              <w:spacing w:after="40" w:line="245" w:lineRule="auto"/>
            </w:pPr>
            <w:r>
              <w:rPr>
                <w:sz w:val="18"/>
              </w:rPr>
              <w:t>The service endpoint sends tenant-01 prefixes through SE-01 .129; SE-01 returns through EC-01 .17.</w:t>
            </w:r>
          </w:p>
        </w:tc>
        <w:tc>
          <w:tcPr>
            <w:tcW w:type="dxa" w:w="3456"/>
            <w:tcMar>
              <w:top w:w="70" w:type="dxa"/>
              <w:start w:w="90" w:type="dxa"/>
              <w:bottom w:w="70" w:type="dxa"/>
              <w:end w:w="90" w:type="dxa"/>
            </w:tcMar>
            <w:vAlign w:val="top"/>
            <w:shd w:fill="F4F7F9" w:val="clear"/>
          </w:tcPr>
          <w:p>
            <w:pPr>
              <w:spacing w:after="40" w:line="245" w:lineRule="auto"/>
            </w:pPr>
            <w:r>
              <w:rPr>
                <w:sz w:val="18"/>
              </w:rPr>
              <w:t>Correct origin context and source identity; no tenant-02 transit through EC-01.</w:t>
            </w:r>
          </w:p>
        </w:tc>
      </w:tr>
      <w:tr>
        <w:trPr>
          <w:cantSplit/>
        </w:trPr>
        <w:tc>
          <w:tcPr>
            <w:tcW w:type="dxa" w:w="2146"/>
            <w:tcMar>
              <w:top w:w="70" w:type="dxa"/>
              <w:start w:w="90" w:type="dxa"/>
              <w:bottom w:w="70" w:type="dxa"/>
              <w:end w:w="90" w:type="dxa"/>
            </w:tcMar>
            <w:vAlign w:val="top"/>
          </w:tcPr>
          <w:p>
            <w:pPr>
              <w:spacing w:after="40" w:line="245" w:lineRule="auto"/>
            </w:pPr>
            <w:r>
              <w:rPr>
                <w:sz w:val="18"/>
              </w:rPr>
              <w:t>Management and other services</w:t>
            </w:r>
          </w:p>
        </w:tc>
        <w:tc>
          <w:tcPr>
            <w:tcW w:type="dxa" w:w="4680"/>
            <w:tcMar>
              <w:top w:w="70" w:type="dxa"/>
              <w:start w:w="90" w:type="dxa"/>
              <w:bottom w:w="70" w:type="dxa"/>
              <w:end w:w="90" w:type="dxa"/>
            </w:tcMar>
            <w:vAlign w:val="top"/>
          </w:tcPr>
          <w:p>
            <w:pPr>
              <w:spacing w:after="40" w:line="245" w:lineRule="auto"/>
            </w:pPr>
            <w:r>
              <w:rPr>
                <w:sz w:val="18"/>
              </w:rPr>
              <w:t>Not supplied by the application route; published service/admin interfaces remain separate.</w:t>
            </w:r>
          </w:p>
        </w:tc>
        <w:tc>
          <w:tcPr>
            <w:tcW w:type="dxa" w:w="3456"/>
            <w:tcMar>
              <w:top w:w="70" w:type="dxa"/>
              <w:start w:w="90" w:type="dxa"/>
              <w:bottom w:w="70" w:type="dxa"/>
              <w:end w:w="90" w:type="dxa"/>
            </w:tcMar>
            <w:vAlign w:val="top"/>
          </w:tcPr>
          <w:p>
            <w:pPr>
              <w:spacing w:after="40" w:line="245" w:lineRule="auto"/>
            </w:pPr>
            <w:r>
              <w:rPr>
                <w:sz w:val="18"/>
              </w:rPr>
              <w:t>No router administration, arbitrary KMS access, repository publication or provider-wide reachability.</w:t>
            </w:r>
          </w:p>
        </w:tc>
      </w:tr>
    </w:tbl>
    <w:p>
      <w:pPr>
        <w:spacing w:after="0"/>
      </w:pPr>
      <w:r/>
    </w:p>
    <w:p>
      <w:r>
        <w:t>For actual implementation, observe connected routes and the effective forwarding table as well as declared static routes. Required route advertisements, HA next-hop ownership and service endpoint return routing belong in the LLD. A firewall downstream cannot inspect a path that has already bypassed it.</w:t>
      </w:r>
    </w:p>
    <w:p>
      <w:pPr>
        <w:keepLines/>
        <w:spacing w:before="140" w:after="200"/>
        <w:shd w:fill="EEF5F7" w:val="clear"/>
        <w:pBdr>
          <w:left w:val="single" w:sz="12" w:space="8" w:color="0B6B70"/>
        </w:pBdr>
      </w:pPr>
      <w:r>
        <w:rPr>
          <w:b/>
        </w:rPr>
        <w:t>No packet has been sent by this worked example. These are intended paths and expected restrictions, not observed results.</w:t>
      </w:r>
    </w:p>
    <w:p>
      <w:r>
        <w:br w:type="page"/>
      </w:r>
    </w:p>
    <w:p>
      <w:pPr>
        <w:pStyle w:val="Heading1"/>
      </w:pPr>
      <w:r>
        <w:t>4. Native realization and provisioning ownership</w:t>
      </w:r>
      <w:bookmarkStart w:id="1020" w:name="EX_04"/>
      <w:bookmarkEnd w:id="1020"/>
    </w:p>
    <w:p>
      <w:r>
        <w:t>The architecture identifiers remain stable while the selected stack supplies native components and operation semantics.</w:t>
      </w:r>
    </w:p>
    <w:p>
      <w:pPr>
        <w:pStyle w:val="Caption"/>
      </w:pPr>
      <w:r>
        <w:t xml:space="preserve">Baseline and related records: </w:t>
      </w:r>
      <w:hyperlink r:id="rId21">
        <w:r>
          <w:rPr>
            <w:color w:val="0B6B70"/>
            <w:u w:val="single"/>
          </w:rPr>
          <w:t>VC §2</w:t>
        </w:r>
      </w:hyperlink>
      <w:r>
        <w:t xml:space="preserve">  •  </w:t>
      </w:r>
      <w:hyperlink r:id="rId22">
        <w:r>
          <w:rPr>
            <w:color w:val="0B6B70"/>
            <w:u w:val="single"/>
          </w:rPr>
          <w:t>VC §3</w:t>
        </w:r>
      </w:hyperlink>
      <w:r>
        <w:t xml:space="preserve">  •  </w:t>
      </w:r>
      <w:hyperlink r:id="rId23">
        <w:r>
          <w:rPr>
            <w:color w:val="0B6B70"/>
            <w:u w:val="single"/>
          </w:rPr>
          <w:t>VC §4</w:t>
        </w:r>
      </w:hyperlink>
      <w:r>
        <w:t xml:space="preserve">  •  </w:t>
      </w:r>
      <w:hyperlink r:id="rId24">
        <w:r>
          <w:rPr>
            <w:color w:val="0B6B70"/>
            <w:u w:val="single"/>
          </w:rPr>
          <w:t>WD §8</w:t>
        </w:r>
      </w:hyperlink>
    </w:p>
    <w:tbl>
      <w:tblPr>
        <w:tblW w:type="auto" w:w="0"/>
        <w:jc w:val="center"/>
        <w:tblLayout w:type="fixed"/>
        <w:tblLook w:firstColumn="1" w:firstRow="1" w:lastColumn="0" w:lastRow="0" w:noHBand="0" w:noVBand="1" w:val="04A0"/>
      </w:tblPr>
      <w:tblGrid>
        <w:gridCol w:w="1944"/>
        <w:gridCol w:w="3514"/>
        <w:gridCol w:w="4824"/>
      </w:tblGrid>
      <w:tr>
        <w:trPr>
          <w:tblHeader/>
        </w:trPr>
        <w:tc>
          <w:tcPr>
            <w:tcW w:type="dxa" w:w="1944"/>
            <w:shd w:fill="15384A" w:val="clear"/>
            <w:tcMar>
              <w:top w:w="70" w:type="dxa"/>
              <w:start w:w="90" w:type="dxa"/>
              <w:bottom w:w="70" w:type="dxa"/>
              <w:end w:w="90" w:type="dxa"/>
            </w:tcMar>
          </w:tcPr>
          <w:p>
            <w:r>
              <w:rPr>
                <w:b/>
                <w:color w:val="FFFFFF"/>
                <w:sz w:val="18"/>
              </w:rPr>
              <w:t>Owner / resource</w:t>
            </w:r>
          </w:p>
        </w:tc>
        <w:tc>
          <w:tcPr>
            <w:tcW w:type="dxa" w:w="3514"/>
            <w:shd w:fill="15384A" w:val="clear"/>
            <w:tcMar>
              <w:top w:w="70" w:type="dxa"/>
              <w:start w:w="90" w:type="dxa"/>
              <w:bottom w:w="70" w:type="dxa"/>
              <w:end w:w="90" w:type="dxa"/>
            </w:tcMar>
          </w:tcPr>
          <w:p>
            <w:r>
              <w:rPr>
                <w:b/>
                <w:color w:val="FFFFFF"/>
                <w:sz w:val="18"/>
              </w:rPr>
              <w:t>Nutanix candidate</w:t>
            </w:r>
          </w:p>
        </w:tc>
        <w:tc>
          <w:tcPr>
            <w:tcW w:type="dxa" w:w="4824"/>
            <w:shd w:fill="15384A" w:val="clear"/>
            <w:tcMar>
              <w:top w:w="70" w:type="dxa"/>
              <w:start w:w="90" w:type="dxa"/>
              <w:bottom w:w="70" w:type="dxa"/>
              <w:end w:w="90" w:type="dxa"/>
            </w:tcMar>
          </w:tcPr>
          <w:p>
            <w:r>
              <w:rPr>
                <w:b/>
                <w:color w:val="FFFFFF"/>
                <w:sz w:val="18"/>
              </w:rPr>
              <w:t>VMware/NSX or OpenStack candidate</w:t>
            </w:r>
          </w:p>
        </w:tc>
      </w:tr>
      <w:tr>
        <w:trPr>
          <w:cantSplit/>
        </w:trPr>
        <w:tc>
          <w:tcPr>
            <w:tcW w:type="dxa" w:w="1944"/>
            <w:tcMar>
              <w:top w:w="70" w:type="dxa"/>
              <w:start w:w="90" w:type="dxa"/>
              <w:bottom w:w="70" w:type="dxa"/>
              <w:end w:w="90" w:type="dxa"/>
            </w:tcMar>
            <w:vAlign w:val="top"/>
          </w:tcPr>
          <w:p>
            <w:pPr>
              <w:spacing w:after="40" w:line="245" w:lineRule="auto"/>
            </w:pPr>
            <w:r>
              <w:rPr>
                <w:sz w:val="18"/>
              </w:rPr>
              <w:t>Platform domain routing</w:t>
            </w:r>
          </w:p>
        </w:tc>
        <w:tc>
          <w:tcPr>
            <w:tcW w:type="dxa" w:w="3514"/>
            <w:tcMar>
              <w:top w:w="70" w:type="dxa"/>
              <w:start w:w="90" w:type="dxa"/>
              <w:bottom w:w="70" w:type="dxa"/>
              <w:end w:w="90" w:type="dxa"/>
            </w:tcMar>
            <w:vAlign w:val="top"/>
          </w:tcPr>
          <w:p>
            <w:pPr>
              <w:spacing w:after="40" w:line="245" w:lineRule="auto"/>
            </w:pPr>
            <w:r>
              <w:rPr>
                <w:sz w:val="18"/>
              </w:rPr>
              <w:t>Separate qualified VPC/routing contexts; controlled external attachments.</w:t>
            </w:r>
          </w:p>
        </w:tc>
        <w:tc>
          <w:tcPr>
            <w:tcW w:type="dxa" w:w="4824"/>
            <w:tcMar>
              <w:top w:w="70" w:type="dxa"/>
              <w:start w:w="90" w:type="dxa"/>
              <w:bottom w:w="70" w:type="dxa"/>
              <w:end w:w="90" w:type="dxa"/>
            </w:tcMar>
            <w:vAlign w:val="top"/>
          </w:tcPr>
          <w:p>
            <w:pPr>
              <w:spacing w:after="40" w:line="245" w:lineRule="auto"/>
            </w:pPr>
            <w:r>
              <w:rPr>
                <w:sz w:val="18"/>
              </w:rPr>
              <w:t>NSX: independent Tier-1 and supported isolated upstream contexts. OpenStack: separate controlled Neutron routing/network scopes.</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Mandatory endpoint policy</w:t>
            </w:r>
          </w:p>
        </w:tc>
        <w:tc>
          <w:tcPr>
            <w:tcW w:type="dxa" w:w="3514"/>
            <w:tcMar>
              <w:top w:w="70" w:type="dxa"/>
              <w:start w:w="90" w:type="dxa"/>
              <w:bottom w:w="70" w:type="dxa"/>
              <w:end w:w="90" w:type="dxa"/>
            </w:tcMar>
            <w:vAlign w:val="top"/>
            <w:shd w:fill="F4F7F9" w:val="clear"/>
          </w:tcPr>
          <w:p>
            <w:pPr>
              <w:spacing w:after="40" w:line="245" w:lineRule="auto"/>
            </w:pPr>
            <w:r>
              <w:rPr>
                <w:sz w:val="18"/>
              </w:rPr>
              <w:t>Qualified Flow enforcement and protected categories.</w:t>
            </w:r>
          </w:p>
        </w:tc>
        <w:tc>
          <w:tcPr>
            <w:tcW w:type="dxa" w:w="4824"/>
            <w:tcMar>
              <w:top w:w="70" w:type="dxa"/>
              <w:start w:w="90" w:type="dxa"/>
              <w:bottom w:w="70" w:type="dxa"/>
              <w:end w:w="90" w:type="dxa"/>
            </w:tcMar>
            <w:vAlign w:val="top"/>
            <w:shd w:fill="F4F7F9" w:val="clear"/>
          </w:tcPr>
          <w:p>
            <w:pPr>
              <w:spacing w:after="40" w:line="245" w:lineRule="auto"/>
            </w:pPr>
            <w:r>
              <w:rPr>
                <w:sz w:val="18"/>
              </w:rPr>
              <w:t>NSX: protected group/rule hierarchy. OpenStack: provider-owned effective policy and restricted mutation of ports/groups/attachments.</w:t>
            </w:r>
          </w:p>
        </w:tc>
      </w:tr>
      <w:tr>
        <w:trPr>
          <w:cantSplit/>
        </w:trPr>
        <w:tc>
          <w:tcPr>
            <w:tcW w:type="dxa" w:w="1944"/>
            <w:tcMar>
              <w:top w:w="70" w:type="dxa"/>
              <w:start w:w="90" w:type="dxa"/>
              <w:bottom w:w="70" w:type="dxa"/>
              <w:end w:w="90" w:type="dxa"/>
            </w:tcMar>
            <w:vAlign w:val="top"/>
          </w:tcPr>
          <w:p>
            <w:pPr>
              <w:spacing w:after="40" w:line="245" w:lineRule="auto"/>
            </w:pPr>
            <w:r>
              <w:rPr>
                <w:sz w:val="18"/>
              </w:rPr>
              <w:t>Compute / storage</w:t>
            </w:r>
          </w:p>
        </w:tc>
        <w:tc>
          <w:tcPr>
            <w:tcW w:type="dxa" w:w="3514"/>
            <w:tcMar>
              <w:top w:w="70" w:type="dxa"/>
              <w:start w:w="90" w:type="dxa"/>
              <w:bottom w:w="70" w:type="dxa"/>
              <w:end w:w="90" w:type="dxa"/>
            </w:tcMar>
            <w:vAlign w:val="top"/>
          </w:tcPr>
          <w:p>
            <w:pPr>
              <w:spacing w:after="40" w:line="245" w:lineRule="auto"/>
            </w:pPr>
            <w:r>
              <w:rPr>
                <w:sz w:val="18"/>
              </w:rPr>
              <w:t>Eligible AHV pools and AOS-backed data with explicit sharing and key/copy scope.</w:t>
            </w:r>
          </w:p>
        </w:tc>
        <w:tc>
          <w:tcPr>
            <w:tcW w:type="dxa" w:w="4824"/>
            <w:tcMar>
              <w:top w:w="70" w:type="dxa"/>
              <w:start w:w="90" w:type="dxa"/>
              <w:bottom w:w="70" w:type="dxa"/>
              <w:end w:w="90" w:type="dxa"/>
            </w:tcMar>
            <w:vAlign w:val="top"/>
          </w:tcPr>
          <w:p>
            <w:pPr>
              <w:spacing w:after="40" w:line="245" w:lineRule="auto"/>
            </w:pPr>
            <w:r>
              <w:rPr>
                <w:sz w:val="18"/>
              </w:rPr>
              <w:t>Eligible ESXi/datastore or Nova/Placement/Cinder configuration; actual co-residency and supported restore.</w:t>
            </w:r>
          </w:p>
        </w:tc>
      </w:tr>
      <w:tr>
        <w:trPr>
          <w:cantSplit/>
        </w:trPr>
        <w:tc>
          <w:tcPr>
            <w:tcW w:type="dxa" w:w="1944"/>
            <w:tcMar>
              <w:top w:w="70" w:type="dxa"/>
              <w:start w:w="90" w:type="dxa"/>
              <w:bottom w:w="70" w:type="dxa"/>
              <w:end w:w="90" w:type="dxa"/>
            </w:tcMar>
            <w:vAlign w:val="top"/>
            <w:shd w:fill="F4F7F9" w:val="clear"/>
          </w:tcPr>
          <w:p>
            <w:pPr>
              <w:spacing w:after="40" w:line="245" w:lineRule="auto"/>
            </w:pPr>
            <w:r>
              <w:rPr>
                <w:sz w:val="18"/>
              </w:rPr>
              <w:t>Security and services</w:t>
            </w:r>
          </w:p>
        </w:tc>
        <w:tc>
          <w:tcPr>
            <w:tcW w:type="dxa" w:w="3514"/>
            <w:tcMar>
              <w:top w:w="70" w:type="dxa"/>
              <w:start w:w="90" w:type="dxa"/>
              <w:bottom w:w="70" w:type="dxa"/>
              <w:end w:w="90" w:type="dxa"/>
            </w:tcMar>
            <w:vAlign w:val="top"/>
            <w:shd w:fill="F4F7F9" w:val="clear"/>
          </w:tcPr>
          <w:p>
            <w:pPr>
              <w:spacing w:after="40" w:line="245" w:lineRule="auto"/>
            </w:pPr>
            <w:r>
              <w:rPr>
                <w:sz w:val="18"/>
              </w:rPr>
              <w:t>Edge/service owners instantiate EC/SE and permitted flows; authoritative IPAM/DNS and protection owners supply their functions.</w:t>
            </w:r>
          </w:p>
        </w:tc>
        <w:tc>
          <w:tcPr>
            <w:tcW w:type="dxa" w:w="4824"/>
            <w:tcMar>
              <w:top w:w="70" w:type="dxa"/>
              <w:start w:w="90" w:type="dxa"/>
              <w:bottom w:w="70" w:type="dxa"/>
              <w:end w:w="90" w:type="dxa"/>
            </w:tcMar>
            <w:vAlign w:val="top"/>
            <w:shd w:fill="F4F7F9" w:val="clear"/>
          </w:tcPr>
          <w:p>
            <w:pPr>
              <w:spacing w:after="40" w:line="245" w:lineRule="auto"/>
            </w:pPr>
            <w:r>
              <w:rPr>
                <w:sz w:val="18"/>
              </w:rPr>
              <w:t>Same architectural responsibility; not assumed to be supplied by the vSphere, NSX or OpenStack provider alone.</w:t>
            </w:r>
          </w:p>
        </w:tc>
      </w:tr>
      <w:tr>
        <w:trPr>
          <w:cantSplit/>
        </w:trPr>
        <w:tc>
          <w:tcPr>
            <w:tcW w:type="dxa" w:w="1944"/>
            <w:tcMar>
              <w:top w:w="70" w:type="dxa"/>
              <w:start w:w="90" w:type="dxa"/>
              <w:bottom w:w="70" w:type="dxa"/>
              <w:end w:w="90" w:type="dxa"/>
            </w:tcMar>
            <w:vAlign w:val="top"/>
          </w:tcPr>
          <w:p>
            <w:pPr>
              <w:spacing w:after="40" w:line="245" w:lineRule="auto"/>
            </w:pPr>
            <w:r>
              <w:rPr>
                <w:sz w:val="18"/>
              </w:rPr>
              <w:t>Provisioning</w:t>
            </w:r>
          </w:p>
        </w:tc>
        <w:tc>
          <w:tcPr>
            <w:tcW w:type="dxa" w:w="3514"/>
            <w:tcMar>
              <w:top w:w="70" w:type="dxa"/>
              <w:start w:w="90" w:type="dxa"/>
              <w:bottom w:w="70" w:type="dxa"/>
              <w:end w:w="90" w:type="dxa"/>
            </w:tcMar>
            <w:vAlign w:val="top"/>
          </w:tcPr>
          <w:p>
            <w:pPr>
              <w:spacing w:after="40" w:line="245" w:lineRule="auto"/>
            </w:pPr>
            <w:r>
              <w:rPr>
                <w:sz w:val="18"/>
              </w:rPr>
              <w:t>Supported native bootstrap plus qualified resource API/provider operations.</w:t>
            </w:r>
          </w:p>
        </w:tc>
        <w:tc>
          <w:tcPr>
            <w:tcW w:type="dxa" w:w="4824"/>
            <w:tcMar>
              <w:top w:w="70" w:type="dxa"/>
              <w:start w:w="90" w:type="dxa"/>
              <w:bottom w:w="70" w:type="dxa"/>
              <w:end w:w="90" w:type="dxa"/>
            </w:tcMar>
            <w:vAlign w:val="top"/>
          </w:tcPr>
          <w:p>
            <w:pPr>
              <w:spacing w:after="40" w:line="245" w:lineRule="auto"/>
            </w:pPr>
            <w:r>
              <w:rPr>
                <w:sz w:val="18"/>
              </w:rPr>
              <w:t>Supported installation/lifecycle tools plus scoped Terraform/API ownership; no competing writes to controller-owned backends.</w:t>
            </w:r>
          </w:p>
        </w:tc>
      </w:tr>
    </w:tbl>
    <w:p>
      <w:pPr>
        <w:spacing w:after="0"/>
      </w:pPr>
      <w:r/>
    </w:p>
    <w:p>
      <w:r>
        <w:t>The actual operation-coverage record must identify observe, create, update, adopt/import, replace, delete and unknown-outcome reconciliation. A candidate mechanism with only create support is not a fully managed service. The selected native commands and resource arguments remain engineering inputs.</w:t>
      </w:r>
    </w:p>
    <w:p>
      <w:pPr>
        <w:keepLines/>
        <w:spacing w:before="140" w:after="200"/>
        <w:shd w:fill="EEF5F7" w:val="clear"/>
        <w:pBdr>
          <w:left w:val="single" w:sz="12" w:space="8" w:color="0B6B70"/>
        </w:pBdr>
      </w:pPr>
      <w:r>
        <w:rPr>
          <w:b/>
        </w:rPr>
        <w:t>Exact versions, licenses, hardware, gateway modes and enabled features remain unselected. In particular, verify the NSX parent mode/VRF compatibility recorded in KIT-TN-01 before accepting that candidate design.</w:t>
      </w:r>
    </w:p>
    <w:p>
      <w:r>
        <w:br w:type="page"/>
      </w:r>
    </w:p>
    <w:p>
      <w:pPr>
        <w:pStyle w:val="Heading1"/>
      </w:pPr>
      <w:r>
        <w:t>5. Commission, qualify, prepare and activate</w:t>
      </w:r>
      <w:bookmarkStart w:id="1021" w:name="EX_05"/>
      <w:bookmarkEnd w:id="1021"/>
    </w:p>
    <w:p>
      <w:r>
        <w:t>Use the gate dependency rather than assuming that numeric gate order grants chronological permission.</w:t>
      </w:r>
    </w:p>
    <w:p>
      <w:pPr>
        <w:pStyle w:val="Caption"/>
      </w:pPr>
      <w:r>
        <w:t xml:space="preserve">Baseline and related records: </w:t>
      </w:r>
      <w:hyperlink r:id="rId25">
        <w:r>
          <w:rPr>
            <w:color w:val="0B6B70"/>
            <w:u w:val="single"/>
          </w:rPr>
          <w:t>WD §9</w:t>
        </w:r>
      </w:hyperlink>
      <w:r>
        <w:t xml:space="preserve">  •  </w:t>
      </w:r>
      <w:hyperlink r:id="rId26">
        <w:r>
          <w:rPr>
            <w:color w:val="0B6B70"/>
            <w:u w:val="single"/>
          </w:rPr>
          <w:t>DEL §3</w:t>
        </w:r>
      </w:hyperlink>
      <w:r>
        <w:t xml:space="preserve">  •  </w:t>
      </w:r>
      <w:hyperlink r:id="rId27">
        <w:r>
          <w:rPr>
            <w:color w:val="0B6B70"/>
            <w:u w:val="single"/>
          </w:rPr>
          <w:t>IK §7</w:t>
        </w:r>
      </w:hyperlink>
    </w:p>
    <w:tbl>
      <w:tblPr>
        <w:tblW w:type="auto" w:w="0"/>
        <w:jc w:val="center"/>
        <w:tblLayout w:type="fixed"/>
        <w:tblLook w:firstColumn="1" w:firstRow="1" w:lastColumn="0" w:lastRow="0" w:noHBand="0" w:noVBand="1" w:val="04A0"/>
      </w:tblPr>
      <w:tblGrid>
        <w:gridCol w:w="2419"/>
        <w:gridCol w:w="4075"/>
        <w:gridCol w:w="3787"/>
      </w:tblGrid>
      <w:tr>
        <w:trPr>
          <w:tblHeader/>
        </w:trPr>
        <w:tc>
          <w:tcPr>
            <w:tcW w:type="dxa" w:w="2419"/>
            <w:shd w:fill="15384A" w:val="clear"/>
            <w:tcMar>
              <w:top w:w="70" w:type="dxa"/>
              <w:start w:w="90" w:type="dxa"/>
              <w:bottom w:w="70" w:type="dxa"/>
              <w:end w:w="90" w:type="dxa"/>
            </w:tcMar>
          </w:tcPr>
          <w:p>
            <w:r>
              <w:rPr>
                <w:b/>
                <w:color w:val="FFFFFF"/>
                <w:sz w:val="18"/>
              </w:rPr>
              <w:t>Stage</w:t>
            </w:r>
          </w:p>
        </w:tc>
        <w:tc>
          <w:tcPr>
            <w:tcW w:type="dxa" w:w="4075"/>
            <w:shd w:fill="15384A" w:val="clear"/>
            <w:tcMar>
              <w:top w:w="70" w:type="dxa"/>
              <w:start w:w="90" w:type="dxa"/>
              <w:bottom w:w="70" w:type="dxa"/>
              <w:end w:w="90" w:type="dxa"/>
            </w:tcMar>
          </w:tcPr>
          <w:p>
            <w:r>
              <w:rPr>
                <w:b/>
                <w:color w:val="FFFFFF"/>
                <w:sz w:val="18"/>
              </w:rPr>
              <w:t>Example output</w:t>
            </w:r>
          </w:p>
        </w:tc>
        <w:tc>
          <w:tcPr>
            <w:tcW w:type="dxa" w:w="3787"/>
            <w:shd w:fill="15384A" w:val="clear"/>
            <w:tcMar>
              <w:top w:w="70" w:type="dxa"/>
              <w:start w:w="90" w:type="dxa"/>
              <w:bottom w:w="70" w:type="dxa"/>
              <w:end w:w="90" w:type="dxa"/>
            </w:tcMar>
          </w:tcPr>
          <w:p>
            <w:r>
              <w:rPr>
                <w:b/>
                <w:color w:val="FFFFFF"/>
                <w:sz w:val="18"/>
              </w:rPr>
              <w:t>Still-required evidence</w:t>
            </w:r>
          </w:p>
        </w:tc>
      </w:tr>
      <w:tr>
        <w:trPr>
          <w:cantSplit/>
        </w:trPr>
        <w:tc>
          <w:tcPr>
            <w:tcW w:type="dxa" w:w="2419"/>
            <w:tcMar>
              <w:top w:w="70" w:type="dxa"/>
              <w:start w:w="90" w:type="dxa"/>
              <w:bottom w:w="70" w:type="dxa"/>
              <w:end w:w="90" w:type="dxa"/>
            </w:tcMar>
            <w:vAlign w:val="top"/>
          </w:tcPr>
          <w:p>
            <w:pPr>
              <w:spacing w:after="40" w:line="245" w:lineRule="auto"/>
            </w:pPr>
            <w:r>
              <w:rPr>
                <w:sz w:val="18"/>
              </w:rPr>
              <w:t>G0 / architecture</w:t>
            </w:r>
          </w:p>
        </w:tc>
        <w:tc>
          <w:tcPr>
            <w:tcW w:type="dxa" w:w="4075"/>
            <w:tcMar>
              <w:top w:w="70" w:type="dxa"/>
              <w:start w:w="90" w:type="dxa"/>
              <w:bottom w:w="70" w:type="dxa"/>
              <w:end w:w="90" w:type="dxa"/>
            </w:tcMar>
            <w:vAlign w:val="top"/>
          </w:tcPr>
          <w:p>
            <w:pPr>
              <w:spacing w:after="40" w:line="245" w:lineRule="auto"/>
            </w:pPr>
            <w:r>
              <w:rPr>
                <w:sz w:val="18"/>
              </w:rPr>
              <w:t>ADR-EX-01 and selected service scope; tenant/domain/placement and failure constraints.</w:t>
            </w:r>
          </w:p>
        </w:tc>
        <w:tc>
          <w:tcPr>
            <w:tcW w:type="dxa" w:w="3787"/>
            <w:tcMar>
              <w:top w:w="70" w:type="dxa"/>
              <w:start w:w="90" w:type="dxa"/>
              <w:bottom w:w="70" w:type="dxa"/>
              <w:end w:w="90" w:type="dxa"/>
            </w:tcMar>
            <w:vAlign w:val="top"/>
          </w:tcPr>
          <w:p>
            <w:pPr>
              <w:spacing w:after="40" w:line="245" w:lineRule="auto"/>
            </w:pPr>
            <w:r>
              <w:rPr>
                <w:sz w:val="18"/>
              </w:rPr>
              <w:t>Actual adopted decision and applicable control responsibilities.</w:t>
            </w:r>
          </w:p>
        </w:tc>
      </w:tr>
      <w:tr>
        <w:trPr>
          <w:cantSplit/>
        </w:trPr>
        <w:tc>
          <w:tcPr>
            <w:tcW w:type="dxa" w:w="2419"/>
            <w:tcMar>
              <w:top w:w="70" w:type="dxa"/>
              <w:start w:w="90" w:type="dxa"/>
              <w:bottom w:w="70" w:type="dxa"/>
              <w:end w:w="90" w:type="dxa"/>
            </w:tcMar>
            <w:vAlign w:val="top"/>
            <w:shd w:fill="F4F7F9" w:val="clear"/>
          </w:tcPr>
          <w:p>
            <w:pPr>
              <w:spacing w:after="40" w:line="245" w:lineRule="auto"/>
            </w:pPr>
            <w:r>
              <w:rPr>
                <w:sz w:val="18"/>
              </w:rPr>
              <w:t>P0–P1 / G1</w:t>
            </w:r>
          </w:p>
        </w:tc>
        <w:tc>
          <w:tcPr>
            <w:tcW w:type="dxa" w:w="4075"/>
            <w:tcMar>
              <w:top w:w="70" w:type="dxa"/>
              <w:start w:w="90" w:type="dxa"/>
              <w:bottom w:w="70" w:type="dxa"/>
              <w:end w:w="90" w:type="dxa"/>
            </w:tcMar>
            <w:vAlign w:val="top"/>
            <w:shd w:fill="F4F7F9" w:val="clear"/>
          </w:tcPr>
          <w:p>
            <w:pPr>
              <w:spacing w:after="40" w:line="245" w:lineRule="auto"/>
            </w:pPr>
            <w:r>
              <w:rPr>
                <w:sz w:val="18"/>
              </w:rPr>
              <w:t>Restricted recovery access and foundation transport/attachment capacity.</w:t>
            </w:r>
          </w:p>
        </w:tc>
        <w:tc>
          <w:tcPr>
            <w:tcW w:type="dxa" w:w="3787"/>
            <w:tcMar>
              <w:top w:w="70" w:type="dxa"/>
              <w:start w:w="90" w:type="dxa"/>
              <w:bottom w:w="70" w:type="dxa"/>
              <w:end w:w="90" w:type="dxa"/>
            </w:tcMar>
            <w:vAlign w:val="top"/>
            <w:shd w:fill="F4F7F9" w:val="clear"/>
          </w:tcPr>
          <w:p>
            <w:pPr>
              <w:spacing w:after="40" w:line="245" w:lineRule="auto"/>
            </w:pPr>
            <w:r>
              <w:rPr>
                <w:sz w:val="18"/>
              </w:rPr>
              <w:t>As-built physical and management observations; accepted inventory and actual owners.</w:t>
            </w:r>
          </w:p>
        </w:tc>
      </w:tr>
      <w:tr>
        <w:trPr>
          <w:cantSplit/>
        </w:trPr>
        <w:tc>
          <w:tcPr>
            <w:tcW w:type="dxa" w:w="2419"/>
            <w:tcMar>
              <w:top w:w="70" w:type="dxa"/>
              <w:start w:w="90" w:type="dxa"/>
              <w:bottom w:w="70" w:type="dxa"/>
              <w:end w:w="90" w:type="dxa"/>
            </w:tcMar>
            <w:vAlign w:val="top"/>
          </w:tcPr>
          <w:p>
            <w:pPr>
              <w:spacing w:after="40" w:line="245" w:lineRule="auto"/>
            </w:pPr>
            <w:r>
              <w:rPr>
                <w:sz w:val="18"/>
              </w:rPr>
              <w:t>P2/P3 installation</w:t>
            </w:r>
          </w:p>
        </w:tc>
        <w:tc>
          <w:tcPr>
            <w:tcW w:type="dxa" w:w="4075"/>
            <w:tcMar>
              <w:top w:w="70" w:type="dxa"/>
              <w:start w:w="90" w:type="dxa"/>
              <w:bottom w:w="70" w:type="dxa"/>
              <w:end w:w="90" w:type="dxa"/>
            </w:tcMar>
            <w:vAlign w:val="top"/>
          </w:tcPr>
          <w:p>
            <w:pPr>
              <w:spacing w:after="40" w:line="245" w:lineRule="auto"/>
            </w:pPr>
            <w:r>
              <w:rPr>
                <w:sz w:val="18"/>
              </w:rPr>
              <w:t>Selected native platform, denied boundaries and published provider-service endpoints.</w:t>
            </w:r>
          </w:p>
        </w:tc>
        <w:tc>
          <w:tcPr>
            <w:tcW w:type="dxa" w:w="3787"/>
            <w:tcMar>
              <w:top w:w="70" w:type="dxa"/>
              <w:start w:w="90" w:type="dxa"/>
              <w:bottom w:w="70" w:type="dxa"/>
              <w:end w:w="90" w:type="dxa"/>
            </w:tcMar>
            <w:vAlign w:val="top"/>
          </w:tcPr>
          <w:p>
            <w:pPr>
              <w:spacing w:after="40" w:line="245" w:lineRule="auto"/>
            </w:pPr>
            <w:r>
              <w:rPr>
                <w:sz w:val="18"/>
              </w:rPr>
              <w:t>Supported artifacts, native task/configuration receipts and exact tuple.</w:t>
            </w:r>
          </w:p>
        </w:tc>
      </w:tr>
      <w:tr>
        <w:trPr>
          <w:cantSplit/>
        </w:trPr>
        <w:tc>
          <w:tcPr>
            <w:tcW w:type="dxa" w:w="2419"/>
            <w:tcMar>
              <w:top w:w="70" w:type="dxa"/>
              <w:start w:w="90" w:type="dxa"/>
              <w:bottom w:w="70" w:type="dxa"/>
              <w:end w:w="90" w:type="dxa"/>
            </w:tcMar>
            <w:vAlign w:val="top"/>
            <w:shd w:fill="F4F7F9" w:val="clear"/>
          </w:tcPr>
          <w:p>
            <w:pPr>
              <w:spacing w:after="40" w:line="245" w:lineRule="auto"/>
            </w:pPr>
            <w:r>
              <w:rPr>
                <w:sz w:val="18"/>
              </w:rPr>
              <w:t>Restricted P4/P5 fixture</w:t>
            </w:r>
          </w:p>
        </w:tc>
        <w:tc>
          <w:tcPr>
            <w:tcW w:type="dxa" w:w="4075"/>
            <w:tcMar>
              <w:top w:w="70" w:type="dxa"/>
              <w:start w:w="90" w:type="dxa"/>
              <w:bottom w:w="70" w:type="dxa"/>
              <w:end w:w="90" w:type="dxa"/>
            </w:tcMar>
            <w:vAlign w:val="top"/>
            <w:shd w:fill="F4F7F9" w:val="clear"/>
          </w:tcPr>
          <w:p>
            <w:pPr>
              <w:spacing w:after="40" w:line="245" w:lineRule="auto"/>
            </w:pPr>
            <w:r>
              <w:rPr>
                <w:sz w:val="18"/>
              </w:rPr>
              <w:t>Disposable endpoints and temporary probe; routing, isolation, service and recovery tests.</w:t>
            </w:r>
          </w:p>
        </w:tc>
        <w:tc>
          <w:tcPr>
            <w:tcW w:type="dxa" w:w="3787"/>
            <w:tcMar>
              <w:top w:w="70" w:type="dxa"/>
              <w:start w:w="90" w:type="dxa"/>
              <w:bottom w:w="70" w:type="dxa"/>
              <w:end w:w="90" w:type="dxa"/>
            </w:tcMar>
            <w:vAlign w:val="top"/>
            <w:shd w:fill="F4F7F9" w:val="clear"/>
          </w:tcPr>
          <w:p>
            <w:pPr>
              <w:spacing w:after="40" w:line="245" w:lineRule="auto"/>
            </w:pPr>
            <w:r>
              <w:rPr>
                <w:sz w:val="18"/>
              </w:rPr>
              <w:t>Specific test authorization; actual observations rather than designed expectations.</w:t>
            </w:r>
          </w:p>
        </w:tc>
      </w:tr>
      <w:tr>
        <w:trPr>
          <w:cantSplit/>
        </w:trPr>
        <w:tc>
          <w:tcPr>
            <w:tcW w:type="dxa" w:w="2419"/>
            <w:tcMar>
              <w:top w:w="70" w:type="dxa"/>
              <w:start w:w="90" w:type="dxa"/>
              <w:bottom w:w="70" w:type="dxa"/>
              <w:end w:w="90" w:type="dxa"/>
            </w:tcMar>
            <w:vAlign w:val="top"/>
          </w:tcPr>
          <w:p>
            <w:pPr>
              <w:spacing w:after="40" w:line="245" w:lineRule="auto"/>
            </w:pPr>
            <w:r>
              <w:rPr>
                <w:sz w:val="18"/>
              </w:rPr>
              <w:t>G2 / qualification</w:t>
            </w:r>
          </w:p>
        </w:tc>
        <w:tc>
          <w:tcPr>
            <w:tcW w:type="dxa" w:w="4075"/>
            <w:tcMar>
              <w:top w:w="70" w:type="dxa"/>
              <w:start w:w="90" w:type="dxa"/>
              <w:bottom w:w="70" w:type="dxa"/>
              <w:end w:w="90" w:type="dxa"/>
            </w:tcMar>
            <w:vAlign w:val="top"/>
          </w:tcPr>
          <w:p>
            <w:pPr>
              <w:spacing w:after="40" w:line="245" w:lineRule="auto"/>
            </w:pPr>
            <w:r>
              <w:rPr>
                <w:sz w:val="18"/>
              </w:rPr>
              <w:t>Accepted service/capability envelope for the first stack.</w:t>
            </w:r>
          </w:p>
        </w:tc>
        <w:tc>
          <w:tcPr>
            <w:tcW w:type="dxa" w:w="3787"/>
            <w:tcMar>
              <w:top w:w="70" w:type="dxa"/>
              <w:start w:w="90" w:type="dxa"/>
              <w:bottom w:w="70" w:type="dxa"/>
              <w:end w:w="90" w:type="dxa"/>
            </w:tcMar>
            <w:vAlign w:val="top"/>
          </w:tcPr>
          <w:p>
            <w:pPr>
              <w:spacing w:after="40" w:line="245" w:lineRule="auto"/>
            </w:pPr>
            <w:r>
              <w:rPr>
                <w:sz w:val="18"/>
              </w:rPr>
              <w:t>Applicable passing observations, approved exceptions and measured limits.</w:t>
            </w:r>
          </w:p>
        </w:tc>
      </w:tr>
      <w:tr>
        <w:trPr>
          <w:cantSplit/>
        </w:trPr>
        <w:tc>
          <w:tcPr>
            <w:tcW w:type="dxa" w:w="2419"/>
            <w:tcMar>
              <w:top w:w="70" w:type="dxa"/>
              <w:start w:w="90" w:type="dxa"/>
              <w:bottom w:w="70" w:type="dxa"/>
              <w:end w:w="90" w:type="dxa"/>
            </w:tcMar>
            <w:vAlign w:val="top"/>
            <w:shd w:fill="F4F7F9" w:val="clear"/>
          </w:tcPr>
          <w:p>
            <w:pPr>
              <w:spacing w:after="40" w:line="245" w:lineRule="auto"/>
            </w:pPr>
            <w:r>
              <w:rPr>
                <w:sz w:val="18"/>
              </w:rPr>
              <w:t>G4 initial / readiness</w:t>
            </w:r>
          </w:p>
        </w:tc>
        <w:tc>
          <w:tcPr>
            <w:tcW w:type="dxa" w:w="4075"/>
            <w:tcMar>
              <w:top w:w="70" w:type="dxa"/>
              <w:start w:w="90" w:type="dxa"/>
              <w:bottom w:w="70" w:type="dxa"/>
              <w:end w:w="90" w:type="dxa"/>
            </w:tcMar>
            <w:vAlign w:val="top"/>
            <w:shd w:fill="F4F7F9" w:val="clear"/>
          </w:tcPr>
          <w:p>
            <w:pPr>
              <w:spacing w:after="40" w:line="245" w:lineRule="auto"/>
            </w:pPr>
            <w:r>
              <w:rPr>
                <w:sz w:val="18"/>
              </w:rPr>
              <w:t>Support, custody, telemetry, incident path and required restore proof ready.</w:t>
            </w:r>
          </w:p>
        </w:tc>
        <w:tc>
          <w:tcPr>
            <w:tcW w:type="dxa" w:w="3787"/>
            <w:tcMar>
              <w:top w:w="70" w:type="dxa"/>
              <w:start w:w="90" w:type="dxa"/>
              <w:bottom w:w="70" w:type="dxa"/>
              <w:end w:w="90" w:type="dxa"/>
            </w:tcMar>
            <w:vAlign w:val="top"/>
            <w:shd w:fill="F4F7F9" w:val="clear"/>
          </w:tcPr>
          <w:p>
            <w:pPr>
              <w:spacing w:after="40" w:line="245" w:lineRule="auto"/>
            </w:pPr>
            <w:r>
              <w:rPr>
                <w:sz w:val="18"/>
              </w:rPr>
              <w:t>Named owner decisions and evidence supporting the offered service promise.</w:t>
            </w:r>
          </w:p>
        </w:tc>
      </w:tr>
      <w:tr>
        <w:trPr>
          <w:cantSplit/>
        </w:trPr>
        <w:tc>
          <w:tcPr>
            <w:tcW w:type="dxa" w:w="2419"/>
            <w:tcMar>
              <w:top w:w="70" w:type="dxa"/>
              <w:start w:w="90" w:type="dxa"/>
              <w:bottom w:w="70" w:type="dxa"/>
              <w:end w:w="90" w:type="dxa"/>
            </w:tcMar>
            <w:vAlign w:val="top"/>
          </w:tcPr>
          <w:p>
            <w:pPr>
              <w:spacing w:after="40" w:line="245" w:lineRule="auto"/>
            </w:pPr>
            <w:r>
              <w:rPr>
                <w:sz w:val="18"/>
              </w:rPr>
              <w:t>Production P4/P5 / G3</w:t>
            </w:r>
          </w:p>
        </w:tc>
        <w:tc>
          <w:tcPr>
            <w:tcW w:type="dxa" w:w="4075"/>
            <w:tcMar>
              <w:top w:w="70" w:type="dxa"/>
              <w:start w:w="90" w:type="dxa"/>
              <w:bottom w:w="70" w:type="dxa"/>
              <w:end w:w="90" w:type="dxa"/>
            </w:tcMar>
            <w:vAlign w:val="top"/>
          </w:tcPr>
          <w:p>
            <w:pPr>
              <w:spacing w:after="40" w:line="245" w:lineRule="auto"/>
            </w:pPr>
            <w:r>
              <w:rPr>
                <w:sz w:val="18"/>
              </w:rPr>
              <w:t>New authorized tenant instance; current tests, controlled exposure and handover confirmation.</w:t>
            </w:r>
          </w:p>
        </w:tc>
        <w:tc>
          <w:tcPr>
            <w:tcW w:type="dxa" w:w="3787"/>
            <w:tcMar>
              <w:top w:w="70" w:type="dxa"/>
              <w:start w:w="90" w:type="dxa"/>
              <w:bottom w:w="70" w:type="dxa"/>
              <w:end w:w="90" w:type="dxa"/>
            </w:tcMar>
            <w:vAlign w:val="top"/>
          </w:tcPr>
          <w:p>
            <w:pPr>
              <w:spacing w:after="40" w:line="245" w:lineRule="auto"/>
            </w:pPr>
            <w:r>
              <w:rPr>
                <w:sz w:val="18"/>
              </w:rPr>
              <w:t>Current prerequisite decisions, valid operating authority and reversible activation record.</w:t>
            </w:r>
          </w:p>
        </w:tc>
      </w:tr>
      <w:tr>
        <w:trPr>
          <w:cantSplit/>
        </w:trPr>
        <w:tc>
          <w:tcPr>
            <w:tcW w:type="dxa" w:w="2419"/>
            <w:tcMar>
              <w:top w:w="70" w:type="dxa"/>
              <w:start w:w="90" w:type="dxa"/>
              <w:bottom w:w="70" w:type="dxa"/>
              <w:end w:w="90" w:type="dxa"/>
            </w:tcMar>
            <w:vAlign w:val="top"/>
            <w:shd w:fill="F4F7F9" w:val="clear"/>
          </w:tcPr>
          <w:p>
            <w:pPr>
              <w:spacing w:after="40" w:line="245" w:lineRule="auto"/>
            </w:pPr>
            <w:r>
              <w:rPr>
                <w:sz w:val="18"/>
              </w:rPr>
              <w:t>P6 / continuing G4</w:t>
            </w:r>
          </w:p>
        </w:tc>
        <w:tc>
          <w:tcPr>
            <w:tcW w:type="dxa" w:w="4075"/>
            <w:tcMar>
              <w:top w:w="70" w:type="dxa"/>
              <w:start w:w="90" w:type="dxa"/>
              <w:bottom w:w="70" w:type="dxa"/>
              <w:end w:w="90" w:type="dxa"/>
            </w:tcMar>
            <w:vAlign w:val="top"/>
            <w:shd w:fill="F4F7F9" w:val="clear"/>
          </w:tcPr>
          <w:p>
            <w:pPr>
              <w:spacing w:after="40" w:line="245" w:lineRule="auto"/>
            </w:pPr>
            <w:r>
              <w:rPr>
                <w:sz w:val="18"/>
              </w:rPr>
              <w:t>Changes, recovery exercises, migration or retirement.</w:t>
            </w:r>
          </w:p>
        </w:tc>
        <w:tc>
          <w:tcPr>
            <w:tcW w:type="dxa" w:w="3787"/>
            <w:tcMar>
              <w:top w:w="70" w:type="dxa"/>
              <w:start w:w="90" w:type="dxa"/>
              <w:bottom w:w="70" w:type="dxa"/>
              <w:end w:w="90" w:type="dxa"/>
            </w:tcMar>
            <w:vAlign w:val="top"/>
            <w:shd w:fill="F4F7F9" w:val="clear"/>
          </w:tcPr>
          <w:p>
            <w:pPr>
              <w:spacing w:after="40" w:line="245" w:lineRule="auto"/>
            </w:pPr>
            <w:r>
              <w:rPr>
                <w:sz w:val="18"/>
              </w:rPr>
              <w:t>Current as-built and requalification of materially changed scope.</w:t>
            </w:r>
          </w:p>
        </w:tc>
      </w:tr>
    </w:tbl>
    <w:p>
      <w:pPr>
        <w:spacing w:after="0"/>
      </w:pPr>
      <w:r/>
    </w:p>
    <w:p>
      <w:r>
        <w:t>STEP-EX-01 cannot be executed from this book alone. The implementation copy must name the approved site LLD, actual resources, tool artifact, executor, credential custody, expected result, stop condition and data-safe recovery step.</w:t>
      </w:r>
    </w:p>
    <w:p>
      <w:r>
        <w:br w:type="page"/>
      </w:r>
    </w:p>
    <w:p>
      <w:pPr>
        <w:pStyle w:val="Heading1"/>
      </w:pPr>
      <w:r>
        <w:t>6. Capacity and test-resource accounting</w:t>
      </w:r>
      <w:bookmarkStart w:id="1022" w:name="EX_06"/>
      <w:bookmarkEnd w:id="1022"/>
    </w:p>
    <w:p>
      <w:r>
        <w:t>Reference demand and actual deliverable capacity are different quantities. The engineering workbook separates them.</w:t>
      </w:r>
    </w:p>
    <w:p>
      <w:pPr>
        <w:pStyle w:val="Caption"/>
      </w:pPr>
      <w:r>
        <w:t xml:space="preserve">Baseline and related records: </w:t>
      </w:r>
      <w:hyperlink r:id="rId28">
        <w:r>
          <w:rPr>
            <w:color w:val="0B6B70"/>
            <w:u w:val="single"/>
          </w:rPr>
          <w:t>WD §11</w:t>
        </w:r>
      </w:hyperlink>
      <w:r>
        <w:t xml:space="preserve">  •  </w:t>
      </w:r>
      <w:hyperlink r:id="rId29">
        <w:r>
          <w:rPr>
            <w:color w:val="0B6B70"/>
            <w:u w:val="single"/>
          </w:rPr>
          <w:t>QUAL §3</w:t>
        </w:r>
      </w:hyperlink>
      <w:r>
        <w:t xml:space="preserve">  •  </w:t>
      </w:r>
      <w:hyperlink r:id="rId30">
        <w:r>
          <w:rPr>
            <w:color w:val="0B6B70"/>
            <w:u w:val="single"/>
          </w:rPr>
          <w:t>EK §6</w:t>
        </w:r>
      </w:hyperlink>
    </w:p>
    <w:tbl>
      <w:tblPr>
        <w:tblW w:type="auto" w:w="0"/>
        <w:jc w:val="center"/>
        <w:tblLayout w:type="fixed"/>
        <w:tblLook w:firstColumn="1" w:firstRow="1" w:lastColumn="0" w:lastRow="0" w:noHBand="0" w:noVBand="1" w:val="04A0"/>
      </w:tblPr>
      <w:tblGrid>
        <w:gridCol w:w="2491"/>
        <w:gridCol w:w="3629"/>
        <w:gridCol w:w="4162"/>
      </w:tblGrid>
      <w:tr>
        <w:trPr>
          <w:tblHeader/>
        </w:trPr>
        <w:tc>
          <w:tcPr>
            <w:tcW w:type="dxa" w:w="2491"/>
            <w:shd w:fill="15384A" w:val="clear"/>
            <w:tcMar>
              <w:top w:w="70" w:type="dxa"/>
              <w:start w:w="90" w:type="dxa"/>
              <w:bottom w:w="70" w:type="dxa"/>
              <w:end w:w="90" w:type="dxa"/>
            </w:tcMar>
          </w:tcPr>
          <w:p>
            <w:r>
              <w:rPr>
                <w:b/>
                <w:color w:val="FFFFFF"/>
                <w:sz w:val="18"/>
              </w:rPr>
              <w:t>Reference case</w:t>
            </w:r>
          </w:p>
        </w:tc>
        <w:tc>
          <w:tcPr>
            <w:tcW w:type="dxa" w:w="3629"/>
            <w:shd w:fill="15384A" w:val="clear"/>
            <w:tcMar>
              <w:top w:w="70" w:type="dxa"/>
              <w:start w:w="90" w:type="dxa"/>
              <w:bottom w:w="70" w:type="dxa"/>
              <w:end w:w="90" w:type="dxa"/>
            </w:tcMar>
          </w:tcPr>
          <w:p>
            <w:r>
              <w:rPr>
                <w:b/>
                <w:color w:val="FFFFFF"/>
                <w:sz w:val="18"/>
              </w:rPr>
              <w:t>Derived guest demand</w:t>
            </w:r>
          </w:p>
        </w:tc>
        <w:tc>
          <w:tcPr>
            <w:tcW w:type="dxa" w:w="4162"/>
            <w:shd w:fill="15384A" w:val="clear"/>
            <w:tcMar>
              <w:top w:w="70" w:type="dxa"/>
              <w:start w:w="90" w:type="dxa"/>
              <w:bottom w:w="70" w:type="dxa"/>
              <w:end w:w="90" w:type="dxa"/>
            </w:tcMar>
          </w:tcPr>
          <w:p>
            <w:r>
              <w:rPr>
                <w:b/>
                <w:color w:val="FFFFFF"/>
                <w:sz w:val="18"/>
              </w:rPr>
              <w:t>Limit of the calculation</w:t>
            </w:r>
          </w:p>
        </w:tc>
      </w:tr>
      <w:tr>
        <w:trPr>
          <w:cantSplit/>
        </w:trPr>
        <w:tc>
          <w:tcPr>
            <w:tcW w:type="dxa" w:w="2491"/>
            <w:tcMar>
              <w:top w:w="70" w:type="dxa"/>
              <w:start w:w="90" w:type="dxa"/>
              <w:bottom w:w="70" w:type="dxa"/>
              <w:end w:w="90" w:type="dxa"/>
            </w:tcMar>
            <w:vAlign w:val="top"/>
          </w:tcPr>
          <w:p>
            <w:pPr>
              <w:spacing w:after="40" w:line="245" w:lineRule="auto"/>
            </w:pPr>
            <w:r>
              <w:rPr>
                <w:sz w:val="18"/>
              </w:rPr>
              <w:t>Four permanent endpoints</w:t>
            </w:r>
          </w:p>
        </w:tc>
        <w:tc>
          <w:tcPr>
            <w:tcW w:type="dxa" w:w="3629"/>
            <w:tcMar>
              <w:top w:w="70" w:type="dxa"/>
              <w:start w:w="90" w:type="dxa"/>
              <w:bottom w:w="70" w:type="dxa"/>
              <w:end w:w="90" w:type="dxa"/>
            </w:tcMar>
            <w:vAlign w:val="top"/>
          </w:tcPr>
          <w:p>
            <w:pPr>
              <w:spacing w:after="40" w:line="245" w:lineRule="auto"/>
            </w:pPr>
            <w:r>
              <w:rPr>
                <w:sz w:val="18"/>
              </w:rPr>
              <w:t>8 vCPU, 16 GiB memory and 360 GiB virtual disks.</w:t>
            </w:r>
          </w:p>
        </w:tc>
        <w:tc>
          <w:tcPr>
            <w:tcW w:type="dxa" w:w="4162"/>
            <w:tcMar>
              <w:top w:w="70" w:type="dxa"/>
              <w:start w:w="90" w:type="dxa"/>
              <w:bottom w:w="70" w:type="dxa"/>
              <w:end w:w="90" w:type="dxa"/>
            </w:tcMar>
            <w:vAlign w:val="top"/>
          </w:tcPr>
          <w:p>
            <w:pPr>
              <w:spacing w:after="40" w:line="245" w:lineRule="auto"/>
            </w:pPr>
            <w:r>
              <w:rPr>
                <w:sz w:val="18"/>
              </w:rPr>
              <w:t>4 × (2 vCPU, 4 GiB, 40 GiB boot), plus two 100 GiB data disks.</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One sequential test probe</w:t>
            </w:r>
          </w:p>
        </w:tc>
        <w:tc>
          <w:tcPr>
            <w:tcW w:type="dxa" w:w="3629"/>
            <w:tcMar>
              <w:top w:w="70" w:type="dxa"/>
              <w:start w:w="90" w:type="dxa"/>
              <w:bottom w:w="70" w:type="dxa"/>
              <w:end w:w="90" w:type="dxa"/>
            </w:tcMar>
            <w:vAlign w:val="top"/>
            <w:shd w:fill="F4F7F9" w:val="clear"/>
          </w:tcPr>
          <w:p>
            <w:pPr>
              <w:spacing w:after="40" w:line="245" w:lineRule="auto"/>
            </w:pPr>
            <w:r>
              <w:rPr>
                <w:sz w:val="18"/>
              </w:rPr>
              <w:t>Peak 10 vCPU, 20 GiB memory and 400 GiB virtual disks.</w:t>
            </w:r>
          </w:p>
        </w:tc>
        <w:tc>
          <w:tcPr>
            <w:tcW w:type="dxa" w:w="4162"/>
            <w:tcMar>
              <w:top w:w="70" w:type="dxa"/>
              <w:start w:w="90" w:type="dxa"/>
              <w:bottom w:w="70" w:type="dxa"/>
              <w:end w:w="90" w:type="dxa"/>
            </w:tcMar>
            <w:vAlign w:val="top"/>
            <w:shd w:fill="F4F7F9" w:val="clear"/>
          </w:tcPr>
          <w:p>
            <w:pPr>
              <w:spacing w:after="40" w:line="245" w:lineRule="auto"/>
            </w:pPr>
            <w:r>
              <w:rPr>
                <w:sz w:val="18"/>
              </w:rPr>
              <w:t>One extra endpoint at the same small test size; not four simultaneous probes.</w:t>
            </w:r>
          </w:p>
        </w:tc>
      </w:tr>
      <w:tr>
        <w:trPr>
          <w:cantSplit/>
        </w:trPr>
        <w:tc>
          <w:tcPr>
            <w:tcW w:type="dxa" w:w="2491"/>
            <w:tcMar>
              <w:top w:w="70" w:type="dxa"/>
              <w:start w:w="90" w:type="dxa"/>
              <w:bottom w:w="70" w:type="dxa"/>
              <w:end w:w="90" w:type="dxa"/>
            </w:tcMar>
            <w:vAlign w:val="top"/>
          </w:tcPr>
          <w:p>
            <w:pPr>
              <w:spacing w:after="40" w:line="245" w:lineRule="auto"/>
            </w:pPr>
            <w:r>
              <w:rPr>
                <w:sz w:val="18"/>
              </w:rPr>
              <w:t>Four simultaneous test probes</w:t>
            </w:r>
          </w:p>
        </w:tc>
        <w:tc>
          <w:tcPr>
            <w:tcW w:type="dxa" w:w="3629"/>
            <w:tcMar>
              <w:top w:w="70" w:type="dxa"/>
              <w:start w:w="90" w:type="dxa"/>
              <w:bottom w:w="70" w:type="dxa"/>
              <w:end w:w="90" w:type="dxa"/>
            </w:tcMar>
            <w:vAlign w:val="top"/>
          </w:tcPr>
          <w:p>
            <w:pPr>
              <w:spacing w:after="40" w:line="245" w:lineRule="auto"/>
            </w:pPr>
            <w:r>
              <w:rPr>
                <w:sz w:val="18"/>
              </w:rPr>
              <w:t>16 vCPU, 32 GiB memory and 520 GiB virtual disks.</w:t>
            </w:r>
          </w:p>
        </w:tc>
        <w:tc>
          <w:tcPr>
            <w:tcW w:type="dxa" w:w="4162"/>
            <w:tcMar>
              <w:top w:w="70" w:type="dxa"/>
              <w:start w:w="90" w:type="dxa"/>
              <w:bottom w:w="70" w:type="dxa"/>
              <w:end w:w="90" w:type="dxa"/>
            </w:tcMar>
            <w:vAlign w:val="top"/>
          </w:tcPr>
          <w:p>
            <w:pPr>
              <w:spacing w:after="40" w:line="245" w:lineRule="auto"/>
            </w:pPr>
            <w:r>
              <w:rPr>
                <w:sz w:val="18"/>
              </w:rPr>
              <w:t>Alternative test execution plan only; cannot count it as the sequential plan.</w:t>
            </w:r>
          </w:p>
        </w:tc>
      </w:tr>
      <w:tr>
        <w:trPr>
          <w:cantSplit/>
        </w:trPr>
        <w:tc>
          <w:tcPr>
            <w:tcW w:type="dxa" w:w="2491"/>
            <w:tcMar>
              <w:top w:w="70" w:type="dxa"/>
              <w:start w:w="90" w:type="dxa"/>
              <w:bottom w:w="70" w:type="dxa"/>
              <w:end w:w="90" w:type="dxa"/>
            </w:tcMar>
            <w:vAlign w:val="top"/>
            <w:shd w:fill="F4F7F9" w:val="clear"/>
          </w:tcPr>
          <w:p>
            <w:pPr>
              <w:spacing w:after="40" w:line="245" w:lineRule="auto"/>
            </w:pPr>
            <w:r>
              <w:rPr>
                <w:sz w:val="18"/>
              </w:rPr>
              <w:t>Provider infrastructure</w:t>
            </w:r>
          </w:p>
        </w:tc>
        <w:tc>
          <w:tcPr>
            <w:tcW w:type="dxa" w:w="3629"/>
            <w:tcMar>
              <w:top w:w="70" w:type="dxa"/>
              <w:start w:w="90" w:type="dxa"/>
              <w:bottom w:w="70" w:type="dxa"/>
              <w:end w:w="90" w:type="dxa"/>
            </w:tcMar>
            <w:vAlign w:val="top"/>
            <w:shd w:fill="F4F7F9" w:val="clear"/>
          </w:tcPr>
          <w:p>
            <w:pPr>
              <w:spacing w:after="40" w:line="245" w:lineRule="auto"/>
            </w:pPr>
            <w:r>
              <w:rPr>
                <w:sz w:val="18"/>
              </w:rPr>
              <w:t>Additional, not quantified by the four guest VMs.</w:t>
            </w:r>
          </w:p>
        </w:tc>
        <w:tc>
          <w:tcPr>
            <w:tcW w:type="dxa" w:w="4162"/>
            <w:tcMar>
              <w:top w:w="70" w:type="dxa"/>
              <w:start w:w="90" w:type="dxa"/>
              <w:bottom w:w="70" w:type="dxa"/>
              <w:end w:w="90" w:type="dxa"/>
            </w:tcMar>
            <w:vAlign w:val="top"/>
            <w:shd w:fill="F4F7F9" w:val="clear"/>
          </w:tcPr>
          <w:p>
            <w:pPr>
              <w:spacing w:after="40" w:line="245" w:lineRule="auto"/>
            </w:pPr>
            <w:r>
              <w:rPr>
                <w:sz w:val="18"/>
              </w:rPr>
              <w:t>Controllers, edge/services, protection, replicas, hypervisor overhead and required reserves must be included.</w:t>
            </w:r>
          </w:p>
        </w:tc>
      </w:tr>
      <w:tr>
        <w:trPr>
          <w:cantSplit/>
        </w:trPr>
        <w:tc>
          <w:tcPr>
            <w:tcW w:type="dxa" w:w="2491"/>
            <w:tcMar>
              <w:top w:w="70" w:type="dxa"/>
              <w:start w:w="90" w:type="dxa"/>
              <w:bottom w:w="70" w:type="dxa"/>
              <w:end w:w="90" w:type="dxa"/>
            </w:tcMar>
            <w:vAlign w:val="top"/>
          </w:tcPr>
          <w:p>
            <w:pPr>
              <w:spacing w:after="40" w:line="245" w:lineRule="auto"/>
            </w:pPr>
            <w:r>
              <w:rPr>
                <w:sz w:val="18"/>
              </w:rPr>
              <w:t>Surviving capacity</w:t>
            </w:r>
          </w:p>
        </w:tc>
        <w:tc>
          <w:tcPr>
            <w:tcW w:type="dxa" w:w="3629"/>
            <w:tcMar>
              <w:top w:w="70" w:type="dxa"/>
              <w:start w:w="90" w:type="dxa"/>
              <w:bottom w:w="70" w:type="dxa"/>
              <w:end w:w="90" w:type="dxa"/>
            </w:tcMar>
            <w:vAlign w:val="top"/>
          </w:tcPr>
          <w:p>
            <w:pPr>
              <w:spacing w:after="40" w:line="245" w:lineRule="auto"/>
            </w:pPr>
            <w:r>
              <w:rPr>
                <w:sz w:val="18"/>
              </w:rPr>
              <w:t>Accepted load plus increment must fit each remaining dimension after failure and reserve.</w:t>
            </w:r>
          </w:p>
        </w:tc>
        <w:tc>
          <w:tcPr>
            <w:tcW w:type="dxa" w:w="4162"/>
            <w:tcMar>
              <w:top w:w="70" w:type="dxa"/>
              <w:start w:w="90" w:type="dxa"/>
              <w:bottom w:w="70" w:type="dxa"/>
              <w:end w:w="90" w:type="dxa"/>
            </w:tcMar>
            <w:vAlign w:val="top"/>
          </w:tcPr>
          <w:p>
            <w:pPr>
              <w:spacing w:after="40" w:line="245" w:lineRule="auto"/>
            </w:pPr>
            <w:r>
              <w:rPr>
                <w:sz w:val="18"/>
              </w:rPr>
              <w:t>Memory, storage, edge throughput/sessions, routes, attachments and service/API limits cannot substitute for one another.</w:t>
            </w:r>
          </w:p>
        </w:tc>
      </w:tr>
    </w:tbl>
    <w:p>
      <w:pPr>
        <w:spacing w:after="0"/>
      </w:pPr>
      <w:r/>
    </w:p>
    <w:p>
      <w:pPr>
        <w:pStyle w:val="Heading2"/>
      </w:pPr>
      <w:r>
        <w:t>MTU example</w:t>
      </w:r>
    </w:p>
    <w:p>
      <w:r>
        <w:t>For basic VXLAN carrying an untagged inner Ethernet frame, a 1450-byte workload IP packet adds 14 + 8 + 8 + 20 bytes for inner Ethernet, VXLAN, UDP and outer IPv4: 1500 bytes of outer IP packet. With outer IPv6, use 40 rather than 20: 1520 bytes. An inner VLAN tag adds another 4 bytes. Outer link framing and actual device MTU definitions are separate.</w:t>
      </w:r>
    </w:p>
    <w:p>
      <w:r>
        <w:t>The workbook exposes these inputs and arithmetic. Geneve options, IPsec, nested tunnels and other headers need their actual byte budget. An illustrative fit does not establish that every active and surviving path supports the selected workload MTU.</w:t>
      </w:r>
    </w:p>
    <w:p>
      <w:r>
        <w:br w:type="page"/>
      </w:r>
    </w:p>
    <w:p>
      <w:pPr>
        <w:pStyle w:val="Heading1"/>
      </w:pPr>
      <w:r>
        <w:t>7. Observe, recover and retire without invented results</w:t>
      </w:r>
      <w:bookmarkStart w:id="1023" w:name="EX_07"/>
      <w:bookmarkEnd w:id="1023"/>
    </w:p>
    <w:p>
      <w:r>
        <w:t>This example intentionally ends with evidence not supplied and activation not issued. That is the correct result for a documentation kit.</w:t>
      </w:r>
    </w:p>
    <w:p>
      <w:pPr>
        <w:pStyle w:val="Caption"/>
      </w:pPr>
      <w:r>
        <w:t xml:space="preserve">Baseline and related records: </w:t>
      </w:r>
      <w:hyperlink r:id="rId14">
        <w:r>
          <w:rPr>
            <w:color w:val="0B6B70"/>
            <w:u w:val="single"/>
          </w:rPr>
          <w:t>IT §4</w:t>
        </w:r>
      </w:hyperlink>
      <w:r>
        <w:t xml:space="preserve">  •  </w:t>
      </w:r>
      <w:hyperlink r:id="rId31">
        <w:r>
          <w:rPr>
            <w:color w:val="0B6B70"/>
            <w:u w:val="single"/>
          </w:rPr>
          <w:t>IT §5</w:t>
        </w:r>
      </w:hyperlink>
      <w:r>
        <w:t xml:space="preserve">  •  </w:t>
      </w:r>
      <w:hyperlink r:id="rId32">
        <w:r>
          <w:rPr>
            <w:color w:val="0B6B70"/>
            <w:u w:val="single"/>
          </w:rPr>
          <w:t>IT §8</w:t>
        </w:r>
      </w:hyperlink>
      <w:r>
        <w:t xml:space="preserve">  •  </w:t>
      </w:r>
      <w:hyperlink r:id="rId33">
        <w:r>
          <w:rPr>
            <w:color w:val="0B6B70"/>
            <w:u w:val="single"/>
          </w:rPr>
          <w:t>WD §13</w:t>
        </w:r>
      </w:hyperlink>
    </w:p>
    <w:tbl>
      <w:tblPr>
        <w:tblW w:type="auto" w:w="0"/>
        <w:jc w:val="center"/>
        <w:tblLayout w:type="fixed"/>
        <w:tblLook w:firstColumn="1" w:firstRow="1" w:lastColumn="0" w:lastRow="0" w:noHBand="0" w:noVBand="1" w:val="04A0"/>
      </w:tblPr>
      <w:tblGrid>
        <w:gridCol w:w="2880"/>
        <w:gridCol w:w="4608"/>
        <w:gridCol w:w="2794"/>
      </w:tblGrid>
      <w:tr>
        <w:trPr>
          <w:tblHeader/>
        </w:trPr>
        <w:tc>
          <w:tcPr>
            <w:tcW w:type="dxa" w:w="2880"/>
            <w:shd w:fill="15384A" w:val="clear"/>
            <w:tcMar>
              <w:top w:w="70" w:type="dxa"/>
              <w:start w:w="90" w:type="dxa"/>
              <w:bottom w:w="70" w:type="dxa"/>
              <w:end w:w="90" w:type="dxa"/>
            </w:tcMar>
          </w:tcPr>
          <w:p>
            <w:r>
              <w:rPr>
                <w:b/>
                <w:color w:val="FFFFFF"/>
                <w:sz w:val="18"/>
              </w:rPr>
              <w:t>Observation / record</w:t>
            </w:r>
          </w:p>
        </w:tc>
        <w:tc>
          <w:tcPr>
            <w:tcW w:type="dxa" w:w="4608"/>
            <w:shd w:fill="15384A" w:val="clear"/>
            <w:tcMar>
              <w:top w:w="70" w:type="dxa"/>
              <w:start w:w="90" w:type="dxa"/>
              <w:bottom w:w="70" w:type="dxa"/>
              <w:end w:w="90" w:type="dxa"/>
            </w:tcMar>
          </w:tcPr>
          <w:p>
            <w:r>
              <w:rPr>
                <w:b/>
                <w:color w:val="FFFFFF"/>
                <w:sz w:val="18"/>
              </w:rPr>
              <w:t>Expected outcome</w:t>
            </w:r>
          </w:p>
        </w:tc>
        <w:tc>
          <w:tcPr>
            <w:tcW w:type="dxa" w:w="2794"/>
            <w:shd w:fill="15384A" w:val="clear"/>
            <w:tcMar>
              <w:top w:w="70" w:type="dxa"/>
              <w:start w:w="90" w:type="dxa"/>
              <w:bottom w:w="70" w:type="dxa"/>
              <w:end w:w="90" w:type="dxa"/>
            </w:tcMar>
          </w:tcPr>
          <w:p>
            <w:r>
              <w:rPr>
                <w:b/>
                <w:color w:val="FFFFFF"/>
                <w:sz w:val="18"/>
              </w:rPr>
              <w:t>Actual result</w:t>
            </w:r>
          </w:p>
        </w:tc>
      </w:tr>
      <w:tr>
        <w:trPr>
          <w:cantSplit/>
        </w:trPr>
        <w:tc>
          <w:tcPr>
            <w:tcW w:type="dxa" w:w="2880"/>
            <w:tcMar>
              <w:top w:w="70" w:type="dxa"/>
              <w:start w:w="90" w:type="dxa"/>
              <w:bottom w:w="70" w:type="dxa"/>
              <w:end w:w="90" w:type="dxa"/>
            </w:tcMar>
            <w:vAlign w:val="top"/>
          </w:tcPr>
          <w:p>
            <w:pPr>
              <w:spacing w:after="40" w:line="245" w:lineRule="auto"/>
            </w:pPr>
            <w:r>
              <w:rPr>
                <w:sz w:val="18"/>
              </w:rPr>
              <w:t>OBS-EX-01 · routing</w:t>
            </w:r>
          </w:p>
        </w:tc>
        <w:tc>
          <w:tcPr>
            <w:tcW w:type="dxa" w:w="4608"/>
            <w:tcMar>
              <w:top w:w="70" w:type="dxa"/>
              <w:start w:w="90" w:type="dxa"/>
              <w:bottom w:w="70" w:type="dxa"/>
              <w:end w:w="90" w:type="dxa"/>
            </w:tcMar>
            <w:vAlign w:val="top"/>
          </w:tcPr>
          <w:p>
            <w:pPr>
              <w:spacing w:after="40" w:line="245" w:lineRule="auto"/>
            </w:pPr>
            <w:r>
              <w:rPr>
                <w:sz w:val="18"/>
              </w:rPr>
              <w:t>Approved application and reply paths traverse EC-01; no native bypass.</w:t>
            </w:r>
          </w:p>
        </w:tc>
        <w:tc>
          <w:tcPr>
            <w:tcW w:type="dxa" w:w="2794"/>
            <w:tcMar>
              <w:top w:w="70" w:type="dxa"/>
              <w:start w:w="90" w:type="dxa"/>
              <w:bottom w:w="70" w:type="dxa"/>
              <w:end w:w="90" w:type="dxa"/>
            </w:tcMar>
            <w:vAlign w:val="top"/>
          </w:tcPr>
          <w:p>
            <w:pPr>
              <w:spacing w:after="40" w:line="245" w:lineRule="auto"/>
            </w:pPr>
            <w:r>
              <w:rPr>
                <w:sz w:val="18"/>
              </w:rPr>
              <w:t>NOT RUN; no target tuple or observations.</w:t>
            </w:r>
          </w:p>
        </w:tc>
      </w:tr>
      <w:tr>
        <w:trPr>
          <w:cantSplit/>
        </w:trPr>
        <w:tc>
          <w:tcPr>
            <w:tcW w:type="dxa" w:w="2880"/>
            <w:tcMar>
              <w:top w:w="70" w:type="dxa"/>
              <w:start w:w="90" w:type="dxa"/>
              <w:bottom w:w="70" w:type="dxa"/>
              <w:end w:w="90" w:type="dxa"/>
            </w:tcMar>
            <w:vAlign w:val="top"/>
            <w:shd w:fill="F4F7F9" w:val="clear"/>
          </w:tcPr>
          <w:p>
            <w:pPr>
              <w:spacing w:after="40" w:line="245" w:lineRule="auto"/>
            </w:pPr>
            <w:r>
              <w:rPr>
                <w:sz w:val="18"/>
              </w:rPr>
              <w:t>OBS-EX-02 · tenancy</w:t>
            </w:r>
          </w:p>
        </w:tc>
        <w:tc>
          <w:tcPr>
            <w:tcW w:type="dxa" w:w="4608"/>
            <w:tcMar>
              <w:top w:w="70" w:type="dxa"/>
              <w:start w:w="90" w:type="dxa"/>
              <w:bottom w:w="70" w:type="dxa"/>
              <w:end w:w="90" w:type="dxa"/>
            </w:tcMar>
            <w:vAlign w:val="top"/>
            <w:shd w:fill="F4F7F9" w:val="clear"/>
          </w:tcPr>
          <w:p>
            <w:pPr>
              <w:spacing w:after="40" w:line="245" w:lineRule="auto"/>
            </w:pPr>
            <w:r>
              <w:rPr>
                <w:sz w:val="18"/>
              </w:rPr>
              <w:t>Tenant-01 cannot use tenant-02 paths, data or administrative rights.</w:t>
            </w:r>
          </w:p>
        </w:tc>
        <w:tc>
          <w:tcPr>
            <w:tcW w:type="dxa" w:w="2794"/>
            <w:tcMar>
              <w:top w:w="70" w:type="dxa"/>
              <w:start w:w="90" w:type="dxa"/>
              <w:bottom w:w="70" w:type="dxa"/>
              <w:end w:w="90" w:type="dxa"/>
            </w:tcMar>
            <w:vAlign w:val="top"/>
            <w:shd w:fill="F4F7F9" w:val="clear"/>
          </w:tcPr>
          <w:p>
            <w:pPr>
              <w:spacing w:after="40" w:line="245" w:lineRule="auto"/>
            </w:pPr>
            <w:r>
              <w:rPr>
                <w:sz w:val="18"/>
              </w:rPr>
              <w:t>NOT RUN; qualified test target required.</w:t>
            </w:r>
          </w:p>
        </w:tc>
      </w:tr>
      <w:tr>
        <w:trPr>
          <w:cantSplit/>
        </w:trPr>
        <w:tc>
          <w:tcPr>
            <w:tcW w:type="dxa" w:w="2880"/>
            <w:tcMar>
              <w:top w:w="70" w:type="dxa"/>
              <w:start w:w="90" w:type="dxa"/>
              <w:bottom w:w="70" w:type="dxa"/>
              <w:end w:w="90" w:type="dxa"/>
            </w:tcMar>
            <w:vAlign w:val="top"/>
          </w:tcPr>
          <w:p>
            <w:pPr>
              <w:spacing w:after="40" w:line="245" w:lineRule="auto"/>
            </w:pPr>
            <w:r>
              <w:rPr>
                <w:sz w:val="18"/>
              </w:rPr>
              <w:t>OBS-EX-03 · services</w:t>
            </w:r>
          </w:p>
        </w:tc>
        <w:tc>
          <w:tcPr>
            <w:tcW w:type="dxa" w:w="4608"/>
            <w:tcMar>
              <w:top w:w="70" w:type="dxa"/>
              <w:start w:w="90" w:type="dxa"/>
              <w:bottom w:w="70" w:type="dxa"/>
              <w:end w:w="90" w:type="dxa"/>
            </w:tcMar>
            <w:vAlign w:val="top"/>
          </w:tcPr>
          <w:p>
            <w:pPr>
              <w:spacing w:after="40" w:line="245" w:lineRule="auto"/>
            </w:pPr>
            <w:r>
              <w:rPr>
                <w:sz w:val="18"/>
              </w:rPr>
              <w:t>Only entitled endpoints; DNS TCP/UDP and fallback operate with correct return scope.</w:t>
            </w:r>
          </w:p>
        </w:tc>
        <w:tc>
          <w:tcPr>
            <w:tcW w:type="dxa" w:w="2794"/>
            <w:tcMar>
              <w:top w:w="70" w:type="dxa"/>
              <w:start w:w="90" w:type="dxa"/>
              <w:bottom w:w="70" w:type="dxa"/>
              <w:end w:w="90" w:type="dxa"/>
            </w:tcMar>
            <w:vAlign w:val="top"/>
          </w:tcPr>
          <w:p>
            <w:pPr>
              <w:spacing w:after="40" w:line="245" w:lineRule="auto"/>
            </w:pPr>
            <w:r>
              <w:rPr>
                <w:sz w:val="18"/>
              </w:rPr>
              <w:t>NOT RUN; actual protocol/service configuration required.</w:t>
            </w:r>
          </w:p>
        </w:tc>
      </w:tr>
      <w:tr>
        <w:trPr>
          <w:cantSplit/>
        </w:trPr>
        <w:tc>
          <w:tcPr>
            <w:tcW w:type="dxa" w:w="2880"/>
            <w:tcMar>
              <w:top w:w="70" w:type="dxa"/>
              <w:start w:w="90" w:type="dxa"/>
              <w:bottom w:w="70" w:type="dxa"/>
              <w:end w:w="90" w:type="dxa"/>
            </w:tcMar>
            <w:vAlign w:val="top"/>
            <w:shd w:fill="F4F7F9" w:val="clear"/>
          </w:tcPr>
          <w:p>
            <w:pPr>
              <w:spacing w:after="40" w:line="245" w:lineRule="auto"/>
            </w:pPr>
            <w:r>
              <w:rPr>
                <w:sz w:val="18"/>
              </w:rPr>
              <w:t>OBS-EX-04 · placement</w:t>
            </w:r>
          </w:p>
        </w:tc>
        <w:tc>
          <w:tcPr>
            <w:tcW w:type="dxa" w:w="4608"/>
            <w:tcMar>
              <w:top w:w="70" w:type="dxa"/>
              <w:start w:w="90" w:type="dxa"/>
              <w:bottom w:w="70" w:type="dxa"/>
              <w:end w:w="90" w:type="dxa"/>
            </w:tcMar>
            <w:vAlign w:val="top"/>
            <w:shd w:fill="F4F7F9" w:val="clear"/>
          </w:tcPr>
          <w:p>
            <w:pPr>
              <w:spacing w:after="40" w:line="245" w:lineRule="auto"/>
            </w:pPr>
            <w:r>
              <w:rPr>
                <w:sz w:val="18"/>
              </w:rPr>
              <w:t>Temporary probe tests within permitted same-domain placements; restart remains eligible.</w:t>
            </w:r>
          </w:p>
        </w:tc>
        <w:tc>
          <w:tcPr>
            <w:tcW w:type="dxa" w:w="2794"/>
            <w:tcMar>
              <w:top w:w="70" w:type="dxa"/>
              <w:start w:w="90" w:type="dxa"/>
              <w:bottom w:w="70" w:type="dxa"/>
              <w:end w:w="90" w:type="dxa"/>
            </w:tcMar>
            <w:vAlign w:val="top"/>
            <w:shd w:fill="F4F7F9" w:val="clear"/>
          </w:tcPr>
          <w:p>
            <w:pPr>
              <w:spacing w:after="40" w:line="245" w:lineRule="auto"/>
            </w:pPr>
            <w:r>
              <w:rPr>
                <w:sz w:val="18"/>
              </w:rPr>
              <w:t>NOT RUN; approved sharing and host map required.</w:t>
            </w:r>
          </w:p>
        </w:tc>
      </w:tr>
      <w:tr>
        <w:trPr>
          <w:cantSplit/>
        </w:trPr>
        <w:tc>
          <w:tcPr>
            <w:tcW w:type="dxa" w:w="2880"/>
            <w:tcMar>
              <w:top w:w="70" w:type="dxa"/>
              <w:start w:w="90" w:type="dxa"/>
              <w:bottom w:w="70" w:type="dxa"/>
              <w:end w:w="90" w:type="dxa"/>
            </w:tcMar>
            <w:vAlign w:val="top"/>
          </w:tcPr>
          <w:p>
            <w:pPr>
              <w:spacing w:after="40" w:line="245" w:lineRule="auto"/>
            </w:pPr>
            <w:r>
              <w:rPr>
                <w:sz w:val="18"/>
              </w:rPr>
              <w:t>REC-EX-01 · restore</w:t>
            </w:r>
          </w:p>
        </w:tc>
        <w:tc>
          <w:tcPr>
            <w:tcW w:type="dxa" w:w="4608"/>
            <w:tcMar>
              <w:top w:w="70" w:type="dxa"/>
              <w:start w:w="90" w:type="dxa"/>
              <w:bottom w:w="70" w:type="dxa"/>
              <w:end w:w="90" w:type="dxa"/>
            </w:tcMar>
            <w:vAlign w:val="top"/>
          </w:tcPr>
          <w:p>
            <w:pPr>
              <w:spacing w:after="40" w:line="245" w:lineRule="auto"/>
            </w:pPr>
            <w:r>
              <w:rPr>
                <w:sz w:val="18"/>
              </w:rPr>
              <w:t>Useful consistent data, keys/catalogue and isolated target recover within the selected scope.</w:t>
            </w:r>
          </w:p>
        </w:tc>
        <w:tc>
          <w:tcPr>
            <w:tcW w:type="dxa" w:w="2794"/>
            <w:tcMar>
              <w:top w:w="70" w:type="dxa"/>
              <w:start w:w="90" w:type="dxa"/>
              <w:bottom w:w="70" w:type="dxa"/>
              <w:end w:w="90" w:type="dxa"/>
            </w:tcMar>
            <w:vAlign w:val="top"/>
          </w:tcPr>
          <w:p>
            <w:pPr>
              <w:spacing w:after="40" w:line="245" w:lineRule="auto"/>
            </w:pPr>
            <w:r>
              <w:rPr>
                <w:sz w:val="18"/>
              </w:rPr>
              <w:t>NOT RUN; no measured RTO/RPO.</w:t>
            </w:r>
          </w:p>
        </w:tc>
      </w:tr>
      <w:tr>
        <w:trPr>
          <w:cantSplit/>
        </w:trPr>
        <w:tc>
          <w:tcPr>
            <w:tcW w:type="dxa" w:w="2880"/>
            <w:tcMar>
              <w:top w:w="70" w:type="dxa"/>
              <w:start w:w="90" w:type="dxa"/>
              <w:bottom w:w="70" w:type="dxa"/>
              <w:end w:w="90" w:type="dxa"/>
            </w:tcMar>
            <w:vAlign w:val="top"/>
            <w:shd w:fill="F4F7F9" w:val="clear"/>
          </w:tcPr>
          <w:p>
            <w:pPr>
              <w:spacing w:after="40" w:line="245" w:lineRule="auto"/>
            </w:pPr>
            <w:r>
              <w:rPr>
                <w:sz w:val="18"/>
              </w:rPr>
              <w:t>RET-EX-01 · retirement</w:t>
            </w:r>
          </w:p>
        </w:tc>
        <w:tc>
          <w:tcPr>
            <w:tcW w:type="dxa" w:w="4608"/>
            <w:tcMar>
              <w:top w:w="70" w:type="dxa"/>
              <w:start w:w="90" w:type="dxa"/>
              <w:bottom w:w="70" w:type="dxa"/>
              <w:end w:w="90" w:type="dxa"/>
            </w:tcMar>
            <w:vAlign w:val="top"/>
            <w:shd w:fill="F4F7F9" w:val="clear"/>
          </w:tcPr>
          <w:p>
            <w:pPr>
              <w:spacing w:after="40" w:line="245" w:lineRule="auto"/>
            </w:pPr>
            <w:r>
              <w:rPr>
                <w:sz w:val="18"/>
              </w:rPr>
              <w:t>Live grants/routes removed while held copies and recovery keys remain accountable.</w:t>
            </w:r>
          </w:p>
        </w:tc>
        <w:tc>
          <w:tcPr>
            <w:tcW w:type="dxa" w:w="2794"/>
            <w:tcMar>
              <w:top w:w="70" w:type="dxa"/>
              <w:start w:w="90" w:type="dxa"/>
              <w:bottom w:w="70" w:type="dxa"/>
              <w:end w:w="90" w:type="dxa"/>
            </w:tcMar>
            <w:vAlign w:val="top"/>
            <w:shd w:fill="F4F7F9" w:val="clear"/>
          </w:tcPr>
          <w:p>
            <w:pPr>
              <w:spacing w:after="40" w:line="245" w:lineRule="auto"/>
            </w:pPr>
            <w:r>
              <w:rPr>
                <w:sz w:val="18"/>
              </w:rPr>
              <w:t>NOT RUN; no resource disposal performed.</w:t>
            </w:r>
          </w:p>
        </w:tc>
      </w:tr>
      <w:tr>
        <w:trPr>
          <w:cantSplit/>
        </w:trPr>
        <w:tc>
          <w:tcPr>
            <w:tcW w:type="dxa" w:w="2880"/>
            <w:tcMar>
              <w:top w:w="70" w:type="dxa"/>
              <w:start w:w="90" w:type="dxa"/>
              <w:bottom w:w="70" w:type="dxa"/>
              <w:end w:w="90" w:type="dxa"/>
            </w:tcMar>
            <w:vAlign w:val="top"/>
          </w:tcPr>
          <w:p>
            <w:pPr>
              <w:spacing w:after="40" w:line="245" w:lineRule="auto"/>
            </w:pPr>
            <w:r>
              <w:rPr>
                <w:sz w:val="18"/>
              </w:rPr>
              <w:t>GATE-EX-01 · activation</w:t>
            </w:r>
          </w:p>
        </w:tc>
        <w:tc>
          <w:tcPr>
            <w:tcW w:type="dxa" w:w="4608"/>
            <w:tcMar>
              <w:top w:w="70" w:type="dxa"/>
              <w:start w:w="90" w:type="dxa"/>
              <w:bottom w:w="70" w:type="dxa"/>
              <w:end w:w="90" w:type="dxa"/>
            </w:tcMar>
            <w:vAlign w:val="top"/>
          </w:tcPr>
          <w:p>
            <w:pPr>
              <w:spacing w:after="40" w:line="245" w:lineRule="auto"/>
            </w:pPr>
            <w:r>
              <w:rPr>
                <w:sz w:val="18"/>
              </w:rPr>
              <w:t>Design, qualification, initial readiness and current operating authority all support the delivered scope.</w:t>
            </w:r>
          </w:p>
        </w:tc>
        <w:tc>
          <w:tcPr>
            <w:tcW w:type="dxa" w:w="2794"/>
            <w:tcMar>
              <w:top w:w="70" w:type="dxa"/>
              <w:start w:w="90" w:type="dxa"/>
              <w:bottom w:w="70" w:type="dxa"/>
              <w:end w:w="90" w:type="dxa"/>
            </w:tcMar>
            <w:vAlign w:val="top"/>
          </w:tcPr>
          <w:p>
            <w:pPr>
              <w:spacing w:after="40" w:line="245" w:lineRule="auto"/>
            </w:pPr>
            <w:r>
              <w:rPr>
                <w:sz w:val="18"/>
              </w:rPr>
              <w:t>NOT ISSUED; no organization or individual impersonated.</w:t>
            </w:r>
          </w:p>
        </w:tc>
      </w:tr>
    </w:tbl>
    <w:p>
      <w:pPr>
        <w:spacing w:after="0"/>
      </w:pPr>
      <w:r/>
    </w:p>
    <w:p>
      <w:r>
        <w:t>A completed project would replace these statuses with attributable execution records in IT and the implementation workbook. The historical reference remains unchanged. A supported variation may produce a different native topology while retaining the intended boundaries, resource ownership and service outcomes.</w:t>
      </w:r>
    </w:p>
    <w:p>
      <w:pPr>
        <w:keepLines/>
        <w:spacing w:before="140" w:after="200"/>
        <w:shd w:fill="EEF5F7" w:val="clear"/>
        <w:pBdr>
          <w:left w:val="single" w:sz="12" w:space="8" w:color="0B6B70"/>
        </w:pBdr>
      </w:pPr>
      <w:r>
        <w:rPr>
          <w:b/>
        </w:rPr>
        <w:t>Next project action: name the accountable owners and resolve the actual site, platform tuple, boundary mechanism, service parameters and authorization process in the working templates. Those inputs are not invented to make the kit appear production-ready.</w:t>
      </w:r>
    </w:p>
    <w:sectPr w:rsidR="00FC693F" w:rsidRPr="0006063C" w:rsidSect="00034616">
      <w:headerReference w:type="default" r:id="rId9"/>
      <w:footerReference w:type="default" r:id="rId10"/>
      <w:pgSz w:w="12240" w:h="15840"/>
      <w:pgMar w:top="936" w:right="979" w:bottom="936" w:left="979"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v1.0  •  Architecture baseline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4"/>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7_Worked_Infrastructure_Design_and_Acceptance_v1_4.docx#WD14_S02" TargetMode="External"/><Relationship Id="rId12" Type="http://schemas.openxmlformats.org/officeDocument/2006/relationships/hyperlink" Target="../01_Architecture/Architecture_Kit.docx#AK_05" TargetMode="External"/><Relationship Id="rId13" Type="http://schemas.openxmlformats.org/officeDocument/2006/relationships/hyperlink" Target="../02_Engineering/LLD_and_Engineering_Review_Template.docx#ET_04" TargetMode="External"/><Relationship Id="rId14" Type="http://schemas.openxmlformats.org/officeDocument/2006/relationships/hyperlink" Target="../03_Implementation/MOP_Test_and_Handover_Template.docx#IT_04" TargetMode="External"/><Relationship Id="rId15" Type="http://schemas.openxmlformats.org/officeDocument/2006/relationships/hyperlink" Target="../05_Reference_v1_4/07_Worked_Infrastructure_Design_and_Acceptance_v1_4.docx#WD14_S03" TargetMode="External"/><Relationship Id="rId16" Type="http://schemas.openxmlformats.org/officeDocument/2006/relationships/hyperlink" Target="../05_Reference_v1_4/07_Worked_Infrastructure_Design_and_Acceptance_v1_4.docx#WD14_S04" TargetMode="External"/><Relationship Id="rId17" Type="http://schemas.openxmlformats.org/officeDocument/2006/relationships/hyperlink" Target="../05_Reference_v1_4/07_Worked_Infrastructure_Design_and_Acceptance_v1_4.docx#WD14_S05" TargetMode="External"/><Relationship Id="rId18" Type="http://schemas.openxmlformats.org/officeDocument/2006/relationships/hyperlink" Target="../05_Reference_v1_4/07_Worked_Infrastructure_Design_and_Acceptance_v1_4.docx#WD14_S06" TargetMode="External"/><Relationship Id="rId19" Type="http://schemas.openxmlformats.org/officeDocument/2006/relationships/hyperlink" Target="../05_Reference_v1_4/07_Worked_Infrastructure_Design_and_Acceptance_v1_4.docx#WD14_S07" TargetMode="External"/><Relationship Id="rId20" Type="http://schemas.openxmlformats.org/officeDocument/2006/relationships/hyperlink" Target="../05_Reference_v1_4/02_Fabric_Security_and_Interfaces_v1_4.docx#NET_s_003" TargetMode="External"/><Relationship Id="rId21" Type="http://schemas.openxmlformats.org/officeDocument/2006/relationships/hyperlink" Target="../02_Engineering/Vendor_Realization_Cards.docx#VC_02" TargetMode="External"/><Relationship Id="rId22" Type="http://schemas.openxmlformats.org/officeDocument/2006/relationships/hyperlink" Target="../02_Engineering/Vendor_Realization_Cards.docx#VC_03" TargetMode="External"/><Relationship Id="rId23" Type="http://schemas.openxmlformats.org/officeDocument/2006/relationships/hyperlink" Target="../02_Engineering/Vendor_Realization_Cards.docx#VC_04" TargetMode="External"/><Relationship Id="rId24" Type="http://schemas.openxmlformats.org/officeDocument/2006/relationships/hyperlink" Target="../05_Reference_v1_4/07_Worked_Infrastructure_Design_and_Acceptance_v1_4.docx#WD14_S08" TargetMode="External"/><Relationship Id="rId25" Type="http://schemas.openxmlformats.org/officeDocument/2006/relationships/hyperlink" Target="../05_Reference_v1_4/07_Worked_Infrastructure_Design_and_Acceptance_v1_4.docx#WD14_S09" TargetMode="External"/><Relationship Id="rId26" Type="http://schemas.openxmlformats.org/officeDocument/2006/relationships/hyperlink" Target="../00_Delivery_Map.docx#DEL_03" TargetMode="External"/><Relationship Id="rId27" Type="http://schemas.openxmlformats.org/officeDocument/2006/relationships/hyperlink" Target="../03_Implementation/Implementation_Kit.docx#IK_07" TargetMode="External"/><Relationship Id="rId28" Type="http://schemas.openxmlformats.org/officeDocument/2006/relationships/hyperlink" Target="../05_Reference_v1_4/07_Worked_Infrastructure_Design_and_Acceptance_v1_4.docx#WD14_S11" TargetMode="External"/><Relationship Id="rId29" Type="http://schemas.openxmlformats.org/officeDocument/2006/relationships/hyperlink" Target="../05_Reference_v1_4/06_Site_Design_Qualification_and_Operations_v1_4.docx#QUAL_s_003" TargetMode="External"/><Relationship Id="rId30" Type="http://schemas.openxmlformats.org/officeDocument/2006/relationships/hyperlink" Target="../02_Engineering/Engineering_Kit.docx#EK_06" TargetMode="External"/><Relationship Id="rId31" Type="http://schemas.openxmlformats.org/officeDocument/2006/relationships/hyperlink" Target="../03_Implementation/MOP_Test_and_Handover_Template.docx#IT_05" TargetMode="External"/><Relationship Id="rId32" Type="http://schemas.openxmlformats.org/officeDocument/2006/relationships/hyperlink" Target="../03_Implementation/MOP_Test_and_Handover_Template.docx#IT_08" TargetMode="External"/><Relationship Id="rId33" Type="http://schemas.openxmlformats.org/officeDocument/2006/relationships/hyperlink" Target="../05_Reference_v1_4/07_Worked_Infrastructure_Design_and_Acceptance_v1_4.docx#WD14_S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Delivery Example — From Decision to Evidence</dc:title>
  <dc:subject>Infrastructure architecture, engineering and implementation delivery kit</dc:subject>
  <dc:creator/>
  <cp:keywords>Portable hosting, infrastructure, architecture, engineering, implementation</cp:keywords>
  <dc:description/>
  <cp:lastModifiedBy/>
  <cp:revision>1</cp:revision>
  <dcterms:created xsi:type="dcterms:W3CDTF">2013-12-23T23:15:00Z</dcterms:created>
  <dcterms:modified xsi:type="dcterms:W3CDTF">2013-12-23T23:15:00Z</dcterms:modified>
  <cp:category/>
</cp:coreProperties>
</file>