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yebrow"/>
        <w:rPr/>
      </w:pPr>
      <w:bookmarkStart w:id="0" w:name="V14_GM_START"/>
      <w:r>
        <w:rPr/>
        <w:t>INFRASTRUCTURE ARCHITECTURE  /  GM</w:t>
      </w:r>
      <w:bookmarkEnd w:id="0"/>
    </w:p>
    <w:p>
      <w:pPr>
        <w:pStyle w:val="Normal"/>
        <w:rPr/>
      </w:pPr>
      <w:r>
        <w:rPr/>
        <w:t xml:space="preserve">v1.4 linked worked design: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resources, paths, build receipts and acceptance</w:t>
      </w:r>
      <w:r>
        <w:rPr>
          <w:rStyle w:val="Hyperlink"/>
        </w:rPr>
        <w:fldChar w:fldCharType="end"/>
      </w:r>
    </w:p>
    <w:p>
      <w:pPr>
        <w:pStyle w:val="Title"/>
        <w:rPr/>
      </w:pPr>
      <w:r>
        <w:rPr/>
        <w:t>Portable Multi-Tenant</w:t>
        <w:br/>
        <w:t>Secure Hosting</w:t>
      </w:r>
    </w:p>
    <w:p>
      <w:pPr>
        <w:pStyle w:val="Subtitle"/>
        <w:rPr/>
      </w:pPr>
      <w:r>
        <w:rPr/>
        <w:t>Architecture Gap Map and Design Decision Register</w:t>
      </w:r>
    </w:p>
    <w:p>
      <w:pPr>
        <w:pStyle w:val="Small"/>
        <w:rPr/>
      </w:pPr>
      <w:r>
        <w:rPr/>
        <w:t>Draft v1.4  |  16 September 2026</w:t>
      </w:r>
    </w:p>
    <w:p>
      <w:pPr>
        <w:pStyle w:val="Normal"/>
        <w:rPr/>
      </w:pPr>
      <w:r>
        <w:rPr/>
        <w:t>A traceable map from remaining v1.2 design/knowledge gaps to new documentation, accountable decisions, blocking gates and still-required implementation evidence.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04"/>
        <w:gridCol w:w="7775"/>
      </w:tblGrid>
      <w:tr>
        <w:trPr>
          <w:tblHeader w:val="true"/>
          <w:cantSplit w:val="true"/>
        </w:trPr>
        <w:tc>
          <w:tcPr>
            <w:tcW w:w="230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Document control</w:t>
            </w:r>
          </w:p>
        </w:tc>
        <w:tc>
          <w:tcPr>
            <w:tcW w:w="777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Record</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Document ID / parent</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GM — supplement to RA v1.4</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Status</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Proposed reference design and engineering guidance; adoption and qualification remain separate.</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Baseline</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Draft v1.2 infrastructure architecture, with retained v1.2 requirements and verification catalogues.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Audience</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Infrastructure, security, network, platform, storage, service and operations owners; provisioning engineers.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Authority</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Applicable external obligations and adopted controls prevail; supplements cannot silently weaken the parent.</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Release boundary</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Documentation and local document checks only. No live infrastructure deployment, qualification or authorization asserted.</w:t>
            </w:r>
          </w:p>
        </w:tc>
      </w:tr>
    </w:tbl>
    <w:p>
      <w:pPr>
        <w:pStyle w:val="Normal"/>
        <w:spacing w:lineRule="auto" w:line="240" w:before="0" w:after="40"/>
        <w:rPr/>
      </w:pPr>
      <w:r>
        <w:rPr/>
      </w:r>
    </w:p>
    <w:p>
      <w:pPr>
        <w:pStyle w:val="Navigation"/>
        <w:rPr/>
      </w:pPr>
      <w:r>
        <w:rPr/>
        <w:t xml:space="preserve">Start here: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Parent architecture — RA</w:t>
      </w:r>
      <w:r>
        <w:rPr>
          <w:rStyle w:val="Style"/>
          <w:u w:val="single"/>
          <w:color w:val="176B70"/>
        </w:rPr>
        <w:fldChar w:fldCharType="end"/>
      </w:r>
      <w:r>
        <w:rPr/>
        <w:t xml:space="preserve">  •  </w:t>
      </w:r>
      <w:hyperlink w:anchor="GM_s_001">
        <w:r>
          <w:rPr>
            <w:rStyle w:val="Style"/>
            <w:color w:val="176B70"/>
            <w:u w:val="single"/>
          </w:rPr>
          <w:t>Document family and gap map — GM</w:t>
        </w:r>
      </w:hyperlink>
    </w:p>
    <w:p>
      <w:pPr>
        <w:pStyle w:val="Small"/>
        <w:rPr/>
      </w:pPr>
      <w:r>
        <w:rPr/>
        <w:t>Keep the eight Word files together after extracting the release package. Cross-document links use sibling filenames and stable bookmarks. START_HERE.html provides an additional navigation index.</w:t>
      </w:r>
    </w:p>
    <w:p>
      <w:pPr>
        <w:pStyle w:val="Normal"/>
        <w:rPr/>
      </w:pPr>
      <w:r>
        <w:rPr/>
      </w:r>
      <w:r>
        <w:br w:type="page"/>
      </w:r>
    </w:p>
    <w:p>
      <w:pPr>
        <w:pStyle w:val="Subtitle"/>
        <w:spacing w:before="0" w:after="120"/>
        <w:rPr/>
      </w:pPr>
      <w:bookmarkStart w:id="1" w:name="GM_contents"/>
      <w:r>
        <w:rPr/>
        <w:t>Contents</w:t>
      </w:r>
      <w:bookmarkEnd w:id="1"/>
    </w:p>
    <w:sdt>
      <w:sdtPr>
        <w:docPartObj>
          <w:docPartGallery w:val="Table of Contents"/>
          <w:docPartUnique w:val="true"/>
        </w:docPartObj>
      </w:sdtPr>
      <w:sdtContent>
        <w:p>
          <w:pPr>
            <w:pStyle w:val="TOC1"/>
            <w:tabs>
              <w:tab w:val="clear" w:pos="9965"/>
              <w:tab w:val="right" w:pos="10079" w:leader="dot"/>
            </w:tabs>
            <w:rPr/>
          </w:pPr>
          <w:r>
            <w:fldChar w:fldCharType="begin"/>
          </w:r>
          <w:r>
            <w:rPr>
              <w:webHidden/>
              <w:rStyle w:val="IndexLink"/>
            </w:rPr>
            <w:instrText xml:space="preserve"> TOC \z \o "1-1" \h</w:instrText>
          </w:r>
          <w:r>
            <w:rPr>
              <w:webHidden/>
              <w:rStyle w:val="IndexLink"/>
            </w:rPr>
            <w:fldChar w:fldCharType="separate"/>
          </w:r>
          <w:hyperlink w:anchor="__RefHeading___Toc1259_342027687">
            <w:r>
              <w:rPr>
                <w:webHidden/>
                <w:rStyle w:val="IndexLink"/>
              </w:rPr>
              <w:t>1. Document family, scope and precedence</w:t>
              <w:tab/>
              <w:t>3</w:t>
            </w:r>
          </w:hyperlink>
        </w:p>
        <w:p>
          <w:pPr>
            <w:pStyle w:val="TOC1"/>
            <w:tabs>
              <w:tab w:val="clear" w:pos="9965"/>
              <w:tab w:val="right" w:pos="10079" w:leader="dot"/>
            </w:tabs>
            <w:rPr/>
          </w:pPr>
          <w:hyperlink w:anchor="__RefHeading___Toc1261_342027687">
            <w:r>
              <w:rPr>
                <w:webHidden/>
                <w:rStyle w:val="IndexLink"/>
              </w:rPr>
              <w:t>2. Primary knowledge homes and cross-cutting changes</w:t>
              <w:tab/>
              <w:t>4</w:t>
            </w:r>
          </w:hyperlink>
        </w:p>
        <w:p>
          <w:pPr>
            <w:pStyle w:val="TOC1"/>
            <w:tabs>
              <w:tab w:val="clear" w:pos="9965"/>
              <w:tab w:val="right" w:pos="10079" w:leader="dot"/>
            </w:tabs>
            <w:rPr/>
          </w:pPr>
          <w:hyperlink w:anchor="__RefHeading___Toc1263_342027687">
            <w:r>
              <w:rPr>
                <w:webHidden/>
                <w:rStyle w:val="IndexLink"/>
              </w:rPr>
              <w:t>3. Detailed gap register and treatment</w:t>
              <w:tab/>
              <w:t>5</w:t>
            </w:r>
          </w:hyperlink>
        </w:p>
        <w:p>
          <w:pPr>
            <w:pStyle w:val="TOC1"/>
            <w:tabs>
              <w:tab w:val="clear" w:pos="9965"/>
              <w:tab w:val="right" w:pos="10079" w:leader="dot"/>
            </w:tabs>
            <w:rPr/>
          </w:pPr>
          <w:hyperlink w:anchor="__RefHeading___Toc1265_342027687">
            <w:r>
              <w:rPr>
                <w:webHidden/>
                <w:rStyle w:val="IndexLink"/>
              </w:rPr>
              <w:t>4. Open decision package for implementation</w:t>
              <w:tab/>
              <w:t>13</w:t>
            </w:r>
          </w:hyperlink>
        </w:p>
        <w:p>
          <w:pPr>
            <w:pStyle w:val="TOC1"/>
            <w:tabs>
              <w:tab w:val="clear" w:pos="9965"/>
              <w:tab w:val="right" w:pos="10079" w:leader="dot"/>
            </w:tabs>
            <w:rPr/>
          </w:pPr>
          <w:hyperlink w:anchor="__RefHeading___Toc1267_342027687">
            <w:r>
              <w:rPr>
                <w:webHidden/>
                <w:rStyle w:val="IndexLink"/>
              </w:rPr>
              <w:t>5. Completion and ongoing closure</w:t>
              <w:tab/>
              <w:t>14</w:t>
            </w:r>
          </w:hyperlink>
        </w:p>
        <w:p>
          <w:pPr>
            <w:pStyle w:val="TOC1"/>
            <w:tabs>
              <w:tab w:val="clear" w:pos="9965"/>
              <w:tab w:val="right" w:pos="10079" w:leader="dot"/>
            </w:tabs>
            <w:rPr/>
          </w:pPr>
          <w:hyperlink w:anchor="__RefHeading___Toc1269_342027687">
            <w:r>
              <w:rPr>
                <w:webHidden/>
                <w:rStyle w:val="IndexLink"/>
              </w:rPr>
              <w:t>References — Parent basis and external context</w:t>
              <w:tab/>
              <w:t>16</w:t>
            </w:r>
          </w:hyperlink>
        </w:p>
        <w:p>
          <w:pPr>
            <w:pStyle w:val="TOC1"/>
            <w:tabs>
              <w:tab w:val="clear" w:pos="9965"/>
              <w:tab w:val="right" w:pos="10079" w:leader="dot"/>
            </w:tabs>
            <w:rPr/>
          </w:pPr>
          <w:hyperlink w:anchor="__RefHeading___Toc5184_1692646980">
            <w:r>
              <w:rPr>
                <w:webHidden/>
                <w:rStyle w:val="IndexLink"/>
              </w:rPr>
              <w:t>v1.4 — Connected infrastructure design and acceptance</w:t>
              <w:tab/>
              <w:t>17</w:t>
            </w:r>
          </w:hyperlink>
          <w:r>
            <w:rPr>
              <w:rStyle w:val="IndexLink"/>
            </w:rPr>
            <w:fldChar w:fldCharType="end"/>
          </w:r>
        </w:p>
      </w:sdtContent>
    </w:sdt>
    <w:p>
      <w:pPr>
        <w:pStyle w:val="Normal"/>
        <w:widowControl/>
        <w:bidi w:val="0"/>
        <w:spacing w:lineRule="auto" w:line="259" w:before="0" w:after="120"/>
        <w:jc w:val="left"/>
        <w:rPr>
          <w:rFonts w:ascii="Calibri" w:hAnsi="Calibri"/>
          <w:sz w:val="22"/>
          <w:lang w:val="en-CA"/>
        </w:rPr>
      </w:pPr>
      <w:r>
        <w:rPr>
          <w:sz w:val="22"/>
          <w:lang w:val="en-CA"/>
        </w:rPr>
      </w:r>
    </w:p>
    <w:p>
      <w:pPr>
        <w:pStyle w:val="Small"/>
        <w:rPr/>
      </w:pPr>
      <w:r>
        <w:rPr/>
        <w:t>Use the contents and named section links to navigate. After later edits, update Word fields and verify pagination before release.</w:t>
      </w:r>
    </w:p>
    <w:p>
      <w:pPr>
        <w:pStyle w:val="Normal"/>
        <w:rPr/>
      </w:pPr>
      <w:r>
        <w:rPr/>
      </w:r>
      <w:r>
        <w:br w:type="page"/>
      </w:r>
    </w:p>
    <w:p>
      <w:pPr>
        <w:pStyle w:val="Heading1"/>
        <w:spacing w:before="0" w:after="120"/>
        <w:rPr/>
      </w:pPr>
      <w:bookmarkStart w:id="2" w:name="__RefHeading___Toc1259_342027687"/>
      <w:bookmarkStart w:id="3" w:name="GM_s_001"/>
      <w:bookmarkEnd w:id="2"/>
      <w:r>
        <w:rPr/>
        <w:t>1. Document family, scope and precedence</w:t>
      </w:r>
      <w:bookmarkEnd w:id="3"/>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RA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Normal"/>
        <w:rPr/>
      </w:pPr>
      <w:r>
        <w:rPr/>
        <w:t xml:space="preserve">This release develops the infrastructure reference architecture rather than a provisioning application. The parent defines the durable topology, security boundaries and cross-platform provisioning strategy. The supplements explain the engineering choices that make that architecture buildable and operable. They use the parent’s terminology, decision IDs, interface IDs and P0–P6 work packages. The v1.2 baseline is cited as </w:t>
      </w:r>
      <w:hyperlink w:anchor="GM_src_B2">
        <w:r>
          <w:rPr>
            <w:rStyle w:val="Style"/>
            <w:color w:val="176B70"/>
            <w:u w:val="single"/>
          </w:rPr>
          <w:t>B2</w:t>
        </w:r>
      </w:hyperlink>
      <w:r>
        <w:rPr/>
        <w:t>; new worked examples and engineering elaborations are proposed reference content, not facts about a deployed site.</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4252"/>
        <w:gridCol w:w="3705"/>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Document</w:t>
            </w:r>
          </w:p>
        </w:tc>
        <w:tc>
          <w:tcPr>
            <w:tcW w:w="425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Primary responsibility</w:t>
            </w:r>
          </w:p>
        </w:tc>
        <w:tc>
          <w:tcPr>
            <w:tcW w:w="37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Does not replace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RA · parent reference architecture</w:t>
            </w:r>
          </w:p>
        </w:tc>
        <w:tc>
          <w:tcPr>
            <w:tcW w:w="425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What exists, how it relates, security/authority/failure boundaries and selected provisioning model.</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 low-level design, actual vendor qualification or formal authorization.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GM · gap and decision map</w:t>
            </w:r>
          </w:p>
        </w:tc>
        <w:tc>
          <w:tcPr>
            <w:tcW w:w="425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Trace each knowledge/design gap to its parent, detailed treatment, owner, gate and remaining evidence.</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declaration that writing a paragraph closes implementation risk.</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 · fabric and security</w:t>
            </w:r>
          </w:p>
        </w:tc>
        <w:tc>
          <w:tcPr>
            <w:tcW w:w="425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Routing and attachment mechanisms, path analysis, protocol families, MTU and management interfaces.</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Vendor switch configuration or actual site address plan.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VND · vendor realization</w:t>
            </w:r>
          </w:p>
        </w:tc>
        <w:tc>
          <w:tcPr>
            <w:tcW w:w="425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Common fixture and native component/path/lifecycle design across the three stacks.</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Unverified product compatibility, licences or provider operation coverage.</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 · provisioning</w:t>
            </w:r>
          </w:p>
        </w:tc>
        <w:tc>
          <w:tcPr>
            <w:tcW w:w="425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Owned work packages, bootstrap, tool coverage, activation, recovery of changes and adoption.</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custom controller/API specification or executable deployment.</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SVC · services/data/recovery</w:t>
            </w:r>
          </w:p>
        </w:tc>
        <w:tc>
          <w:tcPr>
            <w:tcW w:w="425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Consumption and management, names/trust, storage/copies, protection and recovery dependencies.</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Business application architecture or invented retention/cryptographic parameters.</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QUAL · site and qualification</w:t>
            </w:r>
          </w:p>
        </w:tc>
        <w:tc>
          <w:tcPr>
            <w:tcW w:w="425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design records, capacity/service decisions, applicability, evidence and operational acceptance.</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An executed test campaign or authority-issued risk decision.</w:t>
            </w:r>
          </w:p>
        </w:tc>
      </w:tr>
    </w:tbl>
    <w:p>
      <w:pPr>
        <w:pStyle w:val="Normal"/>
        <w:spacing w:lineRule="auto" w:line="240" w:before="0" w:after="40"/>
        <w:rPr/>
      </w:pPr>
      <w:r>
        <w:rPr/>
      </w:r>
    </w:p>
    <w:p>
      <w:pPr>
        <w:pStyle w:val="Normal"/>
        <w:rPr/>
      </w:pPr>
      <w:r>
        <w:rPr/>
        <w:t>Precedence is: applicable external authority and adopted control/authorization conditions; the adopted parent reference and explicit architecture decisions; controlled supplements within that scope; the approved site implementation design; and the actual as-built/evidence records. A site variation can differ only through an explicit accepted decision. A supplement cannot silently amend a mandatory parent outcome or reinterpret a source as less restrictive.</w:t>
      </w:r>
    </w:p>
    <w:p>
      <w:pPr>
        <w:pStyle w:val="Normal"/>
        <w:rPr/>
      </w:pPr>
      <w:r>
        <w:rPr/>
        <w:t>Documents are linked through stable document IDs and section bookmarks. Each supplement points back to its applicable parent chapters; parent chapters point to the detail’s primary home. All Word files must remain together after extracting the package for relative cross-document links. Readable document/section labels remain usable even when a viewer does not open a bookmark automatically. The included START_HERE.html provides a second navigation route.</w:t>
      </w:r>
    </w:p>
    <w:p>
      <w:pPr>
        <w:pStyle w:val="Normal"/>
        <w:rPr/>
      </w:pPr>
      <w:r>
        <w:rPr/>
        <w:t>All content is proposed for organizational adoption. No installed version, address, hardware count, service target or personnel assignment is invented as a production fact. The parent’s 194 requirement identifiers remain in the reference register; the 80 CT procedures and 12 realization addenda remain not-run. Prior optional API/schema implementation material is not republished as a functioning controller. Its earlier implementation defects are not claimed fixed by this architecture-led release.</w:t>
      </w:r>
    </w:p>
    <w:p>
      <w:pPr>
        <w:pStyle w:val="Navigation"/>
        <w:rPr/>
      </w:pPr>
      <w:r>
        <w:rPr/>
        <w:t xml:space="preserve">Related engineering: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Parent authority and scope</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"QUAL_s_001"</w:instrText>
      </w:r>
      <w:r>
        <w:rPr>
          <w:rStyle w:val="Style"/>
          <w:u w:val="single"/>
          <w:color w:val="176B70"/>
        </w:rPr>
        <w:fldChar w:fldCharType="separate"/>
      </w:r>
      <w:r>
        <w:rPr>
          <w:rStyle w:val="Style"/>
          <w:color w:val="176B70"/>
          <w:u w:val="single"/>
        </w:rPr>
        <w:t>Adoption and service gates</w:t>
      </w:r>
      <w:r>
        <w:rPr>
          <w:rStyle w:val="Style"/>
          <w:u w:val="single"/>
          <w:color w:val="176B70"/>
        </w:rPr>
        <w:fldChar w:fldCharType="end"/>
      </w:r>
    </w:p>
    <w:p>
      <w:pPr>
        <w:pStyle w:val="Heading1"/>
        <w:rPr/>
      </w:pPr>
      <w:bookmarkStart w:id="4" w:name="__RefHeading___Toc1261_342027687"/>
      <w:bookmarkStart w:id="5" w:name="GM_s_002"/>
      <w:bookmarkEnd w:id="4"/>
      <w:r>
        <w:rPr/>
        <w:t>2. Primary knowledge homes and cross-cutting changes</w:t>
      </w:r>
      <w:bookmarkEnd w:id="5"/>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RA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3855"/>
        <w:gridCol w:w="2284"/>
        <w:gridCol w:w="3941"/>
      </w:tblGrid>
      <w:tr>
        <w:trPr>
          <w:tblHeader w:val="true"/>
          <w:cantSplit w:val="true"/>
        </w:trPr>
        <w:tc>
          <w:tcPr>
            <w:tcW w:w="385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Topic and parent chapters</w:t>
            </w:r>
          </w:p>
        </w:tc>
        <w:tc>
          <w:tcPr>
            <w:tcW w:w="228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Primary detail home</w:t>
            </w:r>
          </w:p>
        </w:tc>
        <w:tc>
          <w:tcPr>
            <w:tcW w:w="394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Change ripple to review</w:t>
            </w:r>
          </w:p>
        </w:tc>
      </w:tr>
      <w:tr>
        <w:trPr>
          <w:cantSplit w:val="true"/>
        </w:trPr>
        <w:tc>
          <w:tcPr>
            <w:tcW w:w="38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Site/cells/failure · RA §§3–4, 14</w:t>
            </w:r>
          </w:p>
        </w:tc>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QUAL §2</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Eligible capacity, management recovery, co-residency and site service promises.</w:t>
            </w:r>
          </w:p>
        </w:tc>
      </w:tr>
      <w:tr>
        <w:trPr>
          <w:cantSplit w:val="true"/>
        </w:trPr>
        <w:tc>
          <w:tcPr>
            <w:tcW w:w="38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Fabric/routing/attachments · RA §§5, 8, 10</w:t>
            </w:r>
          </w:p>
        </w:tc>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NET §§1–5</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All vendor handoffs, address families, capacity and commissioning evidence.</w:t>
            </w:r>
          </w:p>
        </w:tc>
      </w:tr>
      <w:tr>
        <w:trPr>
          <w:cantSplit w:val="true"/>
        </w:trPr>
        <w:tc>
          <w:tcPr>
            <w:tcW w:w="38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Privileged access · RA §§6, 13</w:t>
            </w:r>
          </w:p>
        </w:tc>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 §6 and SVC §3</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Executor permissions, incident/recovery access and shared-service administration.</w:t>
            </w:r>
          </w:p>
        </w:tc>
      </w:tr>
      <w:tr>
        <w:trPr>
          <w:cantSplit w:val="true"/>
        </w:trPr>
        <w:tc>
          <w:tcPr>
            <w:tcW w:w="38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Tenancy/native platforms · RA §§7, 15–18</w:t>
            </w:r>
          </w:p>
        </w:tc>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VND §§1–7</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Same fixture outcomes, sharing, operation coverage and qualified service classes.</w:t>
            </w:r>
          </w:p>
        </w:tc>
      </w:tr>
      <w:tr>
        <w:trPr>
          <w:cantSplit w:val="true"/>
        </w:trPr>
        <w:tc>
          <w:tcPr>
            <w:tcW w:w="38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Service/data/trust/recovery · RA §§9, 12–14, 27</w:t>
            </w:r>
          </w:p>
        </w:tc>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SVC §§1–6</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Bindings, copy/key lifetime, bootstrap dependency and activation/recovery.</w:t>
            </w:r>
          </w:p>
        </w:tc>
      </w:tr>
      <w:tr>
        <w:trPr>
          <w:cantSplit w:val="true"/>
        </w:trPr>
        <w:tc>
          <w:tcPr>
            <w:tcW w:w="38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Provisioning/change · RA §§20–25</w:t>
            </w:r>
          </w:p>
        </w:tc>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PROV §§1–6</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Authority, single writers, reservations, safe activation and brownfield lifecycle.</w:t>
            </w:r>
          </w:p>
        </w:tc>
      </w:tr>
      <w:tr>
        <w:trPr>
          <w:cantSplit w:val="true"/>
        </w:trPr>
        <w:tc>
          <w:tcPr>
            <w:tcW w:w="38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Capacity/operations/assurance · RA §§26, 28, 30</w:t>
            </w:r>
          </w:p>
        </w:tc>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QUAL §§3–7</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service limits, assertions, ownership, evidence and operating conditions.</w:t>
            </w:r>
          </w:p>
        </w:tc>
      </w:tr>
      <w:tr>
        <w:trPr>
          <w:cantSplit w:val="true"/>
        </w:trPr>
        <w:tc>
          <w:tcPr>
            <w:tcW w:w="38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Exceptions and future services · RA §§19, 29</w:t>
            </w:r>
          </w:p>
        </w:tc>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QUAL §8 and GM §3</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Extension scope and explicit architecture/security adoption.</w:t>
            </w:r>
          </w:p>
        </w:tc>
      </w:tr>
    </w:tbl>
    <w:p>
      <w:pPr>
        <w:pStyle w:val="Normal"/>
        <w:spacing w:lineRule="auto" w:line="240" w:before="0" w:after="40"/>
        <w:rPr/>
      </w:pPr>
      <w:r>
        <w:rPr/>
      </w:r>
    </w:p>
    <w:p>
      <w:pPr>
        <w:pStyle w:val="Normal"/>
        <w:rPr/>
      </w:pPr>
      <w:r>
        <w:rPr/>
        <w:t>Use the parent for the selected architectural decision, not as a dumping ground for every detailed table. Use the primary supplement for the detailed explanation, then point to it rather than duplicating it in several files. Vendor-specific mechanisms may differ while the named security/service outcome stays constant. A shared-service change must be reviewed across all vendor realizations that consume it.</w:t>
      </w:r>
    </w:p>
    <w:p>
      <w:pPr>
        <w:pStyle w:val="Normal"/>
        <w:rPr/>
      </w:pPr>
      <w:r>
        <w:rPr/>
        <w:t>Three kinds of completeness are tracked independently. Documentation coverage means the issue has a stated design, location and owner. Decision completion means the responsible authority has selected actual values and accepted the design. Qualification completion means observations on the actual implementation support the promised outcome. A gap can be documented here and still block production because the latter two have not occurred.</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654"/>
        <w:gridCol w:w="4721"/>
        <w:gridCol w:w="3705"/>
      </w:tblGrid>
      <w:tr>
        <w:trPr>
          <w:tblHeader w:val="true"/>
          <w:cantSplit w:val="true"/>
        </w:trPr>
        <w:tc>
          <w:tcPr>
            <w:tcW w:w="165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Priority label</w:t>
            </w:r>
          </w:p>
        </w:tc>
        <w:tc>
          <w:tcPr>
            <w:tcW w:w="472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Meaning in this gap map</w:t>
            </w:r>
          </w:p>
        </w:tc>
        <w:tc>
          <w:tcPr>
            <w:tcW w:w="37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Not a claim of</w:t>
            </w:r>
          </w:p>
        </w:tc>
      </w:tr>
      <w:tr>
        <w:trPr>
          <w:cantSplit w:val="true"/>
        </w:trPr>
        <w:tc>
          <w:tcPr>
            <w:tcW w:w="165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P0</w:t>
            </w:r>
          </w:p>
        </w:tc>
        <w:tc>
          <w:tcPr>
            <w:tcW w:w="472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Resolve the decision or evidence before the affected foundational/security/service gate.</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confirmed critical vulnerability in a deployed environment.</w:t>
            </w:r>
          </w:p>
        </w:tc>
      </w:tr>
      <w:tr>
        <w:trPr>
          <w:cantSplit w:val="true"/>
        </w:trPr>
        <w:tc>
          <w:tcPr>
            <w:tcW w:w="165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P1</w:t>
            </w:r>
          </w:p>
        </w:tc>
        <w:tc>
          <w:tcPr>
            <w:tcW w:w="472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Complete the engineering/operation detail before advertising or scaling the affected capability.</w:t>
            </w:r>
          </w:p>
        </w:tc>
        <w:tc>
          <w:tcPr>
            <w:tcW w:w="37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universal urgency or remediation deadline.</w:t>
            </w:r>
          </w:p>
        </w:tc>
      </w:tr>
      <w:tr>
        <w:trPr>
          <w:cantSplit w:val="true"/>
        </w:trPr>
        <w:tc>
          <w:tcPr>
            <w:tcW w:w="165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P2</w:t>
            </w:r>
          </w:p>
        </w:tc>
        <w:tc>
          <w:tcPr>
            <w:tcW w:w="472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Maintain document governance or qualify a deliberately excluded extension when it is offered.</w:t>
            </w:r>
          </w:p>
        </w:tc>
        <w:tc>
          <w:tcPr>
            <w:tcW w:w="37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Permission to ignore a requirement once the extension becomes in scope.</w:t>
            </w:r>
          </w:p>
        </w:tc>
      </w:tr>
    </w:tbl>
    <w:p>
      <w:pPr>
        <w:pStyle w:val="Normal"/>
        <w:spacing w:lineRule="auto" w:line="240" w:before="0" w:after="40"/>
        <w:rPr/>
      </w:pPr>
      <w:r>
        <w:rPr/>
      </w:r>
    </w:p>
    <w:p>
      <w:pPr>
        <w:pStyle w:val="Normal"/>
        <w:rPr/>
      </w:pPr>
      <w:r>
        <w:rPr/>
        <w:t>Release maintenance includes link targets, source review status, requirement coverage, gate definitions, and representative scenario consistency. Preserve stable IDs when wording changes; record source and rationale. Stale site assumptions must not become reference architecture defaults. The registers support this process without mandating a new application or database.</w:t>
      </w:r>
    </w:p>
    <w:p>
      <w:pPr>
        <w:pStyle w:val="Heading1"/>
        <w:rPr/>
      </w:pPr>
      <w:bookmarkStart w:id="6" w:name="__RefHeading___Toc1263_342027687"/>
      <w:bookmarkStart w:id="7" w:name="GM_s_003"/>
      <w:bookmarkEnd w:id="6"/>
      <w:r>
        <w:rPr/>
        <w:t>3. Detailed gap register and treatment</w:t>
      </w:r>
      <w:bookmarkEnd w:id="7"/>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RA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Normal"/>
        <w:rPr/>
      </w:pPr>
      <w:r>
        <w:rPr/>
        <w:t>The following 34 records identify remaining knowledge/design work in the v1.2 reference scope. Baseline observations are source-derived; proposed treatments are new engineering elaborations in this release. The owner is a required role, not an assigned person. “Specified” means the documentation treatment is present; all implementation/site/vendor/evidence actions below remain open until accepted observations exist.</w:t>
      </w:r>
    </w:p>
    <w:p>
      <w:pPr>
        <w:pStyle w:val="Heading2"/>
        <w:rPr/>
      </w:pPr>
      <w:bookmarkStart w:id="8" w:name="gap_G01"/>
      <w:r>
        <w:rPr/>
        <w:t>G01 — Document hierarchy and precedence</w:t>
      </w:r>
      <w:bookmarkEnd w:id="8"/>
    </w:p>
    <w:p>
      <w:pPr>
        <w:pStyle w:val="GapMeta"/>
        <w:keepNext w:val="true"/>
        <w:rPr/>
      </w:pPr>
      <w:r>
        <w:rPr/>
        <w:t>P0 | Knowledge organization | Owner role: Architecture authority | G0 — design adoption</w:t>
      </w:r>
    </w:p>
    <w:p>
      <w:pPr>
        <w:pStyle w:val="Normal"/>
        <w:keepLines/>
        <w:rPr/>
      </w:pPr>
      <w:r>
        <w:rPr/>
        <w:t>Baseline observation: The architecture delegates detail to a site design and traceability package, but no linked engineering document family owns that detail. [</w:t>
      </w:r>
      <w:hyperlink w:anchor="GM_src_B2">
        <w:r>
          <w:rPr>
            <w:rStyle w:val="Style"/>
            <w:color w:val="176B70"/>
            <w:u w:val="single"/>
          </w:rPr>
          <w:t>B2</w:t>
        </w:r>
      </w:hyperlink>
      <w:r>
        <w:rPr/>
        <w:t xml:space="preserve"> §§1, 30]</w:t>
      </w:r>
    </w:p>
    <w:p>
      <w:pPr>
        <w:pStyle w:val="Normal"/>
        <w:rPr/>
      </w:pPr>
      <w:r>
        <w:rPr/>
        <w:t>Documentation treatment: Introduce one parent architecture, six bounded supplements, stable IDs, reciprocal links and a conflict/change rule.</w:t>
      </w:r>
    </w:p>
    <w:p>
      <w:pPr>
        <w:pStyle w:val="Normal"/>
        <w:rPr/>
      </w:pPr>
      <w:r>
        <w:rPr/>
        <w:t>Still required: Adopt the document family, owners and repository location. Closure evidence: Approved document register and conflict disposition.</w:t>
      </w:r>
    </w:p>
    <w:p>
      <w:pPr>
        <w:pStyle w:val="Navigation"/>
        <w:rPr/>
      </w:pPr>
      <w:r>
        <w:rPr/>
        <w:t xml:space="preserve">Trace: </w:t>
      </w:r>
      <w:hyperlink w:anchor="GM_s_001">
        <w:r>
          <w:rPr>
            <w:rStyle w:val="Style"/>
            <w:color w:val="176B70"/>
            <w:u w:val="single"/>
          </w:rPr>
          <w:t>Treatment: GM §1</w:t>
        </w:r>
      </w:hyperlink>
      <w:r>
        <w:rPr/>
        <w:t xml:space="preserve">  •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RA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Heading2"/>
        <w:rPr/>
      </w:pPr>
      <w:bookmarkStart w:id="9" w:name="gap_G02"/>
      <w:r>
        <w:rPr/>
        <w:t>G02 — Site and cell independence</w:t>
      </w:r>
      <w:bookmarkEnd w:id="9"/>
    </w:p>
    <w:p>
      <w:pPr>
        <w:pStyle w:val="GapMeta"/>
        <w:keepNext w:val="true"/>
        <w:rPr/>
      </w:pPr>
      <w:r>
        <w:rPr/>
        <w:t>P0 | Engineering elaboration | Owner role: Site/platform architect | G1 — foundation acceptance</w:t>
      </w:r>
    </w:p>
    <w:p>
      <w:pPr>
        <w:pStyle w:val="Normal"/>
        <w:keepLines/>
        <w:rPr/>
      </w:pPr>
      <w:r>
        <w:rPr/>
        <w:t>Baseline observation: Cell and failure boundaries are defined, but the evidence needed to substantiate apparently independent resources is not assembled into a site schedule. [</w:t>
      </w:r>
      <w:hyperlink w:anchor="GM_src_B2">
        <w:r>
          <w:rPr>
            <w:rStyle w:val="Style"/>
            <w:color w:val="176B70"/>
            <w:u w:val="single"/>
          </w:rPr>
          <w:t>B2</w:t>
        </w:r>
      </w:hyperlink>
      <w:r>
        <w:rPr/>
        <w:t xml:space="preserve"> §§3, 4, 14]</w:t>
      </w:r>
    </w:p>
    <w:p>
      <w:pPr>
        <w:pStyle w:val="Normal"/>
        <w:rPr/>
      </w:pPr>
      <w:r>
        <w:rPr/>
        <w:t>Documentation treatment: Supply a dependency worksheet for power, rack, switch, storage, manager, edge and trust services; distinguish reference cell from vendor cluster.</w:t>
      </w:r>
    </w:p>
    <w:p>
      <w:pPr>
        <w:pStyle w:val="Normal"/>
        <w:rPr/>
      </w:pPr>
      <w:r>
        <w:rPr/>
        <w:t>Still required: Populate actual fault groups and shared dependencies. Closure evidence: As-built dependency map and witnessed failure coverage.</w:t>
      </w:r>
    </w:p>
    <w:p>
      <w:pPr>
        <w:pStyle w:val="Navigation"/>
        <w:rPr/>
      </w:pPr>
      <w:r>
        <w:rPr/>
        <w:t xml:space="preserve">Trace: </w:t>
      </w:r>
      <w:r>
        <w:fldChar w:fldCharType="begin"/>
      </w:r>
      <w:r>
        <w:rPr>
          <w:rStyle w:val="Style"/>
          <w:u w:val="single"/>
          <w:color w:val="176B70"/>
        </w:rPr>
        <w:instrText xml:space="preserve"> HYPERLINK "06_Site_Design_Qualification_and_Operations_v1_4.docx" \l "QUAL_s_002"</w:instrText>
      </w:r>
      <w:r>
        <w:rPr>
          <w:rStyle w:val="Style"/>
          <w:u w:val="single"/>
          <w:color w:val="176B70"/>
        </w:rPr>
        <w:fldChar w:fldCharType="separate"/>
      </w:r>
      <w:r>
        <w:rPr>
          <w:rStyle w:val="Style"/>
          <w:color w:val="176B70"/>
          <w:u w:val="single"/>
        </w:rPr>
        <w:t>Treatment: QUAL §2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"RA_s_003"</w:instrText>
      </w:r>
      <w:r>
        <w:rPr>
          <w:rStyle w:val="Style"/>
          <w:u w:val="single"/>
          <w:color w:val="176B70"/>
        </w:rPr>
        <w:fldChar w:fldCharType="separate"/>
      </w:r>
      <w:r>
        <w:rPr>
          <w:rStyle w:val="Style"/>
          <w:color w:val="176B70"/>
          <w:u w:val="single"/>
        </w:rPr>
        <w:t>RA §3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"RA_s_004"</w:instrText>
      </w:r>
      <w:r>
        <w:rPr>
          <w:rStyle w:val="Style"/>
          <w:u w:val="single"/>
          <w:color w:val="176B70"/>
        </w:rPr>
        <w:fldChar w:fldCharType="separate"/>
      </w:r>
      <w:r>
        <w:rPr>
          <w:rStyle w:val="Style"/>
          <w:color w:val="176B70"/>
          <w:u w:val="single"/>
        </w:rPr>
        <w:t>RA §4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p>
    <w:p>
      <w:pPr>
        <w:pStyle w:val="Heading2"/>
        <w:rPr/>
      </w:pPr>
      <w:bookmarkStart w:id="10" w:name="gap_G03"/>
      <w:r>
        <w:rPr/>
        <w:t>G03 — Attachment inventory and exhaustion</w:t>
      </w:r>
      <w:bookmarkEnd w:id="10"/>
    </w:p>
    <w:p>
      <w:pPr>
        <w:pStyle w:val="GapMeta"/>
        <w:keepNext w:val="true"/>
        <w:rPr/>
      </w:pPr>
      <w:r>
        <w:rPr/>
        <w:t>P0 | Engineering elaboration | Owner role: Network and security-edge engineering | G2 — platform/service acceptance</w:t>
      </w:r>
    </w:p>
    <w:p>
      <w:pPr>
        <w:pStyle w:val="Normal"/>
        <w:keepLines/>
        <w:rPr/>
      </w:pPr>
      <w:r>
        <w:rPr/>
        <w:t>Baseline observation: Isolated attachment slots are required; their allocation unit, lifecycle and scaling arithmetic are not worked through. [</w:t>
      </w:r>
      <w:hyperlink w:anchor="GM_src_B2">
        <w:r>
          <w:rPr>
            <w:rStyle w:val="Style"/>
            <w:color w:val="176B70"/>
            <w:u w:val="single"/>
          </w:rPr>
          <w:t>B2</w:t>
        </w:r>
      </w:hyperlink>
      <w:r>
        <w:rPr/>
        <w:t xml:space="preserve"> §§5, 8, 16, 17, 18]</w:t>
      </w:r>
    </w:p>
    <w:p>
      <w:pPr>
        <w:pStyle w:val="Normal"/>
        <w:rPr/>
      </w:pPr>
      <w:r>
        <w:rPr/>
        <w:t>Documentation treatment: Define attachment unit, routing/enforcement identity, reservation/reuse sequence and symbolic capacity example.</w:t>
      </w:r>
    </w:p>
    <w:p>
      <w:pPr>
        <w:pStyle w:val="Normal"/>
        <w:rPr/>
      </w:pPr>
      <w:r>
        <w:rPr/>
        <w:t>Still required: Select supported slot mechanism and measured context limits for each stack. Closure evidence: Four-domain fixture with no shared-path bypass and exhausted-pool rejection.</w:t>
      </w:r>
    </w:p>
    <w:p>
      <w:pPr>
        <w:pStyle w:val="Navigation"/>
        <w:rPr/>
      </w:pPr>
      <w:r>
        <w:rPr/>
        <w:t xml:space="preserve">Trace: </w:t>
      </w:r>
      <w:r>
        <w:fldChar w:fldCharType="begin"/>
      </w:r>
      <w:r>
        <w:rPr>
          <w:rStyle w:val="Style"/>
          <w:u w:val="single"/>
          <w:color w:val="176B70"/>
        </w:rPr>
        <w:instrText xml:space="preserve"> HYPERLINK "02_Fabric_Security_and_Interfaces_v1_4.docx" \l "NET_s_002"</w:instrText>
      </w:r>
      <w:r>
        <w:rPr>
          <w:rStyle w:val="Style"/>
          <w:u w:val="single"/>
          <w:color w:val="176B70"/>
        </w:rPr>
        <w:fldChar w:fldCharType="separate"/>
      </w:r>
      <w:r>
        <w:rPr>
          <w:rStyle w:val="Style"/>
          <w:color w:val="176B70"/>
          <w:u w:val="single"/>
        </w:rPr>
        <w:t>Treatment: NET §2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"RA_s_005"</w:instrText>
      </w:r>
      <w:r>
        <w:rPr>
          <w:rStyle w:val="Style"/>
          <w:u w:val="single"/>
          <w:color w:val="176B70"/>
        </w:rPr>
        <w:fldChar w:fldCharType="separate"/>
      </w:r>
      <w:r>
        <w:rPr>
          <w:rStyle w:val="Style"/>
          <w:color w:val="176B70"/>
          <w:u w:val="single"/>
        </w:rPr>
        <w:t>RA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"RA_s_008"</w:instrText>
      </w:r>
      <w:r>
        <w:rPr>
          <w:rStyle w:val="Style"/>
          <w:u w:val="single"/>
          <w:color w:val="176B70"/>
        </w:rPr>
        <w:fldChar w:fldCharType="separate"/>
      </w:r>
      <w:r>
        <w:rPr>
          <w:rStyle w:val="Style"/>
          <w:color w:val="176B70"/>
          <w:u w:val="single"/>
        </w:rPr>
        <w:t>RA §8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"RA_s_016"</w:instrText>
      </w:r>
      <w:r>
        <w:rPr>
          <w:rStyle w:val="Style"/>
          <w:u w:val="single"/>
          <w:color w:val="176B70"/>
        </w:rPr>
        <w:fldChar w:fldCharType="separate"/>
      </w:r>
      <w:r>
        <w:rPr>
          <w:rStyle w:val="Style"/>
          <w:color w:val="176B70"/>
          <w:u w:val="single"/>
        </w:rPr>
        <w:t>RA §16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"RA_s_017"</w:instrText>
      </w:r>
      <w:r>
        <w:rPr>
          <w:rStyle w:val="Style"/>
          <w:u w:val="single"/>
          <w:color w:val="176B70"/>
        </w:rPr>
        <w:fldChar w:fldCharType="separate"/>
      </w:r>
      <w:r>
        <w:rPr>
          <w:rStyle w:val="Style"/>
          <w:color w:val="176B70"/>
          <w:u w:val="single"/>
        </w:rPr>
        <w:t>RA §17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"RA_s_018"</w:instrText>
      </w:r>
      <w:r>
        <w:rPr>
          <w:rStyle w:val="Style"/>
          <w:u w:val="single"/>
          <w:color w:val="176B70"/>
        </w:rPr>
        <w:fldChar w:fldCharType="separate"/>
      </w:r>
      <w:r>
        <w:rPr>
          <w:rStyle w:val="Style"/>
          <w:color w:val="176B70"/>
          <w:u w:val="single"/>
        </w:rPr>
        <w:t>RA §18</w:t>
      </w:r>
      <w:r>
        <w:rPr>
          <w:rStyle w:val="Style"/>
          <w:u w:val="single"/>
          <w:color w:val="176B70"/>
        </w:rPr>
        <w:fldChar w:fldCharType="end"/>
      </w:r>
    </w:p>
    <w:p>
      <w:pPr>
        <w:pStyle w:val="Heading2"/>
        <w:rPr/>
      </w:pPr>
      <w:bookmarkStart w:id="11" w:name="gap_G04"/>
      <w:r>
        <w:rPr/>
        <w:t>G04 — Underlay and overlay ownership</w:t>
      </w:r>
      <w:bookmarkEnd w:id="11"/>
    </w:p>
    <w:p>
      <w:pPr>
        <w:pStyle w:val="GapMeta"/>
        <w:keepNext w:val="true"/>
        <w:rPr/>
      </w:pPr>
      <w:r>
        <w:rPr/>
        <w:t>P1 | Engineering elaboration | Owner role: Network engineering | G1 — foundation acceptance</w:t>
      </w:r>
    </w:p>
    <w:p>
      <w:pPr>
        <w:pStyle w:val="Normal"/>
        <w:keepLines/>
        <w:rPr/>
      </w:pPr>
      <w:r>
        <w:rPr/>
        <w:t>Baseline observation: Independent native overlays are selected, but detailed ownership and permitted advertisements still need an interface design. [</w:t>
      </w:r>
      <w:hyperlink w:anchor="GM_src_B2">
        <w:r>
          <w:rPr>
            <w:rStyle w:val="Style"/>
            <w:color w:val="176B70"/>
            <w:u w:val="single"/>
          </w:rPr>
          <w:t>B2</w:t>
        </w:r>
      </w:hyperlink>
      <w:r>
        <w:rPr/>
        <w:t xml:space="preserve"> §§5, 15]</w:t>
      </w:r>
    </w:p>
    <w:p>
      <w:pPr>
        <w:pStyle w:val="Normal"/>
        <w:rPr/>
      </w:pPr>
      <w:r>
        <w:rPr/>
        <w:t>Documentation treatment: Define separate transport, tenant and service route scopes and allowed/forbidden handoffs.</w:t>
      </w:r>
    </w:p>
    <w:p>
      <w:pPr>
        <w:pStyle w:val="Normal"/>
        <w:rPr/>
      </w:pPr>
      <w:r>
        <w:rPr/>
        <w:t>Still required: Choose routing model, ASN/prefix allocations and actual border peers. Closure evidence: Approved route schedule and observed RIB/FIB comparison.</w:t>
      </w:r>
    </w:p>
    <w:p>
      <w:pPr>
        <w:pStyle w:val="Navigation"/>
        <w:rPr/>
      </w:pPr>
      <w:r>
        <w:rPr/>
        <w:t xml:space="preserve">Trace: </w:t>
      </w:r>
      <w:r>
        <w:fldChar w:fldCharType="begin"/>
      </w:r>
      <w:r>
        <w:rPr>
          <w:rStyle w:val="Style"/>
          <w:u w:val="single"/>
          <w:color w:val="176B70"/>
        </w:rPr>
        <w:instrText xml:space="preserve"> HYPERLINK "02_Fabric_Security_and_Interfaces_v1_4.docx" \l "NET_s_001"</w:instrText>
      </w:r>
      <w:r>
        <w:rPr>
          <w:rStyle w:val="Style"/>
          <w:u w:val="single"/>
          <w:color w:val="176B70"/>
        </w:rPr>
        <w:fldChar w:fldCharType="separate"/>
      </w:r>
      <w:r>
        <w:rPr>
          <w:rStyle w:val="Style"/>
          <w:color w:val="176B70"/>
          <w:u w:val="single"/>
        </w:rPr>
        <w:t>Treatment: NET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"RA_s_005"</w:instrText>
      </w:r>
      <w:r>
        <w:rPr>
          <w:rStyle w:val="Style"/>
          <w:u w:val="single"/>
          <w:color w:val="176B70"/>
        </w:rPr>
        <w:fldChar w:fldCharType="separate"/>
      </w:r>
      <w:r>
        <w:rPr>
          <w:rStyle w:val="Style"/>
          <w:color w:val="176B70"/>
          <w:u w:val="single"/>
        </w:rPr>
        <w:t>RA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"RA_s_015"</w:instrText>
      </w:r>
      <w:r>
        <w:rPr>
          <w:rStyle w:val="Style"/>
          <w:u w:val="single"/>
          <w:color w:val="176B70"/>
        </w:rPr>
        <w:fldChar w:fldCharType="separate"/>
      </w:r>
      <w:r>
        <w:rPr>
          <w:rStyle w:val="Style"/>
          <w:color w:val="176B70"/>
          <w:u w:val="single"/>
        </w:rPr>
        <w:t>RA §15</w:t>
      </w:r>
      <w:r>
        <w:rPr>
          <w:rStyle w:val="Style"/>
          <w:u w:val="single"/>
          <w:color w:val="176B70"/>
        </w:rPr>
        <w:fldChar w:fldCharType="end"/>
      </w:r>
    </w:p>
    <w:p>
      <w:pPr>
        <w:pStyle w:val="Heading2"/>
        <w:rPr/>
      </w:pPr>
      <w:bookmarkStart w:id="12" w:name="gap_G05"/>
      <w:r>
        <w:rPr/>
        <w:t>G05 — MTU and multihoming budget</w:t>
      </w:r>
      <w:bookmarkEnd w:id="12"/>
    </w:p>
    <w:p>
      <w:pPr>
        <w:pStyle w:val="GapMeta"/>
        <w:keepNext w:val="true"/>
        <w:rPr/>
      </w:pPr>
      <w:r>
        <w:rPr/>
        <w:t>P1 | Engineering elaboration | Owner role: Network/platform engineering | G1 — foundation acceptance</w:t>
      </w:r>
    </w:p>
    <w:p>
      <w:pPr>
        <w:pStyle w:val="Normal"/>
        <w:keepLines/>
        <w:rPr/>
      </w:pPr>
      <w:r>
        <w:rPr/>
        <w:t>Baseline observation: The parent requires MTU and fault tests without a worked budget and explicit failure observations. [</w:t>
      </w:r>
      <w:hyperlink w:anchor="GM_src_B2">
        <w:r>
          <w:rPr>
            <w:rStyle w:val="Style"/>
            <w:color w:val="176B70"/>
            <w:u w:val="single"/>
          </w:rPr>
          <w:t>B2</w:t>
        </w:r>
      </w:hyperlink>
      <w:r>
        <w:rPr/>
        <w:t xml:space="preserve"> §§5, 10]</w:t>
      </w:r>
    </w:p>
    <w:p>
      <w:pPr>
        <w:pStyle w:val="Normal"/>
        <w:rPr/>
      </w:pPr>
      <w:r>
        <w:rPr/>
        <w:t>Documentation treatment: Add per-layer MTU method, declared workload MTU, minimum-path bottleneck and fault cases.</w:t>
      </w:r>
    </w:p>
    <w:p>
      <w:pPr>
        <w:pStyle w:val="Normal"/>
        <w:rPr/>
      </w:pPr>
      <w:r>
        <w:rPr/>
        <w:t>Still required: Measure NIC/switch/gateway limits and selected encapsulations. Closure evidence: Packet-size and link/peer-failure results for every offered path.</w:t>
      </w:r>
    </w:p>
    <w:p>
      <w:pPr>
        <w:pStyle w:val="Navigation"/>
        <w:rPr/>
      </w:pPr>
      <w:r>
        <w:rPr/>
        <w:t xml:space="preserve">Trace: </w:t>
      </w:r>
      <w:r>
        <w:fldChar w:fldCharType="begin"/>
      </w:r>
      <w:r>
        <w:rPr>
          <w:rStyle w:val="Style"/>
          <w:u w:val="single"/>
          <w:color w:val="176B70"/>
        </w:rPr>
        <w:instrText xml:space="preserve"> HYPERLINK "02_Fabric_Security_and_Interfaces_v1_4.docx" \l "NET_s_005"</w:instrText>
      </w:r>
      <w:r>
        <w:rPr>
          <w:rStyle w:val="Style"/>
          <w:u w:val="single"/>
          <w:color w:val="176B70"/>
        </w:rPr>
        <w:fldChar w:fldCharType="separate"/>
      </w:r>
      <w:r>
        <w:rPr>
          <w:rStyle w:val="Style"/>
          <w:color w:val="176B70"/>
          <w:u w:val="single"/>
        </w:rPr>
        <w:t>Treatment: NET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"RA_s_005"</w:instrText>
      </w:r>
      <w:r>
        <w:rPr>
          <w:rStyle w:val="Style"/>
          <w:u w:val="single"/>
          <w:color w:val="176B70"/>
        </w:rPr>
        <w:fldChar w:fldCharType="separate"/>
      </w:r>
      <w:r>
        <w:rPr>
          <w:rStyle w:val="Style"/>
          <w:color w:val="176B70"/>
          <w:u w:val="single"/>
        </w:rPr>
        <w:t>RA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"RA_s_010"</w:instrText>
      </w:r>
      <w:r>
        <w:rPr>
          <w:rStyle w:val="Style"/>
          <w:u w:val="single"/>
          <w:color w:val="176B70"/>
        </w:rPr>
        <w:fldChar w:fldCharType="separate"/>
      </w:r>
      <w:r>
        <w:rPr>
          <w:rStyle w:val="Style"/>
          <w:color w:val="176B70"/>
          <w:u w:val="single"/>
        </w:rPr>
        <w:t>RA §10</w:t>
      </w:r>
      <w:r>
        <w:rPr>
          <w:rStyle w:val="Style"/>
          <w:u w:val="single"/>
          <w:color w:val="176B70"/>
        </w:rPr>
        <w:fldChar w:fldCharType="end"/>
      </w:r>
    </w:p>
    <w:p>
      <w:pPr>
        <w:pStyle w:val="Heading2"/>
        <w:rPr/>
      </w:pPr>
      <w:bookmarkStart w:id="13" w:name="gap_G06"/>
      <w:r>
        <w:rPr/>
        <w:t>G06 — Stateful inter-zone path</w:t>
      </w:r>
      <w:bookmarkEnd w:id="13"/>
    </w:p>
    <w:p>
      <w:pPr>
        <w:pStyle w:val="GapMeta"/>
        <w:keepNext w:val="true"/>
        <w:rPr/>
      </w:pPr>
      <w:r>
        <w:rPr/>
        <w:t>P0 | Engineering elaboration | Owner role: Security-edge engineering | G3 — tenant activation</w:t>
      </w:r>
    </w:p>
    <w:p>
      <w:pPr>
        <w:pStyle w:val="Normal"/>
        <w:keepLines/>
        <w:rPr/>
      </w:pPr>
      <w:r>
        <w:rPr/>
        <w:t>Baseline observation: The ZIP pattern is clear, but there is no complete forward/return/translation schedule for an example. [</w:t>
      </w:r>
      <w:hyperlink w:anchor="GM_src_B2">
        <w:r>
          <w:rPr>
            <w:rStyle w:val="Style"/>
            <w:color w:val="176B70"/>
            <w:u w:val="single"/>
          </w:rPr>
          <w:t>B2</w:t>
        </w:r>
      </w:hyperlink>
      <w:r>
        <w:rPr/>
        <w:t xml:space="preserve"> §§8, 10]</w:t>
      </w:r>
    </w:p>
    <w:p>
      <w:pPr>
        <w:pStyle w:val="Normal"/>
        <w:rPr/>
      </w:pPr>
      <w:r>
        <w:rPr/>
        <w:t>Documentation treatment: Provide four-domain route ownership, allowed flow paths, reverse initiation, established sessions and edge-failure handling.</w:t>
      </w:r>
    </w:p>
    <w:p>
      <w:pPr>
        <w:pStyle w:val="Normal"/>
        <w:rPr/>
      </w:pPr>
      <w:r>
        <w:rPr/>
        <w:t>Still required: Bind routes and inspection to actual native components and HA mode. Closure evidence: Bidirectional path traces, intended denials and failover/session evidence.</w:t>
      </w:r>
    </w:p>
    <w:p>
      <w:pPr>
        <w:pStyle w:val="Navigation"/>
        <w:rPr/>
      </w:pPr>
      <w:r>
        <w:rPr/>
        <w:t xml:space="preserve">Trace: </w:t>
      </w:r>
      <w:r>
        <w:fldChar w:fldCharType="begin"/>
      </w:r>
      <w:r>
        <w:rPr>
          <w:rStyle w:val="Style"/>
          <w:u w:val="single"/>
          <w:color w:val="176B70"/>
        </w:rPr>
        <w:instrText xml:space="preserve"> HYPERLINK "02_Fabric_Security_and_Interfaces_v1_4.docx" \l "NET_s_003"</w:instrText>
      </w:r>
      <w:r>
        <w:rPr>
          <w:rStyle w:val="Style"/>
          <w:u w:val="single"/>
          <w:color w:val="176B70"/>
        </w:rPr>
        <w:fldChar w:fldCharType="separate"/>
      </w:r>
      <w:r>
        <w:rPr>
          <w:rStyle w:val="Style"/>
          <w:color w:val="176B70"/>
          <w:u w:val="single"/>
        </w:rPr>
        <w:t>Treatment: NET §3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"RA_s_008"</w:instrText>
      </w:r>
      <w:r>
        <w:rPr>
          <w:rStyle w:val="Style"/>
          <w:u w:val="single"/>
          <w:color w:val="176B70"/>
        </w:rPr>
        <w:fldChar w:fldCharType="separate"/>
      </w:r>
      <w:r>
        <w:rPr>
          <w:rStyle w:val="Style"/>
          <w:color w:val="176B70"/>
          <w:u w:val="single"/>
        </w:rPr>
        <w:t>RA §8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"RA_s_010"</w:instrText>
      </w:r>
      <w:r>
        <w:rPr>
          <w:rStyle w:val="Style"/>
          <w:u w:val="single"/>
          <w:color w:val="176B70"/>
        </w:rPr>
        <w:fldChar w:fldCharType="separate"/>
      </w:r>
      <w:r>
        <w:rPr>
          <w:rStyle w:val="Style"/>
          <w:color w:val="176B70"/>
          <w:u w:val="single"/>
        </w:rPr>
        <w:t>RA §10</w:t>
      </w:r>
      <w:r>
        <w:rPr>
          <w:rStyle w:val="Style"/>
          <w:u w:val="single"/>
          <w:color w:val="176B70"/>
        </w:rPr>
        <w:fldChar w:fldCharType="end"/>
      </w:r>
    </w:p>
    <w:p>
      <w:pPr>
        <w:pStyle w:val="Heading2"/>
        <w:rPr/>
      </w:pPr>
      <w:bookmarkStart w:id="14" w:name="gap_G07"/>
      <w:r>
        <w:rPr/>
        <w:t>G07 — IPv6 service offer</w:t>
      </w:r>
      <w:bookmarkEnd w:id="14"/>
    </w:p>
    <w:p>
      <w:pPr>
        <w:pStyle w:val="GapMeta"/>
        <w:keepNext w:val="true"/>
        <w:rPr/>
      </w:pPr>
      <w:r>
        <w:rPr/>
        <w:t>P1 | Scope clarification | Owner role: Network/platform engineering | G2 — platform/service acceptance</w:t>
      </w:r>
    </w:p>
    <w:p>
      <w:pPr>
        <w:pStyle w:val="Normal"/>
        <w:keepLines/>
        <w:rPr/>
      </w:pPr>
      <w:r>
        <w:rPr/>
        <w:t>Baseline observation: Address-family support is conditional, but wording can be read as offering all three modes without a chosen end-to-end capability. [</w:t>
      </w:r>
      <w:hyperlink w:anchor="GM_src_B2">
        <w:r>
          <w:rPr>
            <w:rStyle w:val="Style"/>
            <w:color w:val="176B70"/>
            <w:u w:val="single"/>
          </w:rPr>
          <w:t>B2</w:t>
        </w:r>
      </w:hyperlink>
      <w:r>
        <w:rPr/>
        <w:t xml:space="preserve"> §§10, 28]</w:t>
      </w:r>
    </w:p>
    <w:p>
      <w:pPr>
        <w:pStyle w:val="Normal"/>
        <w:rPr/>
      </w:pPr>
      <w:r>
        <w:rPr/>
        <w:t>Documentation treatment: Clarify declaration of supported modes and add per-family interface and recovery acceptance.</w:t>
      </w:r>
    </w:p>
    <w:p>
      <w:pPr>
        <w:pStyle w:val="Normal"/>
        <w:rPr/>
      </w:pPr>
      <w:r>
        <w:rPr/>
        <w:t>Still required: Choose offered modes, service dependencies and local-link controls. Closure evidence: Positive/negative family-specific results; no fabricated IPv4 for IPv6-only.</w:t>
      </w:r>
    </w:p>
    <w:p>
      <w:pPr>
        <w:pStyle w:val="Navigation"/>
        <w:rPr/>
      </w:pPr>
      <w:r>
        <w:rPr/>
        <w:t xml:space="preserve">Trace: </w:t>
      </w:r>
      <w:r>
        <w:fldChar w:fldCharType="begin"/>
      </w:r>
      <w:r>
        <w:rPr>
          <w:rStyle w:val="Style"/>
          <w:u w:val="single"/>
          <w:color w:val="176B70"/>
        </w:rPr>
        <w:instrText xml:space="preserve"> HYPERLINK "02_Fabric_Security_and_Interfaces_v1_4.docx" \l "NET_s_004"</w:instrText>
      </w:r>
      <w:r>
        <w:rPr>
          <w:rStyle w:val="Style"/>
          <w:u w:val="single"/>
          <w:color w:val="176B70"/>
        </w:rPr>
        <w:fldChar w:fldCharType="separate"/>
      </w:r>
      <w:r>
        <w:rPr>
          <w:rStyle w:val="Style"/>
          <w:color w:val="176B70"/>
          <w:u w:val="single"/>
        </w:rPr>
        <w:t>Treatment: NET §4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"RA_s_010"</w:instrText>
      </w:r>
      <w:r>
        <w:rPr>
          <w:rStyle w:val="Style"/>
          <w:u w:val="single"/>
          <w:color w:val="176B70"/>
        </w:rPr>
        <w:fldChar w:fldCharType="separate"/>
      </w:r>
      <w:r>
        <w:rPr>
          <w:rStyle w:val="Style"/>
          <w:color w:val="176B70"/>
          <w:u w:val="single"/>
        </w:rPr>
        <w:t>RA §10</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"RA_s_028"</w:instrText>
      </w:r>
      <w:r>
        <w:rPr>
          <w:rStyle w:val="Style"/>
          <w:u w:val="single"/>
          <w:color w:val="176B70"/>
        </w:rPr>
        <w:fldChar w:fldCharType="separate"/>
      </w:r>
      <w:r>
        <w:rPr>
          <w:rStyle w:val="Style"/>
          <w:color w:val="176B70"/>
          <w:u w:val="single"/>
        </w:rPr>
        <w:t>RA §28</w:t>
      </w:r>
      <w:r>
        <w:rPr>
          <w:rStyle w:val="Style"/>
          <w:u w:val="single"/>
          <w:color w:val="176B70"/>
        </w:rPr>
        <w:fldChar w:fldCharType="end"/>
      </w:r>
    </w:p>
    <w:p>
      <w:pPr>
        <w:pStyle w:val="Heading2"/>
        <w:rPr/>
      </w:pPr>
      <w:bookmarkStart w:id="15" w:name="gap_G08"/>
      <w:r>
        <w:rPr/>
        <w:t>G08 — DNS protocol completeness</w:t>
      </w:r>
      <w:bookmarkEnd w:id="15"/>
    </w:p>
    <w:p>
      <w:pPr>
        <w:pStyle w:val="GapMeta"/>
        <w:keepNext w:val="true"/>
        <w:rPr/>
      </w:pPr>
      <w:r>
        <w:rPr/>
        <w:t>P0 | Engineering elaboration | Owner role: Name/address service owner | G3 — tenant activation</w:t>
      </w:r>
    </w:p>
    <w:p>
      <w:pPr>
        <w:pStyle w:val="Normal"/>
        <w:keepLines/>
        <w:rPr/>
      </w:pPr>
      <w:r>
        <w:rPr/>
        <w:t>Baseline observation: DNS is named as a required service but its protocol set, delegation and fallback are not specified. [</w:t>
      </w:r>
      <w:hyperlink w:anchor="GM_src_B2">
        <w:r>
          <w:rPr>
            <w:rStyle w:val="Style"/>
            <w:color w:val="176B70"/>
            <w:u w:val="single"/>
          </w:rPr>
          <w:t>B2</w:t>
        </w:r>
      </w:hyperlink>
      <w:r>
        <w:rPr/>
        <w:t xml:space="preserve"> §§9, 10]</w:t>
      </w:r>
    </w:p>
    <w:p>
      <w:pPr>
        <w:pStyle w:val="Normal"/>
        <w:rPr/>
      </w:pPr>
      <w:r>
        <w:rPr/>
        <w:t>Documentation treatment: Add resolver TCP and UDP treatment, DNS ownership, TTL/cutover and negative resolver checks.</w:t>
      </w:r>
    </w:p>
    <w:p>
      <w:pPr>
        <w:pStyle w:val="Normal"/>
        <w:rPr/>
      </w:pPr>
      <w:r>
        <w:rPr/>
        <w:t>Still required: Choose resolver endpoints, zones, update authority and any encrypted-DNS profile. Closure evidence: UDP, TCP and truncation/fallback checks plus forbidden-resolver denial.</w:t>
      </w:r>
    </w:p>
    <w:p>
      <w:pPr>
        <w:pStyle w:val="Navigation"/>
        <w:rPr/>
      </w:pPr>
      <w:r>
        <w:rPr/>
        <w:t xml:space="preserve">Trace: </w:t>
      </w:r>
      <w:r>
        <w:fldChar w:fldCharType="begin"/>
      </w:r>
      <w:r>
        <w:rPr>
          <w:rStyle w:val="Style"/>
          <w:u w:val="single"/>
          <w:color w:val="176B70"/>
        </w:rPr>
        <w:instrText xml:space="preserve"> HYPERLINK "05_Shared_Services_Data_and_Recovery_v1_4.docx" \l "SVC_s_002"</w:instrText>
      </w:r>
      <w:r>
        <w:rPr>
          <w:rStyle w:val="Style"/>
          <w:u w:val="single"/>
          <w:color w:val="176B70"/>
        </w:rPr>
        <w:fldChar w:fldCharType="separate"/>
      </w:r>
      <w:r>
        <w:rPr>
          <w:rStyle w:val="Style"/>
          <w:color w:val="176B70"/>
          <w:u w:val="single"/>
        </w:rPr>
        <w:t>Treatment: SVC §2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"RA_s_009"</w:instrText>
      </w:r>
      <w:r>
        <w:rPr>
          <w:rStyle w:val="Style"/>
          <w:u w:val="single"/>
          <w:color w:val="176B70"/>
        </w:rPr>
        <w:fldChar w:fldCharType="separate"/>
      </w:r>
      <w:r>
        <w:rPr>
          <w:rStyle w:val="Style"/>
          <w:color w:val="176B70"/>
          <w:u w:val="single"/>
        </w:rPr>
        <w:t>RA §9</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"RA_s_010"</w:instrText>
      </w:r>
      <w:r>
        <w:rPr>
          <w:rStyle w:val="Style"/>
          <w:u w:val="single"/>
          <w:color w:val="176B70"/>
        </w:rPr>
        <w:fldChar w:fldCharType="separate"/>
      </w:r>
      <w:r>
        <w:rPr>
          <w:rStyle w:val="Style"/>
          <w:color w:val="176B70"/>
          <w:u w:val="single"/>
        </w:rPr>
        <w:t>RA §10</w:t>
      </w:r>
      <w:r>
        <w:rPr>
          <w:rStyle w:val="Style"/>
          <w:u w:val="single"/>
          <w:color w:val="176B70"/>
        </w:rPr>
        <w:fldChar w:fldCharType="end"/>
      </w:r>
    </w:p>
    <w:p>
      <w:pPr>
        <w:pStyle w:val="Heading2"/>
        <w:rPr/>
      </w:pPr>
      <w:bookmarkStart w:id="16" w:name="gap_G09"/>
      <w:r>
        <w:rPr/>
        <w:t>G09 — Management-domain access</w:t>
      </w:r>
      <w:bookmarkEnd w:id="16"/>
    </w:p>
    <w:p>
      <w:pPr>
        <w:pStyle w:val="GapMeta"/>
        <w:keepNext w:val="true"/>
        <w:rPr/>
      </w:pPr>
      <w:r>
        <w:rPr/>
        <w:t>P0 | Engineering elaboration | Owner role: Management and identity owners | G1 — foundation acceptance</w:t>
      </w:r>
    </w:p>
    <w:p>
      <w:pPr>
        <w:pStyle w:val="Normal"/>
        <w:keepLines/>
        <w:rPr/>
      </w:pPr>
      <w:r>
        <w:rPr/>
        <w:t>Baseline observation: MZ/OOB separation is explained, but no target-by-target management authority schedule is supplied. [</w:t>
      </w:r>
      <w:hyperlink w:anchor="GM_src_B2">
        <w:r>
          <w:rPr>
            <w:rStyle w:val="Style"/>
            <w:color w:val="176B70"/>
            <w:u w:val="single"/>
          </w:rPr>
          <w:t>B2</w:t>
        </w:r>
      </w:hyperlink>
      <w:r>
        <w:rPr/>
        <w:t xml:space="preserve"> §§6, 13]</w:t>
      </w:r>
    </w:p>
    <w:p>
      <w:pPr>
        <w:pStyle w:val="Normal"/>
        <w:rPr/>
      </w:pPr>
      <w:r>
        <w:rPr/>
        <w:t>Documentation treatment: Define operator, executor, support, emergency and guest-administration paths with independent revocation and recovery.</w:t>
      </w:r>
    </w:p>
    <w:p>
      <w:pPr>
        <w:pStyle w:val="Normal"/>
        <w:rPr/>
      </w:pPr>
      <w:r>
        <w:rPr/>
        <w:t>Still required: Assign administrative scopes and surviving OOB dependencies. Closure evidence: Actual role/route review and approved production-path-loss exercise.</w:t>
      </w:r>
    </w:p>
    <w:p>
      <w:pPr>
        <w:pStyle w:val="Navigation"/>
        <w:rPr/>
      </w:pPr>
      <w:r>
        <w:rPr/>
        <w:t xml:space="preserve">Trace: </w:t>
      </w:r>
      <w:r>
        <w:fldChar w:fldCharType="begin"/>
      </w:r>
      <w:r>
        <w:rPr>
          <w:rStyle w:val="Style"/>
          <w:u w:val="single"/>
          <w:color w:val="176B70"/>
        </w:rPr>
        <w:instrText xml:space="preserve"> HYPERLINK "02_Fabric_Security_and_Interfaces_v1_4.docx" \l "NET_s_006"</w:instrText>
      </w:r>
      <w:r>
        <w:rPr>
          <w:rStyle w:val="Style"/>
          <w:u w:val="single"/>
          <w:color w:val="176B70"/>
        </w:rPr>
        <w:fldChar w:fldCharType="separate"/>
      </w:r>
      <w:r>
        <w:rPr>
          <w:rStyle w:val="Style"/>
          <w:color w:val="176B70"/>
          <w:u w:val="single"/>
        </w:rPr>
        <w:t>Treatment: NET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"RA_s_006"</w:instrText>
      </w:r>
      <w:r>
        <w:rPr>
          <w:rStyle w:val="Style"/>
          <w:u w:val="single"/>
          <w:color w:val="176B70"/>
        </w:rPr>
        <w:fldChar w:fldCharType="separate"/>
      </w:r>
      <w:r>
        <w:rPr>
          <w:rStyle w:val="Style"/>
          <w:color w:val="176B70"/>
          <w:u w:val="single"/>
        </w:rPr>
        <w:t>RA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"RA_s_013"</w:instrText>
      </w:r>
      <w:r>
        <w:rPr>
          <w:rStyle w:val="Style"/>
          <w:u w:val="single"/>
          <w:color w:val="176B70"/>
        </w:rPr>
        <w:fldChar w:fldCharType="separate"/>
      </w:r>
      <w:r>
        <w:rPr>
          <w:rStyle w:val="Style"/>
          <w:color w:val="176B70"/>
          <w:u w:val="single"/>
        </w:rPr>
        <w:t>RA §13</w:t>
      </w:r>
      <w:r>
        <w:rPr>
          <w:rStyle w:val="Style"/>
          <w:u w:val="single"/>
          <w:color w:val="176B70"/>
        </w:rPr>
        <w:fldChar w:fldCharType="end"/>
      </w:r>
    </w:p>
    <w:p>
      <w:pPr>
        <w:pStyle w:val="Heading2"/>
        <w:rPr/>
      </w:pPr>
      <w:bookmarkStart w:id="17" w:name="gap_G10"/>
      <w:r>
        <w:rPr/>
        <w:t>G10 — Sharing and co-residency decisions</w:t>
      </w:r>
      <w:bookmarkEnd w:id="17"/>
    </w:p>
    <w:p>
      <w:pPr>
        <w:pStyle w:val="GapMeta"/>
        <w:keepNext w:val="true"/>
        <w:rPr/>
      </w:pPr>
      <w:r>
        <w:rPr/>
        <w:t>P0 | Engineering elaboration | Owner role: Security authority and platform architect | G0 — design adoption</w:t>
      </w:r>
    </w:p>
    <w:p>
      <w:pPr>
        <w:pStyle w:val="Normal"/>
        <w:keepLines/>
        <w:rPr/>
      </w:pPr>
      <w:r>
        <w:rPr/>
        <w:t>Baseline observation: The zone-specific baseline is retained; pool, controller, storage and management sharing must be decided together. [</w:t>
      </w:r>
      <w:hyperlink w:anchor="GM_src_B2">
        <w:r>
          <w:rPr>
            <w:rStyle w:val="Style"/>
            <w:color w:val="176B70"/>
            <w:u w:val="single"/>
          </w:rPr>
          <w:t>B2</w:t>
        </w:r>
      </w:hyperlink>
      <w:r>
        <w:rPr/>
        <w:t xml:space="preserve"> §§7, 11, 12]</w:t>
      </w:r>
    </w:p>
    <w:p>
      <w:pPr>
        <w:pStyle w:val="Normal"/>
        <w:rPr/>
      </w:pPr>
      <w:r>
        <w:rPr/>
        <w:t>Documentation treatment: Supply a component-level sharing decision record and placement/evacuation constraints for all vendor realizations.</w:t>
      </w:r>
    </w:p>
    <w:p>
      <w:pPr>
        <w:pStyle w:val="Normal"/>
        <w:rPr/>
      </w:pPr>
      <w:r>
        <w:rPr/>
        <w:t>Still required: Accept zone-authority sharing and HCI controller/storage implications; assess alternatives. Closure evidence: Signed sharing matrix plus placement, migration and restart observations.</w:t>
      </w:r>
    </w:p>
    <w:p>
      <w:pPr>
        <w:pStyle w:val="Navigation"/>
        <w:rPr/>
      </w:pPr>
      <w:r>
        <w:rPr/>
        <w:t xml:space="preserve">Trace: </w:t>
      </w:r>
      <w:r>
        <w:fldChar w:fldCharType="begin"/>
      </w:r>
      <w:r>
        <w:rPr>
          <w:rStyle w:val="Style"/>
          <w:u w:val="single"/>
          <w:color w:val="176B70"/>
        </w:rPr>
        <w:instrText xml:space="preserve"> HYPERLINK "03_Vendor_Stack_Realizations_v1_4.docx" \l "VND_s_002"</w:instrText>
      </w:r>
      <w:r>
        <w:rPr>
          <w:rStyle w:val="Style"/>
          <w:u w:val="single"/>
          <w:color w:val="176B70"/>
        </w:rPr>
        <w:fldChar w:fldCharType="separate"/>
      </w:r>
      <w:r>
        <w:rPr>
          <w:rStyle w:val="Style"/>
          <w:color w:val="176B70"/>
          <w:u w:val="single"/>
        </w:rPr>
        <w:t>Treatment: VND §2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"RA_s_007"</w:instrText>
      </w:r>
      <w:r>
        <w:rPr>
          <w:rStyle w:val="Style"/>
          <w:u w:val="single"/>
          <w:color w:val="176B70"/>
        </w:rPr>
        <w:fldChar w:fldCharType="separate"/>
      </w:r>
      <w:r>
        <w:rPr>
          <w:rStyle w:val="Style"/>
          <w:color w:val="176B70"/>
          <w:u w:val="single"/>
        </w:rPr>
        <w:t>RA §7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"RA_s_011"</w:instrText>
      </w:r>
      <w:r>
        <w:rPr>
          <w:rStyle w:val="Style"/>
          <w:u w:val="single"/>
          <w:color w:val="176B70"/>
        </w:rPr>
        <w:fldChar w:fldCharType="separate"/>
      </w:r>
      <w:r>
        <w:rPr>
          <w:rStyle w:val="Style"/>
          <w:color w:val="176B70"/>
          <w:u w:val="single"/>
        </w:rPr>
        <w:t>RA §11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"RA_s_012"</w:instrText>
      </w:r>
      <w:r>
        <w:rPr>
          <w:rStyle w:val="Style"/>
          <w:u w:val="single"/>
          <w:color w:val="176B70"/>
        </w:rPr>
        <w:fldChar w:fldCharType="separate"/>
      </w:r>
      <w:r>
        <w:rPr>
          <w:rStyle w:val="Style"/>
          <w:color w:val="176B70"/>
          <w:u w:val="single"/>
        </w:rPr>
        <w:t>RA §12</w:t>
      </w:r>
      <w:r>
        <w:rPr>
          <w:rStyle w:val="Style"/>
          <w:u w:val="single"/>
          <w:color w:val="176B70"/>
        </w:rPr>
        <w:fldChar w:fldCharType="end"/>
      </w:r>
    </w:p>
    <w:p>
      <w:pPr>
        <w:pStyle w:val="Heading2"/>
        <w:rPr/>
      </w:pPr>
      <w:bookmarkStart w:id="18" w:name="gap_G11"/>
      <w:r>
        <w:rPr/>
        <w:t>G11 — Common complete reference environment</w:t>
      </w:r>
      <w:bookmarkEnd w:id="18"/>
    </w:p>
    <w:p>
      <w:pPr>
        <w:pStyle w:val="GapMeta"/>
        <w:keepNext w:val="true"/>
        <w:rPr/>
      </w:pPr>
      <w:r>
        <w:rPr/>
        <w:t>P1 | Engineering elaboration | Owner role: Architecture/platform engineering | G2 — platform/service acceptance</w:t>
      </w:r>
    </w:p>
    <w:p>
      <w:pPr>
        <w:pStyle w:val="Normal"/>
        <w:keepLines/>
        <w:rPr/>
      </w:pPr>
      <w:r>
        <w:rPr/>
        <w:t>Baseline observation: The cross-stack example describes one tenant in prose; native resource and handoff accounting is not fully worked. [</w:t>
      </w:r>
      <w:hyperlink w:anchor="GM_src_B2">
        <w:r>
          <w:rPr>
            <w:rStyle w:val="Style"/>
            <w:color w:val="176B70"/>
            <w:u w:val="single"/>
          </w:rPr>
          <w:t>B2</w:t>
        </w:r>
      </w:hyperlink>
      <w:r>
        <w:rPr/>
        <w:t xml:space="preserve"> §§15, 23]</w:t>
      </w:r>
    </w:p>
    <w:p>
      <w:pPr>
        <w:pStyle w:val="Normal"/>
        <w:rPr/>
      </w:pPr>
      <w:r>
        <w:rPr/>
        <w:t>Documentation treatment: Define two tenants, four domains, independent attachments and identical expected outcomes across three stacks.</w:t>
      </w:r>
    </w:p>
    <w:p>
      <w:pPr>
        <w:pStyle w:val="Normal"/>
        <w:rPr/>
      </w:pPr>
      <w:r>
        <w:rPr/>
        <w:t>Still required: Instantiate symbolic resources and select test endpoints in the authorized lab. Closure evidence: Resource/route/service inventory tied to the common fixture.</w:t>
      </w:r>
    </w:p>
    <w:p>
      <w:pPr>
        <w:pStyle w:val="Navigation"/>
        <w:rPr/>
      </w:pPr>
      <w:r>
        <w:rPr/>
        <w:t xml:space="preserve">Trace: </w:t>
      </w:r>
      <w:r>
        <w:fldChar w:fldCharType="begin"/>
      </w:r>
      <w:r>
        <w:rPr>
          <w:rStyle w:val="Style"/>
          <w:u w:val="single"/>
          <w:color w:val="176B70"/>
        </w:rPr>
        <w:instrText xml:space="preserve"> HYPERLINK "03_Vendor_Stack_Realizations_v1_4.docx" \l "VND_s_001"</w:instrText>
      </w:r>
      <w:r>
        <w:rPr>
          <w:rStyle w:val="Style"/>
          <w:u w:val="single"/>
          <w:color w:val="176B70"/>
        </w:rPr>
        <w:fldChar w:fldCharType="separate"/>
      </w:r>
      <w:r>
        <w:rPr>
          <w:rStyle w:val="Style"/>
          <w:color w:val="176B70"/>
          <w:u w:val="single"/>
        </w:rPr>
        <w:t>Treatment: VND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"RA_s_015"</w:instrText>
      </w:r>
      <w:r>
        <w:rPr>
          <w:rStyle w:val="Style"/>
          <w:u w:val="single"/>
          <w:color w:val="176B70"/>
        </w:rPr>
        <w:fldChar w:fldCharType="separate"/>
      </w:r>
      <w:r>
        <w:rPr>
          <w:rStyle w:val="Style"/>
          <w:color w:val="176B70"/>
          <w:u w:val="single"/>
        </w:rPr>
        <w:t>RA §15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"RA_s_023"</w:instrText>
      </w:r>
      <w:r>
        <w:rPr>
          <w:rStyle w:val="Style"/>
          <w:u w:val="single"/>
          <w:color w:val="176B70"/>
        </w:rPr>
        <w:fldChar w:fldCharType="separate"/>
      </w:r>
      <w:r>
        <w:rPr>
          <w:rStyle w:val="Style"/>
          <w:color w:val="176B70"/>
          <w:u w:val="single"/>
        </w:rPr>
        <w:t>RA §23</w:t>
      </w:r>
      <w:r>
        <w:rPr>
          <w:rStyle w:val="Style"/>
          <w:u w:val="single"/>
          <w:color w:val="176B70"/>
        </w:rPr>
        <w:fldChar w:fldCharType="end"/>
      </w:r>
    </w:p>
    <w:p>
      <w:pPr>
        <w:pStyle w:val="Heading2"/>
        <w:rPr/>
      </w:pPr>
      <w:bookmarkStart w:id="19" w:name="gap_G12"/>
      <w:r>
        <w:rPr/>
        <w:t>G12 — Nutanix realization detail</w:t>
      </w:r>
      <w:bookmarkEnd w:id="19"/>
    </w:p>
    <w:p>
      <w:pPr>
        <w:pStyle w:val="GapMeta"/>
        <w:keepNext w:val="true"/>
        <w:rPr/>
      </w:pPr>
      <w:r>
        <w:rPr/>
        <w:t>P0 | Vendor validation | Owner role: Nutanix platform owner | G2 — platform/service acceptance</w:t>
      </w:r>
    </w:p>
    <w:p>
      <w:pPr>
        <w:pStyle w:val="Normal"/>
        <w:keepLines/>
        <w:rPr/>
      </w:pPr>
      <w:r>
        <w:rPr/>
        <w:t>Baseline observation: VPC/no-NAT and Flow design is proposed; actual external attachment, placement and lifecycle limits remain unqualified. [</w:t>
      </w:r>
      <w:hyperlink w:anchor="GM_src_B2">
        <w:r>
          <w:rPr>
            <w:rStyle w:val="Style"/>
            <w:color w:val="176B70"/>
            <w:u w:val="single"/>
          </w:rPr>
          <w:t>B2</w:t>
        </w:r>
      </w:hyperlink>
      <w:r>
        <w:rPr/>
        <w:t xml:space="preserve"> §§16]</w:t>
      </w:r>
    </w:p>
    <w:p>
      <w:pPr>
        <w:pStyle w:val="Normal"/>
        <w:rPr/>
      </w:pPr>
      <w:r>
        <w:rPr/>
        <w:t>Documentation treatment: Expand installation versus allocation sequence, forwarding, storage path and operation evidence without assuming resource support.</w:t>
      </w:r>
    </w:p>
    <w:p>
      <w:pPr>
        <w:pStyle w:val="Normal"/>
        <w:rPr/>
      </w:pPr>
      <w:r>
        <w:rPr/>
        <w:t>Still required: Verify installed AOS/Prism/Flow/API/provider/hardware and licence tuple. Closure evidence: Supported-operation matrix, actual handoffs, policy and failure results.</w:t>
      </w:r>
    </w:p>
    <w:p>
      <w:pPr>
        <w:pStyle w:val="Navigation"/>
        <w:rPr/>
      </w:pPr>
      <w:r>
        <w:rPr/>
        <w:t xml:space="preserve">Trace: </w:t>
      </w:r>
      <w:r>
        <w:fldChar w:fldCharType="begin"/>
      </w:r>
      <w:r>
        <w:rPr>
          <w:rStyle w:val="Style"/>
          <w:u w:val="single"/>
          <w:color w:val="176B70"/>
        </w:rPr>
        <w:instrText xml:space="preserve"> HYPERLINK "03_Vendor_Stack_Realizations_v1_4.docx" \l "VND_s_003"</w:instrText>
      </w:r>
      <w:r>
        <w:rPr>
          <w:rStyle w:val="Style"/>
          <w:u w:val="single"/>
          <w:color w:val="176B70"/>
        </w:rPr>
        <w:fldChar w:fldCharType="separate"/>
      </w:r>
      <w:r>
        <w:rPr>
          <w:rStyle w:val="Style"/>
          <w:color w:val="176B70"/>
          <w:u w:val="single"/>
        </w:rPr>
        <w:t>Treatment: VND §3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"RA_s_016"</w:instrText>
      </w:r>
      <w:r>
        <w:rPr>
          <w:rStyle w:val="Style"/>
          <w:u w:val="single"/>
          <w:color w:val="176B70"/>
        </w:rPr>
        <w:fldChar w:fldCharType="separate"/>
      </w:r>
      <w:r>
        <w:rPr>
          <w:rStyle w:val="Style"/>
          <w:color w:val="176B70"/>
          <w:u w:val="single"/>
        </w:rPr>
        <w:t>RA §16</w:t>
      </w:r>
      <w:r>
        <w:rPr>
          <w:rStyle w:val="Style"/>
          <w:u w:val="single"/>
          <w:color w:val="176B70"/>
        </w:rPr>
        <w:fldChar w:fldCharType="end"/>
      </w:r>
    </w:p>
    <w:p>
      <w:pPr>
        <w:pStyle w:val="Heading2"/>
        <w:rPr/>
      </w:pPr>
      <w:bookmarkStart w:id="20" w:name="gap_G13"/>
      <w:r>
        <w:rPr/>
        <w:t>G13 — VMware/NSX upstream realization</w:t>
      </w:r>
      <w:bookmarkEnd w:id="20"/>
    </w:p>
    <w:p>
      <w:pPr>
        <w:pStyle w:val="GapMeta"/>
        <w:keepNext w:val="true"/>
        <w:rPr/>
      </w:pPr>
      <w:r>
        <w:rPr/>
        <w:t>P0 | Vendor validation | Owner role: VMware/NSX platform owner | G2 — platform/service acceptance</w:t>
      </w:r>
    </w:p>
    <w:p>
      <w:pPr>
        <w:pStyle w:val="Normal"/>
        <w:keepLines/>
        <w:rPr/>
      </w:pPr>
      <w:r>
        <w:rPr/>
        <w:t>Baseline observation: Tier-0 VRF or equivalent is proposed; full source retrieval was restricted and no exact supported tuple is selected. [</w:t>
      </w:r>
      <w:hyperlink w:anchor="GM_src_B2">
        <w:r>
          <w:rPr>
            <w:rStyle w:val="Style"/>
            <w:color w:val="176B70"/>
            <w:u w:val="single"/>
          </w:rPr>
          <w:t>B2</w:t>
        </w:r>
      </w:hyperlink>
      <w:r>
        <w:rPr/>
        <w:t xml:space="preserve"> §§17]</w:t>
      </w:r>
    </w:p>
    <w:p>
      <w:pPr>
        <w:pStyle w:val="Normal"/>
        <w:rPr/>
      </w:pPr>
      <w:r>
        <w:rPr/>
        <w:t>Documentation treatment: Retain explicit source limitation; define isolated routing invariants, acceptance alternatives and required vendor confirmation.</w:t>
      </w:r>
    </w:p>
    <w:p>
      <w:pPr>
        <w:pStyle w:val="Normal"/>
        <w:rPr/>
      </w:pPr>
      <w:r>
        <w:rPr/>
        <w:t>Still required: Confirm gateway/VRF/Edge features, limits, entitlements and provider operation coverage. Closure evidence: Current vendor-backed low-level design plus route-propagation and Edge-failure tests.</w:t>
      </w:r>
    </w:p>
    <w:p>
      <w:pPr>
        <w:pStyle w:val="Navigation"/>
        <w:rPr/>
      </w:pPr>
      <w:r>
        <w:rPr/>
        <w:t xml:space="preserve">Trace: </w:t>
      </w:r>
      <w:r>
        <w:fldChar w:fldCharType="begin"/>
      </w:r>
      <w:r>
        <w:rPr>
          <w:rStyle w:val="Style"/>
          <w:u w:val="single"/>
          <w:color w:val="176B70"/>
        </w:rPr>
        <w:instrText xml:space="preserve"> HYPERLINK "03_Vendor_Stack_Realizations_v1_4.docx" \l "VND_s_004"</w:instrText>
      </w:r>
      <w:r>
        <w:rPr>
          <w:rStyle w:val="Style"/>
          <w:u w:val="single"/>
          <w:color w:val="176B70"/>
        </w:rPr>
        <w:fldChar w:fldCharType="separate"/>
      </w:r>
      <w:r>
        <w:rPr>
          <w:rStyle w:val="Style"/>
          <w:color w:val="176B70"/>
          <w:u w:val="single"/>
        </w:rPr>
        <w:t>Treatment: VND §4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"RA_s_017"</w:instrText>
      </w:r>
      <w:r>
        <w:rPr>
          <w:rStyle w:val="Style"/>
          <w:u w:val="single"/>
          <w:color w:val="176B70"/>
        </w:rPr>
        <w:fldChar w:fldCharType="separate"/>
      </w:r>
      <w:r>
        <w:rPr>
          <w:rStyle w:val="Style"/>
          <w:color w:val="176B70"/>
          <w:u w:val="single"/>
        </w:rPr>
        <w:t>RA §17</w:t>
      </w:r>
      <w:r>
        <w:rPr>
          <w:rStyle w:val="Style"/>
          <w:u w:val="single"/>
          <w:color w:val="176B70"/>
        </w:rPr>
        <w:fldChar w:fldCharType="end"/>
      </w:r>
    </w:p>
    <w:p>
      <w:pPr>
        <w:pStyle w:val="Heading2"/>
        <w:rPr/>
      </w:pPr>
      <w:bookmarkStart w:id="21" w:name="gap_G14"/>
      <w:r>
        <w:rPr/>
        <w:t>G14 — OpenStack mandatory policy</w:t>
      </w:r>
      <w:bookmarkEnd w:id="21"/>
    </w:p>
    <w:p>
      <w:pPr>
        <w:pStyle w:val="GapMeta"/>
        <w:keepNext w:val="true"/>
        <w:rPr/>
      </w:pPr>
      <w:r>
        <w:rPr/>
        <w:t>P0 | Vendor validation | Owner role: OpenStack platform owner | G2 — platform/service acceptance</w:t>
      </w:r>
    </w:p>
    <w:p>
      <w:pPr>
        <w:pStyle w:val="Normal"/>
        <w:keepLines/>
        <w:rPr/>
      </w:pPr>
      <w:r>
        <w:rPr/>
        <w:t>Baseline observation: ML2/OVN reference and editable security groups are discussed, but provider-owned policy realization needs a specific design. [</w:t>
      </w:r>
      <w:hyperlink w:anchor="GM_src_B2">
        <w:r>
          <w:rPr>
            <w:rStyle w:val="Style"/>
            <w:color w:val="176B70"/>
            <w:u w:val="single"/>
          </w:rPr>
          <w:t>B2</w:t>
        </w:r>
      </w:hyperlink>
      <w:r>
        <w:rPr/>
        <w:t xml:space="preserve"> §§18]</w:t>
      </w:r>
    </w:p>
    <w:p>
      <w:pPr>
        <w:pStyle w:val="Normal"/>
        <w:rPr/>
      </w:pPr>
      <w:r>
        <w:rPr/>
        <w:t>Documentation treatment: Separate Neutron authority, mandatory control, tenant permits and backend ownership; enumerate alternate attachment paths.</w:t>
      </w:r>
    </w:p>
    <w:p>
      <w:pPr>
        <w:pStyle w:val="Normal"/>
        <w:rPr/>
      </w:pPr>
      <w:r>
        <w:rPr/>
        <w:t>Still required: Select distribution/backend/API policy and persistent mandatory enforcement mechanism. Closure evidence: Default-policy, port authority, relocation, gateway and volume-isolation results.</w:t>
      </w:r>
    </w:p>
    <w:p>
      <w:pPr>
        <w:pStyle w:val="Navigation"/>
        <w:rPr/>
      </w:pPr>
      <w:r>
        <w:rPr/>
        <w:t xml:space="preserve">Trace: </w:t>
      </w:r>
      <w:r>
        <w:fldChar w:fldCharType="begin"/>
      </w:r>
      <w:r>
        <w:rPr>
          <w:rStyle w:val="Style"/>
          <w:u w:val="single"/>
          <w:color w:val="176B70"/>
        </w:rPr>
        <w:instrText xml:space="preserve"> HYPERLINK "03_Vendor_Stack_Realizations_v1_4.docx" \l "VND_s_005"</w:instrText>
      </w:r>
      <w:r>
        <w:rPr>
          <w:rStyle w:val="Style"/>
          <w:u w:val="single"/>
          <w:color w:val="176B70"/>
        </w:rPr>
        <w:fldChar w:fldCharType="separate"/>
      </w:r>
      <w:r>
        <w:rPr>
          <w:rStyle w:val="Style"/>
          <w:color w:val="176B70"/>
          <w:u w:val="single"/>
        </w:rPr>
        <w:t>Treatment: VND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"RA_s_018"</w:instrText>
      </w:r>
      <w:r>
        <w:rPr>
          <w:rStyle w:val="Style"/>
          <w:u w:val="single"/>
          <w:color w:val="176B70"/>
        </w:rPr>
        <w:fldChar w:fldCharType="separate"/>
      </w:r>
      <w:r>
        <w:rPr>
          <w:rStyle w:val="Style"/>
          <w:color w:val="176B70"/>
          <w:u w:val="single"/>
        </w:rPr>
        <w:t>RA §18</w:t>
      </w:r>
      <w:r>
        <w:rPr>
          <w:rStyle w:val="Style"/>
          <w:u w:val="single"/>
          <w:color w:val="176B70"/>
        </w:rPr>
        <w:fldChar w:fldCharType="end"/>
      </w:r>
    </w:p>
    <w:p>
      <w:pPr>
        <w:pStyle w:val="Heading2"/>
        <w:rPr/>
      </w:pPr>
      <w:bookmarkStart w:id="22" w:name="gap_G15"/>
      <w:r>
        <w:rPr/>
        <w:t>G15 — Cross-stack communication versus migration</w:t>
      </w:r>
      <w:bookmarkEnd w:id="22"/>
    </w:p>
    <w:p>
      <w:pPr>
        <w:pStyle w:val="GapMeta"/>
        <w:keepNext w:val="true"/>
        <w:rPr/>
      </w:pPr>
      <w:r>
        <w:rPr/>
        <w:t>P1 | Engineering elaboration | Owner role: Architecture and migration owners | G0 — design adoption</w:t>
      </w:r>
    </w:p>
    <w:p>
      <w:pPr>
        <w:pStyle w:val="Normal"/>
        <w:keepLines/>
        <w:rPr/>
      </w:pPr>
      <w:r>
        <w:rPr/>
        <w:t>Baseline observation: Portable, composite and migrated are distinguished; acceptance criteria for choosing among them are not tabulated. [</w:t>
      </w:r>
      <w:hyperlink w:anchor="GM_src_B2">
        <w:r>
          <w:rPr>
            <w:rStyle w:val="Style"/>
            <w:color w:val="176B70"/>
            <w:u w:val="single"/>
          </w:rPr>
          <w:t>B2</w:t>
        </w:r>
      </w:hyperlink>
      <w:r>
        <w:rPr/>
        <w:t xml:space="preserve"> §§15, 27]</w:t>
      </w:r>
    </w:p>
    <w:p>
      <w:pPr>
        <w:pStyle w:val="Normal"/>
        <w:rPr/>
      </w:pPr>
      <w:r>
        <w:rPr/>
        <w:t>Documentation treatment: Add deployment-mode decisions, cross-stack service boundaries and unsupported live-migration handling.</w:t>
      </w:r>
    </w:p>
    <w:p>
      <w:pPr>
        <w:pStyle w:val="Normal"/>
        <w:rPr/>
      </w:pPr>
      <w:r>
        <w:rPr/>
        <w:t>Still required: Choose the required capability and data movement/consistency method. Closure evidence: Approved mode, dependency budget and target recovery evidence.</w:t>
      </w:r>
    </w:p>
    <w:p>
      <w:pPr>
        <w:pStyle w:val="Navigation"/>
        <w:rPr/>
      </w:pPr>
      <w:r>
        <w:rPr/>
        <w:t xml:space="preserve">Trace: </w:t>
      </w:r>
      <w:r>
        <w:fldChar w:fldCharType="begin"/>
      </w:r>
      <w:r>
        <w:rPr>
          <w:rStyle w:val="Style"/>
          <w:u w:val="single"/>
          <w:color w:val="176B70"/>
        </w:rPr>
        <w:instrText xml:space="preserve"> HYPERLINK "03_Vendor_Stack_Realizations_v1_4.docx" \l "VND_s_006"</w:instrText>
      </w:r>
      <w:r>
        <w:rPr>
          <w:rStyle w:val="Style"/>
          <w:u w:val="single"/>
          <w:color w:val="176B70"/>
        </w:rPr>
        <w:fldChar w:fldCharType="separate"/>
      </w:r>
      <w:r>
        <w:rPr>
          <w:rStyle w:val="Style"/>
          <w:color w:val="176B70"/>
          <w:u w:val="single"/>
        </w:rPr>
        <w:t>Treatment: VND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"RA_s_015"</w:instrText>
      </w:r>
      <w:r>
        <w:rPr>
          <w:rStyle w:val="Style"/>
          <w:u w:val="single"/>
          <w:color w:val="176B70"/>
        </w:rPr>
        <w:fldChar w:fldCharType="separate"/>
      </w:r>
      <w:r>
        <w:rPr>
          <w:rStyle w:val="Style"/>
          <w:color w:val="176B70"/>
          <w:u w:val="single"/>
        </w:rPr>
        <w:t>RA §15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"RA_s_027"</w:instrText>
      </w:r>
      <w:r>
        <w:rPr>
          <w:rStyle w:val="Style"/>
          <w:u w:val="single"/>
          <w:color w:val="176B70"/>
        </w:rPr>
        <w:fldChar w:fldCharType="separate"/>
      </w:r>
      <w:r>
        <w:rPr>
          <w:rStyle w:val="Style"/>
          <w:color w:val="176B70"/>
          <w:u w:val="single"/>
        </w:rPr>
        <w:t>RA §27</w:t>
      </w:r>
      <w:r>
        <w:rPr>
          <w:rStyle w:val="Style"/>
          <w:u w:val="single"/>
          <w:color w:val="176B70"/>
        </w:rPr>
        <w:fldChar w:fldCharType="end"/>
      </w:r>
      <w:r>
        <w:br w:type="page"/>
      </w:r>
    </w:p>
    <w:p>
      <w:pPr>
        <w:pStyle w:val="Heading2"/>
        <w:spacing w:before="0" w:after="120"/>
        <w:rPr/>
      </w:pPr>
      <w:bookmarkStart w:id="23" w:name="gap_G16"/>
      <w:r>
        <w:rPr/>
        <w:t>G16 — Work-package handoffs</w:t>
      </w:r>
      <w:bookmarkEnd w:id="23"/>
    </w:p>
    <w:p>
      <w:pPr>
        <w:pStyle w:val="GapMeta"/>
        <w:keepNext w:val="true"/>
        <w:rPr/>
      </w:pPr>
      <w:r>
        <w:rPr/>
        <w:t>P1 | Engineering elaboration | Owner role: Provisioning/service owners | G2 — platform/service acceptance</w:t>
      </w:r>
    </w:p>
    <w:p>
      <w:pPr>
        <w:pStyle w:val="Normal"/>
        <w:keepLines/>
        <w:rPr/>
      </w:pPr>
      <w:r>
        <w:rPr/>
        <w:t>Baseline observation: P0–P6 are defined, but there is no minimum handoff record for each owner. [</w:t>
      </w:r>
      <w:hyperlink w:anchor="GM_src_B2">
        <w:r>
          <w:rPr>
            <w:rStyle w:val="Style"/>
            <w:color w:val="176B70"/>
            <w:u w:val="single"/>
          </w:rPr>
          <w:t>B2</w:t>
        </w:r>
      </w:hyperlink>
      <w:r>
        <w:rPr/>
        <w:t xml:space="preserve"> §§20, 22, 24]</w:t>
      </w:r>
    </w:p>
    <w:p>
      <w:pPr>
        <w:pStyle w:val="Normal"/>
        <w:rPr/>
      </w:pPr>
      <w:r>
        <w:rPr/>
        <w:t>Documentation treatment: Define accepted inputs, actual owned outputs, release conditions, downstream consumers and resource-safe reversal.</w:t>
      </w:r>
    </w:p>
    <w:p>
      <w:pPr>
        <w:pStyle w:val="Normal"/>
        <w:rPr/>
      </w:pPr>
      <w:r>
        <w:rPr/>
        <w:t>Still required: Bind packages to selected tools, identities and operating owners. Closure evidence: Each dependency has an accepted handoff; no borrowed broad credentials.</w:t>
      </w:r>
    </w:p>
    <w:p>
      <w:pPr>
        <w:pStyle w:val="Navigation"/>
        <w:rPr/>
      </w:pPr>
      <w:r>
        <w:rPr/>
        <w:t xml:space="preserve">Trace: </w:t>
      </w:r>
      <w:r>
        <w:fldChar w:fldCharType="begin"/>
      </w:r>
      <w:r>
        <w:rPr>
          <w:rStyle w:val="Style"/>
          <w:u w:val="single"/>
          <w:color w:val="176B70"/>
        </w:rPr>
        <w:instrText xml:space="preserve"> HYPERLINK "04_Provisioning_and_Commissioning_v1_4.docx" \l "PROV_s_001"</w:instrText>
      </w:r>
      <w:r>
        <w:rPr>
          <w:rStyle w:val="Style"/>
          <w:u w:val="single"/>
          <w:color w:val="176B70"/>
        </w:rPr>
        <w:fldChar w:fldCharType="separate"/>
      </w:r>
      <w:r>
        <w:rPr>
          <w:rStyle w:val="Style"/>
          <w:color w:val="176B70"/>
          <w:u w:val="single"/>
        </w:rPr>
        <w:t>Treatment: PROV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"RA_s_020"</w:instrText>
      </w:r>
      <w:r>
        <w:rPr>
          <w:rStyle w:val="Style"/>
          <w:u w:val="single"/>
          <w:color w:val="176B70"/>
        </w:rPr>
        <w:fldChar w:fldCharType="separate"/>
      </w:r>
      <w:r>
        <w:rPr>
          <w:rStyle w:val="Style"/>
          <w:color w:val="176B70"/>
          <w:u w:val="single"/>
        </w:rPr>
        <w:t>RA §20</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p>
    <w:p>
      <w:pPr>
        <w:pStyle w:val="Heading2"/>
        <w:rPr/>
      </w:pPr>
      <w:bookmarkStart w:id="24" w:name="gap_G17"/>
      <w:r>
        <w:rPr/>
        <w:t>G17 — Independent Day-0 bootstrap</w:t>
      </w:r>
      <w:bookmarkEnd w:id="24"/>
    </w:p>
    <w:p>
      <w:pPr>
        <w:pStyle w:val="GapMeta"/>
        <w:keepNext w:val="true"/>
        <w:rPr/>
      </w:pPr>
      <w:r>
        <w:rPr/>
        <w:t>P0 | Engineering elaboration | Owner role: Foundation/management owner | G1 — foundation acceptance</w:t>
      </w:r>
    </w:p>
    <w:p>
      <w:pPr>
        <w:pStyle w:val="Normal"/>
        <w:keepLines/>
        <w:rPr/>
      </w:pPr>
      <w:r>
        <w:rPr/>
        <w:t>Baseline observation: Bootstrap order is specified, but an explicit minimum surviving service set and transition record is absent. [</w:t>
      </w:r>
      <w:hyperlink w:anchor="GM_src_B2">
        <w:r>
          <w:rPr>
            <w:rStyle w:val="Style"/>
            <w:color w:val="176B70"/>
            <w:u w:val="single"/>
          </w:rPr>
          <w:t>B2</w:t>
        </w:r>
      </w:hyperlink>
      <w:r>
        <w:rPr/>
        <w:t xml:space="preserve"> §§21, 13, 14]</w:t>
      </w:r>
    </w:p>
    <w:p>
      <w:pPr>
        <w:pStyle w:val="Normal"/>
        <w:rPr/>
      </w:pPr>
      <w:r>
        <w:rPr/>
        <w:t>Documentation treatment: Provide bootstrap dependency cuts, temporary authority, steady-state transfer and recovery custody.</w:t>
      </w:r>
    </w:p>
    <w:p>
      <w:pPr>
        <w:pStyle w:val="Normal"/>
        <w:rPr/>
      </w:pPr>
      <w:r>
        <w:rPr/>
        <w:t>Still required: Choose independent console, trust, name/time, artifact and state recovery locations. Closure evidence: Recovery from primary platform unavailability and revoked temporary access.</w:t>
      </w:r>
    </w:p>
    <w:p>
      <w:pPr>
        <w:pStyle w:val="Navigation"/>
        <w:rPr/>
      </w:pPr>
      <w:r>
        <w:rPr/>
        <w:t xml:space="preserve">Trace: </w:t>
      </w:r>
      <w:r>
        <w:fldChar w:fldCharType="begin"/>
      </w:r>
      <w:r>
        <w:rPr>
          <w:rStyle w:val="Style"/>
          <w:u w:val="single"/>
          <w:color w:val="176B70"/>
        </w:rPr>
        <w:instrText xml:space="preserve"> HYPERLINK "04_Provisioning_and_Commissioning_v1_4.docx" \l "PROV_s_002"</w:instrText>
      </w:r>
      <w:r>
        <w:rPr>
          <w:rStyle w:val="Style"/>
          <w:u w:val="single"/>
          <w:color w:val="176B70"/>
        </w:rPr>
        <w:fldChar w:fldCharType="separate"/>
      </w:r>
      <w:r>
        <w:rPr>
          <w:rStyle w:val="Style"/>
          <w:color w:val="176B70"/>
          <w:u w:val="single"/>
        </w:rPr>
        <w:t>Treatment: PROV §2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"RA_s_021"</w:instrText>
      </w:r>
      <w:r>
        <w:rPr>
          <w:rStyle w:val="Style"/>
          <w:u w:val="single"/>
          <w:color w:val="176B70"/>
        </w:rPr>
        <w:fldChar w:fldCharType="separate"/>
      </w:r>
      <w:r>
        <w:rPr>
          <w:rStyle w:val="Style"/>
          <w:color w:val="176B70"/>
          <w:u w:val="single"/>
        </w:rPr>
        <w:t>RA §21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"RA_s_013"</w:instrText>
      </w:r>
      <w:r>
        <w:rPr>
          <w:rStyle w:val="Style"/>
          <w:u w:val="single"/>
          <w:color w:val="176B70"/>
        </w:rPr>
        <w:fldChar w:fldCharType="separate"/>
      </w:r>
      <w:r>
        <w:rPr>
          <w:rStyle w:val="Style"/>
          <w:color w:val="176B70"/>
          <w:u w:val="single"/>
        </w:rPr>
        <w:t>RA §13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p>
    <w:p>
      <w:pPr>
        <w:pStyle w:val="Heading2"/>
        <w:rPr/>
      </w:pPr>
      <w:bookmarkStart w:id="25" w:name="gap_G18"/>
      <w:r>
        <w:rPr/>
        <w:t>G18 — Operation-level tool coverage</w:t>
      </w:r>
      <w:bookmarkEnd w:id="25"/>
    </w:p>
    <w:p>
      <w:pPr>
        <w:pStyle w:val="GapMeta"/>
        <w:keepNext w:val="true"/>
        <w:rPr/>
      </w:pPr>
      <w:r>
        <w:rPr/>
        <w:t>P0 | Implementation coverage | Owner role: Platform and automation engineering | G2 — platform/service acceptance</w:t>
      </w:r>
    </w:p>
    <w:p>
      <w:pPr>
        <w:pStyle w:val="Normal"/>
        <w:keepLines/>
        <w:rPr/>
      </w:pPr>
      <w:r>
        <w:rPr/>
        <w:t>Baseline observation: Provider coverage must be checked per operation; the reusable inventory to make that decision is not supplied. [</w:t>
      </w:r>
      <w:hyperlink w:anchor="GM_src_B2">
        <w:r>
          <w:rPr>
            <w:rStyle w:val="Style"/>
            <w:color w:val="176B70"/>
            <w:u w:val="single"/>
          </w:rPr>
          <w:t>B2</w:t>
        </w:r>
      </w:hyperlink>
      <w:r>
        <w:rPr/>
        <w:t xml:space="preserve"> §§22, 24]</w:t>
      </w:r>
    </w:p>
    <w:p>
      <w:pPr>
        <w:pStyle w:val="Normal"/>
        <w:rPr/>
      </w:pPr>
      <w:r>
        <w:rPr/>
        <w:t>Documentation treatment: Add resource-operation matrix with observe/create/update/adopt/replace/delete/recover status and supported alternatives.</w:t>
      </w:r>
    </w:p>
    <w:p>
      <w:pPr>
        <w:pStyle w:val="Normal"/>
        <w:rPr/>
      </w:pPr>
      <w:r>
        <w:rPr/>
        <w:t>Still required: Populate exact resources and support evidence; implement missing owned integrations. Closure evidence: Witnessed lifecycle and failure reconciliation, not a provider-name checkbox.</w:t>
      </w:r>
    </w:p>
    <w:p>
      <w:pPr>
        <w:pStyle w:val="Navigation"/>
        <w:rPr/>
      </w:pPr>
      <w:r>
        <w:rPr/>
        <w:t xml:space="preserve">Trace: </w:t>
      </w:r>
      <w:r>
        <w:fldChar w:fldCharType="begin"/>
      </w:r>
      <w:r>
        <w:rPr>
          <w:rStyle w:val="Style"/>
          <w:u w:val="single"/>
          <w:color w:val="176B70"/>
        </w:rPr>
        <w:instrText xml:space="preserve"> HYPERLINK "04_Provisioning_and_Commissioning_v1_4.docx" \l "PROV_s_003"</w:instrText>
      </w:r>
      <w:r>
        <w:rPr>
          <w:rStyle w:val="Style"/>
          <w:u w:val="single"/>
          <w:color w:val="176B70"/>
        </w:rPr>
        <w:fldChar w:fldCharType="separate"/>
      </w:r>
      <w:r>
        <w:rPr>
          <w:rStyle w:val="Style"/>
          <w:color w:val="176B70"/>
          <w:u w:val="single"/>
        </w:rPr>
        <w:t>Treatment: PROV §3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p>
    <w:p>
      <w:pPr>
        <w:pStyle w:val="Heading2"/>
        <w:rPr/>
      </w:pPr>
      <w:bookmarkStart w:id="26" w:name="gap_G19"/>
      <w:r>
        <w:rPr/>
        <w:t>G19 — Activation and rollback safety</w:t>
      </w:r>
      <w:bookmarkEnd w:id="26"/>
    </w:p>
    <w:p>
      <w:pPr>
        <w:pStyle w:val="GapMeta"/>
        <w:keepNext w:val="true"/>
        <w:rPr/>
      </w:pPr>
      <w:r>
        <w:rPr/>
        <w:t>P0 | Engineering elaboration | Owner role: Provisioning and security-edge owners | G3 — tenant activation</w:t>
      </w:r>
    </w:p>
    <w:p>
      <w:pPr>
        <w:pStyle w:val="Normal"/>
        <w:keepLines/>
        <w:rPr/>
      </w:pPr>
      <w:r>
        <w:rPr/>
        <w:t>Baseline observation: Internal verification and post-activation checks exist; detailed irreversible boundaries and safe responses need elaboration. [</w:t>
      </w:r>
      <w:hyperlink w:anchor="GM_src_B2">
        <w:r>
          <w:rPr>
            <w:rStyle w:val="Style"/>
            <w:color w:val="176B70"/>
            <w:u w:val="single"/>
          </w:rPr>
          <w:t>B2</w:t>
        </w:r>
      </w:hyperlink>
      <w:r>
        <w:rPr/>
        <w:t xml:space="preserve"> §§23, 24]</w:t>
      </w:r>
    </w:p>
    <w:p>
      <w:pPr>
        <w:pStyle w:val="Normal"/>
        <w:rPr/>
      </w:pPr>
      <w:r>
        <w:rPr/>
        <w:t>Documentation treatment: Define deny-first assembly, canary/controlled activation, session withdrawal and preservation of newly written data.</w:t>
      </w:r>
    </w:p>
    <w:p>
      <w:pPr>
        <w:pStyle w:val="Normal"/>
        <w:rPr/>
      </w:pPr>
      <w:r>
        <w:rPr/>
        <w:t>Still required: Implement actual activation gates and data-safe recovery actions. Closure evidence: Interrupted-stage and failed-live-check exercises preserve unrelated services.</w:t>
      </w:r>
    </w:p>
    <w:p>
      <w:pPr>
        <w:pStyle w:val="Navigation"/>
        <w:rPr/>
      </w:pPr>
      <w:r>
        <w:rPr/>
        <w:t xml:space="preserve">Trace: </w:t>
      </w:r>
      <w:r>
        <w:fldChar w:fldCharType="begin"/>
      </w:r>
      <w:r>
        <w:rPr>
          <w:rStyle w:val="Style"/>
          <w:u w:val="single"/>
          <w:color w:val="176B70"/>
        </w:rPr>
        <w:instrText xml:space="preserve"> HYPERLINK "04_Provisioning_and_Commissioning_v1_4.docx" \l "PROV_s_004"</w:instrText>
      </w:r>
      <w:r>
        <w:rPr>
          <w:rStyle w:val="Style"/>
          <w:u w:val="single"/>
          <w:color w:val="176B70"/>
        </w:rPr>
        <w:fldChar w:fldCharType="separate"/>
      </w:r>
      <w:r>
        <w:rPr>
          <w:rStyle w:val="Style"/>
          <w:color w:val="176B70"/>
          <w:u w:val="single"/>
        </w:rPr>
        <w:t>Treatment: PROV §4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"RA_s_023"</w:instrText>
      </w:r>
      <w:r>
        <w:rPr>
          <w:rStyle w:val="Style"/>
          <w:u w:val="single"/>
          <w:color w:val="176B70"/>
        </w:rPr>
        <w:fldChar w:fldCharType="separate"/>
      </w:r>
      <w:r>
        <w:rPr>
          <w:rStyle w:val="Style"/>
          <w:color w:val="176B70"/>
          <w:u w:val="single"/>
        </w:rPr>
        <w:t>RA §23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p>
    <w:p>
      <w:pPr>
        <w:pStyle w:val="Heading2"/>
        <w:rPr/>
      </w:pPr>
      <w:bookmarkStart w:id="27" w:name="gap_G20"/>
      <w:r>
        <w:rPr/>
        <w:t>G20 — Single-writer and stale executor</w:t>
      </w:r>
      <w:bookmarkEnd w:id="27"/>
    </w:p>
    <w:p>
      <w:pPr>
        <w:pStyle w:val="GapMeta"/>
        <w:keepNext w:val="true"/>
        <w:rPr/>
      </w:pPr>
      <w:r>
        <w:rPr/>
        <w:t>P1 | Implementation coverage | Owner role: Automation/platform owners | G3 — tenant activation</w:t>
      </w:r>
    </w:p>
    <w:p>
      <w:pPr>
        <w:pStyle w:val="Normal"/>
        <w:keepLines/>
        <w:rPr/>
      </w:pPr>
      <w:r>
        <w:rPr/>
        <w:t>Baseline observation: Single ownership and stale plan checks are required; delayed native operations after executor failure are not developed. [</w:t>
      </w:r>
      <w:hyperlink w:anchor="GM_src_B2">
        <w:r>
          <w:rPr>
            <w:rStyle w:val="Style"/>
            <w:color w:val="176B70"/>
            <w:u w:val="single"/>
          </w:rPr>
          <w:t>B2</w:t>
        </w:r>
      </w:hyperlink>
      <w:r>
        <w:rPr/>
        <w:t xml:space="preserve"> §§24, 25]</w:t>
      </w:r>
    </w:p>
    <w:p>
      <w:pPr>
        <w:pStyle w:val="Normal"/>
        <w:rPr/>
      </w:pPr>
      <w:r>
        <w:rPr/>
        <w:t>Documentation treatment: Add ownership transfer, stop-and-discover procedure, outstanding task checks and conditional resumption.</w:t>
      </w:r>
    </w:p>
    <w:p>
      <w:pPr>
        <w:pStyle w:val="Normal"/>
        <w:rPr/>
      </w:pPr>
      <w:r>
        <w:rPr/>
        <w:t>Still required: Qualify locking, credential revocation and task discovery for every executor. Closure evidence: No concurrent competing writers or duplicate allocation after timeout.</w:t>
      </w:r>
    </w:p>
    <w:p>
      <w:pPr>
        <w:pStyle w:val="Navigation"/>
        <w:rPr/>
      </w:pPr>
      <w:r>
        <w:rPr/>
        <w:t xml:space="preserve">Trace: </w:t>
      </w:r>
      <w:r>
        <w:fldChar w:fldCharType="begin"/>
      </w:r>
      <w:r>
        <w:rPr>
          <w:rStyle w:val="Style"/>
          <w:u w:val="single"/>
          <w:color w:val="176B70"/>
        </w:rPr>
        <w:instrText xml:space="preserve"> HYPERLINK "04_Provisioning_and_Commissioning_v1_4.docx" \l "PROV_s_005"</w:instrText>
      </w:r>
      <w:r>
        <w:rPr>
          <w:rStyle w:val="Style"/>
          <w:u w:val="single"/>
          <w:color w:val="176B70"/>
        </w:rPr>
        <w:fldChar w:fldCharType="separate"/>
      </w:r>
      <w:r>
        <w:rPr>
          <w:rStyle w:val="Style"/>
          <w:color w:val="176B70"/>
          <w:u w:val="single"/>
        </w:rPr>
        <w:t>Treatment: PROV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"RA_s_025"</w:instrText>
      </w:r>
      <w:r>
        <w:rPr>
          <w:rStyle w:val="Style"/>
          <w:u w:val="single"/>
          <w:color w:val="176B70"/>
        </w:rPr>
        <w:fldChar w:fldCharType="separate"/>
      </w:r>
      <w:r>
        <w:rPr>
          <w:rStyle w:val="Style"/>
          <w:color w:val="176B70"/>
          <w:u w:val="single"/>
        </w:rPr>
        <w:t>RA §25</w:t>
      </w:r>
      <w:r>
        <w:rPr>
          <w:rStyle w:val="Style"/>
          <w:u w:val="single"/>
          <w:color w:val="176B70"/>
        </w:rPr>
        <w:fldChar w:fldCharType="end"/>
      </w:r>
    </w:p>
    <w:p>
      <w:pPr>
        <w:pStyle w:val="Heading2"/>
        <w:rPr/>
      </w:pPr>
      <w:bookmarkStart w:id="28" w:name="gap_G21"/>
      <w:r>
        <w:rPr/>
        <w:t>G21 — Brownfield adoption sequence</w:t>
      </w:r>
      <w:bookmarkEnd w:id="28"/>
    </w:p>
    <w:p>
      <w:pPr>
        <w:pStyle w:val="GapMeta"/>
        <w:keepNext w:val="true"/>
        <w:rPr/>
      </w:pPr>
      <w:r>
        <w:rPr/>
        <w:t>P1 | Engineering elaboration | Owner role: Existing service and platform owners | G3 — tenant activation</w:t>
      </w:r>
    </w:p>
    <w:p>
      <w:pPr>
        <w:pStyle w:val="Normal"/>
        <w:keepLines/>
        <w:rPr/>
      </w:pPr>
      <w:r>
        <w:rPr/>
        <w:t>Baseline observation: Discovery and reviewed adoption are stated, but a complete no-replacement acceptance sequence is not shown. [</w:t>
      </w:r>
      <w:hyperlink w:anchor="GM_src_B2">
        <w:r>
          <w:rPr>
            <w:rStyle w:val="Style"/>
            <w:color w:val="176B70"/>
            <w:u w:val="single"/>
          </w:rPr>
          <w:t>B2</w:t>
        </w:r>
      </w:hyperlink>
      <w:r>
        <w:rPr/>
        <w:t xml:space="preserve"> §§25]</w:t>
      </w:r>
    </w:p>
    <w:p>
      <w:pPr>
        <w:pStyle w:val="Normal"/>
        <w:rPr/>
      </w:pPr>
      <w:r>
        <w:rPr/>
        <w:t>Documentation treatment: Provide discovery, ownership freeze, supported import, no-op plan and canary change gates.</w:t>
      </w:r>
    </w:p>
    <w:p>
      <w:pPr>
        <w:pStyle w:val="Normal"/>
        <w:rPr/>
      </w:pPr>
      <w:r>
        <w:rPr/>
        <w:t>Still required: Inventory live resources and settle existing management ownership. Closure evidence: Reviewed non-destructive plan, rollback boundary and service checks.</w:t>
      </w:r>
    </w:p>
    <w:p>
      <w:pPr>
        <w:pStyle w:val="Navigation"/>
        <w:rPr/>
      </w:pPr>
      <w:r>
        <w:rPr/>
        <w:t xml:space="preserve">Trace: </w:t>
      </w:r>
      <w:r>
        <w:fldChar w:fldCharType="begin"/>
      </w:r>
      <w:r>
        <w:rPr>
          <w:rStyle w:val="Style"/>
          <w:u w:val="single"/>
          <w:color w:val="176B70"/>
        </w:rPr>
        <w:instrText xml:space="preserve"> HYPERLINK "04_Provisioning_and_Commissioning_v1_4.docx" \l "PROV_s_006"</w:instrText>
      </w:r>
      <w:r>
        <w:rPr>
          <w:rStyle w:val="Style"/>
          <w:u w:val="single"/>
          <w:color w:val="176B70"/>
        </w:rPr>
        <w:fldChar w:fldCharType="separate"/>
      </w:r>
      <w:r>
        <w:rPr>
          <w:rStyle w:val="Style"/>
          <w:color w:val="176B70"/>
          <w:u w:val="single"/>
        </w:rPr>
        <w:t>Treatment: PROV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"RA_s_025"</w:instrText>
      </w:r>
      <w:r>
        <w:rPr>
          <w:rStyle w:val="Style"/>
          <w:u w:val="single"/>
          <w:color w:val="176B70"/>
        </w:rPr>
        <w:fldChar w:fldCharType="separate"/>
      </w:r>
      <w:r>
        <w:rPr>
          <w:rStyle w:val="Style"/>
          <w:color w:val="176B70"/>
          <w:u w:val="single"/>
        </w:rPr>
        <w:t>RA §25</w:t>
      </w:r>
      <w:r>
        <w:rPr>
          <w:rStyle w:val="Style"/>
          <w:u w:val="single"/>
          <w:color w:val="176B70"/>
        </w:rPr>
        <w:fldChar w:fldCharType="end"/>
      </w:r>
    </w:p>
    <w:p>
      <w:pPr>
        <w:pStyle w:val="Heading2"/>
        <w:rPr/>
      </w:pPr>
      <w:bookmarkStart w:id="29" w:name="gap_G22"/>
      <w:r>
        <w:rPr/>
        <w:t>G22 — Shared-service dependency placement</w:t>
      </w:r>
      <w:bookmarkEnd w:id="29"/>
    </w:p>
    <w:p>
      <w:pPr>
        <w:pStyle w:val="GapMeta"/>
        <w:keepNext w:val="true"/>
        <w:rPr/>
      </w:pPr>
      <w:r>
        <w:rPr/>
        <w:t>P1 | Engineering elaboration | Owner role: Shared-service architects | G2 — platform/service acceptance</w:t>
      </w:r>
    </w:p>
    <w:p>
      <w:pPr>
        <w:pStyle w:val="Normal"/>
        <w:keepLines/>
        <w:rPr/>
      </w:pPr>
      <w:r>
        <w:rPr/>
        <w:t>Baseline observation: Consumption/administration are distinct; provider service placement and dependency failure are not mapped service by service. [</w:t>
      </w:r>
      <w:hyperlink w:anchor="GM_src_B2">
        <w:r>
          <w:rPr>
            <w:rStyle w:val="Style"/>
            <w:color w:val="176B70"/>
            <w:u w:val="single"/>
          </w:rPr>
          <w:t>B2</w:t>
        </w:r>
      </w:hyperlink>
      <w:r>
        <w:rPr/>
        <w:t xml:space="preserve"> §§9, 13, 22]</w:t>
      </w:r>
    </w:p>
    <w:p>
      <w:pPr>
        <w:pStyle w:val="Normal"/>
        <w:rPr/>
      </w:pPr>
      <w:r>
        <w:rPr/>
        <w:t>Documentation treatment: Add endpoint/management/backend/dependency schedules and distinguish shared endpoints from independent service instances.</w:t>
      </w:r>
    </w:p>
    <w:p>
      <w:pPr>
        <w:pStyle w:val="Normal"/>
        <w:rPr/>
      </w:pPr>
      <w:r>
        <w:rPr/>
        <w:t>Still required: Choose placements, tenancy controls and actual service dependencies. Closure evidence: Service consumption and administrative-denial tests in failure conditions.</w:t>
      </w:r>
    </w:p>
    <w:p>
      <w:pPr>
        <w:pStyle w:val="Navigation"/>
        <w:rPr/>
      </w:pPr>
      <w:r>
        <w:rPr/>
        <w:t xml:space="preserve">Trace: </w:t>
      </w:r>
      <w:r>
        <w:fldChar w:fldCharType="begin"/>
      </w:r>
      <w:r>
        <w:rPr>
          <w:rStyle w:val="Style"/>
          <w:u w:val="single"/>
          <w:color w:val="176B70"/>
        </w:rPr>
        <w:instrText xml:space="preserve"> HYPERLINK "05_Shared_Services_Data_and_Recovery_v1_4.docx" \l "SVC_s_001"</w:instrText>
      </w:r>
      <w:r>
        <w:rPr>
          <w:rStyle w:val="Style"/>
          <w:u w:val="single"/>
          <w:color w:val="176B70"/>
        </w:rPr>
        <w:fldChar w:fldCharType="separate"/>
      </w:r>
      <w:r>
        <w:rPr>
          <w:rStyle w:val="Style"/>
          <w:color w:val="176B70"/>
          <w:u w:val="single"/>
        </w:rPr>
        <w:t>Treatment: SVC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"RA_s_009"</w:instrText>
      </w:r>
      <w:r>
        <w:rPr>
          <w:rStyle w:val="Style"/>
          <w:u w:val="single"/>
          <w:color w:val="176B70"/>
        </w:rPr>
        <w:fldChar w:fldCharType="separate"/>
      </w:r>
      <w:r>
        <w:rPr>
          <w:rStyle w:val="Style"/>
          <w:color w:val="176B70"/>
          <w:u w:val="single"/>
        </w:rPr>
        <w:t>RA §9</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"RA_s_013"</w:instrText>
      </w:r>
      <w:r>
        <w:rPr>
          <w:rStyle w:val="Style"/>
          <w:u w:val="single"/>
          <w:color w:val="176B70"/>
        </w:rPr>
        <w:fldChar w:fldCharType="separate"/>
      </w:r>
      <w:r>
        <w:rPr>
          <w:rStyle w:val="Style"/>
          <w:color w:val="176B70"/>
          <w:u w:val="single"/>
        </w:rPr>
        <w:t>RA §13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p>
    <w:p>
      <w:pPr>
        <w:pStyle w:val="Heading2"/>
        <w:rPr/>
      </w:pPr>
      <w:bookmarkStart w:id="30" w:name="gap_G23"/>
      <w:r>
        <w:rPr/>
        <w:t>G23 — Key and certificate recovery</w:t>
      </w:r>
      <w:bookmarkEnd w:id="30"/>
    </w:p>
    <w:p>
      <w:pPr>
        <w:pStyle w:val="GapMeta"/>
        <w:keepNext w:val="true"/>
        <w:rPr/>
      </w:pPr>
      <w:r>
        <w:rPr/>
        <w:t>P0 | Engineering elaboration | Owner role: Identity, PKI and key owners | G2 — platform/service acceptance</w:t>
      </w:r>
    </w:p>
    <w:p>
      <w:pPr>
        <w:pStyle w:val="Normal"/>
        <w:keepLines/>
        <w:rPr/>
      </w:pPr>
      <w:r>
        <w:rPr/>
        <w:t>Baseline observation: Independent custody and no plaintext fallback are required; recovery key lifetime, trust renewal and scope are not worked. [</w:t>
      </w:r>
      <w:hyperlink w:anchor="GM_src_B2">
        <w:r>
          <w:rPr>
            <w:rStyle w:val="Style"/>
            <w:color w:val="176B70"/>
            <w:u w:val="single"/>
          </w:rPr>
          <w:t>B2</w:t>
        </w:r>
      </w:hyperlink>
      <w:r>
        <w:rPr/>
        <w:t xml:space="preserve"> §§13, 14]</w:t>
      </w:r>
    </w:p>
    <w:p>
      <w:pPr>
        <w:pStyle w:val="Normal"/>
        <w:rPr/>
      </w:pPr>
      <w:r>
        <w:rPr/>
        <w:t>Documentation treatment: Add separate key-use/admin/recovery/disposal paths and retained-copy dependency ledger.</w:t>
      </w:r>
    </w:p>
    <w:p>
      <w:pPr>
        <w:pStyle w:val="Normal"/>
        <w:rPr/>
      </w:pPr>
      <w:r>
        <w:rPr/>
        <w:t>Still required: Select approved protocols/module evidence, custody and recovery process. Closure evidence: Rotation, revocation and outage/restore results with retained-data recovery.</w:t>
      </w:r>
    </w:p>
    <w:p>
      <w:pPr>
        <w:pStyle w:val="Navigation"/>
        <w:rPr/>
      </w:pPr>
      <w:r>
        <w:rPr/>
        <w:t xml:space="preserve">Trace: </w:t>
      </w:r>
      <w:r>
        <w:fldChar w:fldCharType="begin"/>
      </w:r>
      <w:r>
        <w:rPr>
          <w:rStyle w:val="Style"/>
          <w:u w:val="single"/>
          <w:color w:val="176B70"/>
        </w:rPr>
        <w:instrText xml:space="preserve"> HYPERLINK "05_Shared_Services_Data_and_Recovery_v1_4.docx" \l "SVC_s_003"</w:instrText>
      </w:r>
      <w:r>
        <w:rPr>
          <w:rStyle w:val="Style"/>
          <w:u w:val="single"/>
          <w:color w:val="176B70"/>
        </w:rPr>
        <w:fldChar w:fldCharType="separate"/>
      </w:r>
      <w:r>
        <w:rPr>
          <w:rStyle w:val="Style"/>
          <w:color w:val="176B70"/>
          <w:u w:val="single"/>
        </w:rPr>
        <w:t>Treatment: SVC §3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"RA_s_013"</w:instrText>
      </w:r>
      <w:r>
        <w:rPr>
          <w:rStyle w:val="Style"/>
          <w:u w:val="single"/>
          <w:color w:val="176B70"/>
        </w:rPr>
        <w:fldChar w:fldCharType="separate"/>
      </w:r>
      <w:r>
        <w:rPr>
          <w:rStyle w:val="Style"/>
          <w:color w:val="176B70"/>
          <w:u w:val="single"/>
        </w:rPr>
        <w:t>RA §13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p>
    <w:p>
      <w:pPr>
        <w:pStyle w:val="Heading2"/>
        <w:rPr/>
      </w:pPr>
      <w:bookmarkStart w:id="31" w:name="gap_G24"/>
      <w:r>
        <w:rPr/>
        <w:t>G24 — Storage copy and attachment lineage</w:t>
      </w:r>
      <w:bookmarkEnd w:id="31"/>
    </w:p>
    <w:p>
      <w:pPr>
        <w:pStyle w:val="GapMeta"/>
        <w:keepNext w:val="true"/>
        <w:rPr/>
      </w:pPr>
      <w:r>
        <w:rPr/>
        <w:t>P1 | Engineering elaboration | Owner role: Storage and data owners | G3 — tenant activation</w:t>
      </w:r>
    </w:p>
    <w:p>
      <w:pPr>
        <w:pStyle w:val="Normal"/>
        <w:keepLines/>
        <w:rPr/>
      </w:pPr>
      <w:r>
        <w:rPr/>
        <w:t>Baseline observation: Storage paths and retained copies are described but no filled copy lineage or attachment lifecycle is supplied. [</w:t>
      </w:r>
      <w:hyperlink w:anchor="GM_src_B2">
        <w:r>
          <w:rPr>
            <w:rStyle w:val="Style"/>
            <w:color w:val="176B70"/>
            <w:u w:val="single"/>
          </w:rPr>
          <w:t>B2</w:t>
        </w:r>
      </w:hyperlink>
      <w:r>
        <w:rPr/>
        <w:t xml:space="preserve"> §§12, 27]</w:t>
      </w:r>
    </w:p>
    <w:p>
      <w:pPr>
        <w:pStyle w:val="Normal"/>
        <w:rPr/>
      </w:pPr>
      <w:r>
        <w:rPr/>
        <w:t>Documentation treatment: Add authoritative copy/attachment records, data access paths, inherited category and disposal checkpoints.</w:t>
      </w:r>
    </w:p>
    <w:p>
      <w:pPr>
        <w:pStyle w:val="Normal"/>
        <w:rPr/>
      </w:pPr>
      <w:r>
        <w:rPr/>
        <w:t>Still required: Map real backend, image, snapshot, clone, replica and backup mechanisms. Closure evidence: Foreign attachment/export denials and retained-copy disposal accounting.</w:t>
      </w:r>
    </w:p>
    <w:p>
      <w:pPr>
        <w:pStyle w:val="Navigation"/>
        <w:rPr/>
      </w:pPr>
      <w:r>
        <w:rPr/>
        <w:t xml:space="preserve">Trace: </w:t>
      </w:r>
      <w:r>
        <w:fldChar w:fldCharType="begin"/>
      </w:r>
      <w:r>
        <w:rPr>
          <w:rStyle w:val="Style"/>
          <w:u w:val="single"/>
          <w:color w:val="176B70"/>
        </w:rPr>
        <w:instrText xml:space="preserve"> HYPERLINK "05_Shared_Services_Data_and_Recovery_v1_4.docx" \l "SVC_s_004"</w:instrText>
      </w:r>
      <w:r>
        <w:rPr>
          <w:rStyle w:val="Style"/>
          <w:u w:val="single"/>
          <w:color w:val="176B70"/>
        </w:rPr>
        <w:fldChar w:fldCharType="separate"/>
      </w:r>
      <w:r>
        <w:rPr>
          <w:rStyle w:val="Style"/>
          <w:color w:val="176B70"/>
          <w:u w:val="single"/>
        </w:rPr>
        <w:t>Treatment: SVC §4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"RA_s_012"</w:instrText>
      </w:r>
      <w:r>
        <w:rPr>
          <w:rStyle w:val="Style"/>
          <w:u w:val="single"/>
          <w:color w:val="176B70"/>
        </w:rPr>
        <w:fldChar w:fldCharType="separate"/>
      </w:r>
      <w:r>
        <w:rPr>
          <w:rStyle w:val="Style"/>
          <w:color w:val="176B70"/>
          <w:u w:val="single"/>
        </w:rPr>
        <w:t>RA §12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"RA_s_027"</w:instrText>
      </w:r>
      <w:r>
        <w:rPr>
          <w:rStyle w:val="Style"/>
          <w:u w:val="single"/>
          <w:color w:val="176B70"/>
        </w:rPr>
        <w:fldChar w:fldCharType="separate"/>
      </w:r>
      <w:r>
        <w:rPr>
          <w:rStyle w:val="Style"/>
          <w:color w:val="176B70"/>
          <w:u w:val="single"/>
        </w:rPr>
        <w:t>RA §27</w:t>
      </w:r>
      <w:r>
        <w:rPr>
          <w:rStyle w:val="Style"/>
          <w:u w:val="single"/>
          <w:color w:val="176B70"/>
        </w:rPr>
        <w:fldChar w:fldCharType="end"/>
      </w:r>
    </w:p>
    <w:p>
      <w:pPr>
        <w:pStyle w:val="Heading2"/>
        <w:rPr/>
      </w:pPr>
      <w:bookmarkStart w:id="32" w:name="gap_G25"/>
      <w:r>
        <w:rPr/>
        <w:t>G25 — Backup and isolated restore</w:t>
      </w:r>
      <w:bookmarkEnd w:id="32"/>
    </w:p>
    <w:p>
      <w:pPr>
        <w:pStyle w:val="GapMeta"/>
        <w:keepNext w:val="true"/>
        <w:rPr/>
      </w:pPr>
      <w:r>
        <w:rPr/>
        <w:t>P0 | Engineering elaboration | Owner role: Backup and recovery owners | G2 — platform/service acceptance</w:t>
      </w:r>
    </w:p>
    <w:p>
      <w:pPr>
        <w:pStyle w:val="Normal"/>
        <w:keepLines/>
        <w:rPr/>
      </w:pPr>
      <w:r>
        <w:rPr/>
        <w:t>Baseline observation: Restore is the acceptance metric; proxy/API/data paths and reconstruction dependencies need more detail. [</w:t>
      </w:r>
      <w:hyperlink w:anchor="GM_src_B2">
        <w:r>
          <w:rPr>
            <w:rStyle w:val="Style"/>
            <w:color w:val="176B70"/>
            <w:u w:val="single"/>
          </w:rPr>
          <w:t>B2</w:t>
        </w:r>
      </w:hyperlink>
      <w:r>
        <w:rPr/>
        <w:t xml:space="preserve"> §§12, 14, 27]</w:t>
      </w:r>
    </w:p>
    <w:p>
      <w:pPr>
        <w:pStyle w:val="Normal"/>
        <w:rPr/>
      </w:pPr>
      <w:r>
        <w:rPr/>
        <w:t>Documentation treatment: Provide capture/transfer/repository separation and stepwise isolated restore with key/catalogue prerequisites.</w:t>
      </w:r>
    </w:p>
    <w:p>
      <w:pPr>
        <w:pStyle w:val="Normal"/>
        <w:rPr/>
      </w:pPr>
      <w:r>
        <w:rPr/>
        <w:t>Still required: Choose supported capture/consistency methods and approve RTO/RPO and retention. Closure evidence: Recover useful test data and demonstrate isolation before reconnecting.</w:t>
      </w:r>
    </w:p>
    <w:p>
      <w:pPr>
        <w:pStyle w:val="Navigation"/>
        <w:rPr/>
      </w:pPr>
      <w:r>
        <w:rPr/>
        <w:t xml:space="preserve">Trace: </w:t>
      </w:r>
      <w:r>
        <w:fldChar w:fldCharType="begin"/>
      </w:r>
      <w:r>
        <w:rPr>
          <w:rStyle w:val="Style"/>
          <w:u w:val="single"/>
          <w:color w:val="176B70"/>
        </w:rPr>
        <w:instrText xml:space="preserve"> HYPERLINK "05_Shared_Services_Data_and_Recovery_v1_4.docx" \l "SVC_s_005"</w:instrText>
      </w:r>
      <w:r>
        <w:rPr>
          <w:rStyle w:val="Style"/>
          <w:u w:val="single"/>
          <w:color w:val="176B70"/>
        </w:rPr>
        <w:fldChar w:fldCharType="separate"/>
      </w:r>
      <w:r>
        <w:rPr>
          <w:rStyle w:val="Style"/>
          <w:color w:val="176B70"/>
          <w:u w:val="single"/>
        </w:rPr>
        <w:t>Treatment: SVC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"RA_s_012"</w:instrText>
      </w:r>
      <w:r>
        <w:rPr>
          <w:rStyle w:val="Style"/>
          <w:u w:val="single"/>
          <w:color w:val="176B70"/>
        </w:rPr>
        <w:fldChar w:fldCharType="separate"/>
      </w:r>
      <w:r>
        <w:rPr>
          <w:rStyle w:val="Style"/>
          <w:color w:val="176B70"/>
          <w:u w:val="single"/>
        </w:rPr>
        <w:t>RA §12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"RA_s_027"</w:instrText>
      </w:r>
      <w:r>
        <w:rPr>
          <w:rStyle w:val="Style"/>
          <w:u w:val="single"/>
          <w:color w:val="176B70"/>
        </w:rPr>
        <w:fldChar w:fldCharType="separate"/>
      </w:r>
      <w:r>
        <w:rPr>
          <w:rStyle w:val="Style"/>
          <w:color w:val="176B70"/>
          <w:u w:val="single"/>
        </w:rPr>
        <w:t>RA §27</w:t>
      </w:r>
      <w:r>
        <w:rPr>
          <w:rStyle w:val="Style"/>
          <w:u w:val="single"/>
          <w:color w:val="176B70"/>
        </w:rPr>
        <w:fldChar w:fldCharType="end"/>
      </w:r>
    </w:p>
    <w:p>
      <w:pPr>
        <w:pStyle w:val="Heading2"/>
        <w:rPr/>
      </w:pPr>
      <w:bookmarkStart w:id="33" w:name="gap_G26"/>
      <w:r>
        <w:rPr/>
        <w:t>G26 — Site-loss and failback ownership</w:t>
      </w:r>
      <w:bookmarkEnd w:id="33"/>
    </w:p>
    <w:p>
      <w:pPr>
        <w:pStyle w:val="GapMeta"/>
        <w:keepNext w:val="true"/>
        <w:rPr/>
      </w:pPr>
      <w:r>
        <w:rPr/>
        <w:t>P0 | Engineering elaboration | Owner role: Continuity and data owners | G4 — recovery/operational acceptance</w:t>
      </w:r>
    </w:p>
    <w:p>
      <w:pPr>
        <w:pStyle w:val="Normal"/>
        <w:keepLines/>
        <w:rPr/>
      </w:pPr>
      <w:r>
        <w:rPr/>
        <w:t>Baseline observation: Fencing and failback are required; partition, alternate writer and reverse synchronization decisions are not tabulated. [</w:t>
      </w:r>
      <w:hyperlink w:anchor="GM_src_B2">
        <w:r>
          <w:rPr>
            <w:rStyle w:val="Style"/>
            <w:color w:val="176B70"/>
            <w:u w:val="single"/>
          </w:rPr>
          <w:t>B2</w:t>
        </w:r>
      </w:hyperlink>
      <w:r>
        <w:rPr/>
        <w:t xml:space="preserve"> §§14, 27]</w:t>
      </w:r>
    </w:p>
    <w:p>
      <w:pPr>
        <w:pStyle w:val="Normal"/>
        <w:rPr/>
      </w:pPr>
      <w:r>
        <w:rPr/>
        <w:t>Documentation treatment: Define failure/authority matrix, writer exclusion, activation and return-to-primary sequence.</w:t>
      </w:r>
    </w:p>
    <w:p>
      <w:pPr>
        <w:pStyle w:val="Normal"/>
        <w:rPr/>
      </w:pPr>
      <w:r>
        <w:rPr/>
        <w:t>Still required: Populate surviving dependencies and specific fencing/consistency method. Closure evidence: Observed site/partition recovery with measured objectives and safe failback.</w:t>
      </w:r>
    </w:p>
    <w:p>
      <w:pPr>
        <w:pStyle w:val="Navigation"/>
        <w:rPr/>
      </w:pPr>
      <w:r>
        <w:rPr/>
        <w:t xml:space="preserve">Trace: </w:t>
      </w:r>
      <w:r>
        <w:fldChar w:fldCharType="begin"/>
      </w:r>
      <w:r>
        <w:rPr>
          <w:rStyle w:val="Style"/>
          <w:u w:val="single"/>
          <w:color w:val="176B70"/>
        </w:rPr>
        <w:instrText xml:space="preserve"> HYPERLINK "05_Shared_Services_Data_and_Recovery_v1_4.docx" \l "SVC_s_006"</w:instrText>
      </w:r>
      <w:r>
        <w:rPr>
          <w:rStyle w:val="Style"/>
          <w:u w:val="single"/>
          <w:color w:val="176B70"/>
        </w:rPr>
        <w:fldChar w:fldCharType="separate"/>
      </w:r>
      <w:r>
        <w:rPr>
          <w:rStyle w:val="Style"/>
          <w:color w:val="176B70"/>
          <w:u w:val="single"/>
        </w:rPr>
        <w:t>Treatment: SVC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"RA_s_027"</w:instrText>
      </w:r>
      <w:r>
        <w:rPr>
          <w:rStyle w:val="Style"/>
          <w:u w:val="single"/>
          <w:color w:val="176B70"/>
        </w:rPr>
        <w:fldChar w:fldCharType="separate"/>
      </w:r>
      <w:r>
        <w:rPr>
          <w:rStyle w:val="Style"/>
          <w:color w:val="176B70"/>
          <w:u w:val="single"/>
        </w:rPr>
        <w:t>RA §27</w:t>
      </w:r>
      <w:r>
        <w:rPr>
          <w:rStyle w:val="Style"/>
          <w:u w:val="single"/>
          <w:color w:val="176B70"/>
        </w:rPr>
        <w:fldChar w:fldCharType="end"/>
      </w:r>
    </w:p>
    <w:p>
      <w:pPr>
        <w:pStyle w:val="Heading2"/>
        <w:rPr/>
      </w:pPr>
      <w:bookmarkStart w:id="34" w:name="gap_G27"/>
      <w:r>
        <w:rPr/>
        <w:t>G27 — Measured capacity and admission</w:t>
      </w:r>
      <w:bookmarkEnd w:id="34"/>
    </w:p>
    <w:p>
      <w:pPr>
        <w:pStyle w:val="GapMeta"/>
        <w:keepNext w:val="true"/>
        <w:rPr/>
      </w:pPr>
      <w:r>
        <w:rPr/>
        <w:t>P1 | Engineering elaboration | Owner role: Capacity and platform owners | G2 — platform/service acceptance</w:t>
      </w:r>
    </w:p>
    <w:p>
      <w:pPr>
        <w:pStyle w:val="Normal"/>
        <w:keepLines/>
        <w:rPr/>
      </w:pPr>
      <w:r>
        <w:rPr/>
        <w:t>Baseline observation: Capacity principle is present; no worked multi-resource admission or edge-context accounting example exists. [</w:t>
      </w:r>
      <w:hyperlink w:anchor="GM_src_B2">
        <w:r>
          <w:rPr>
            <w:rStyle w:val="Style"/>
            <w:color w:val="176B70"/>
            <w:u w:val="single"/>
          </w:rPr>
          <w:t>B2</w:t>
        </w:r>
      </w:hyperlink>
      <w:r>
        <w:rPr/>
        <w:t xml:space="preserve"> §§4, 14, 26]</w:t>
      </w:r>
    </w:p>
    <w:p>
      <w:pPr>
        <w:pStyle w:val="Normal"/>
        <w:rPr/>
      </w:pPr>
      <w:r>
        <w:rPr/>
        <w:t>Documentation treatment: Add unit-aware resource ledger and illustrative surviving-capacity calculations; distinguish reservations from observed use.</w:t>
      </w:r>
    </w:p>
    <w:p>
      <w:pPr>
        <w:pStyle w:val="Normal"/>
        <w:rPr/>
      </w:pPr>
      <w:r>
        <w:rPr/>
        <w:t>Still required: Measure capacity under agreed failure/maintenance and security feature load. Closure evidence: Approved service envelope with binding bottleneck and growth trigger.</w:t>
      </w:r>
    </w:p>
    <w:p>
      <w:pPr>
        <w:pStyle w:val="Navigation"/>
        <w:rPr/>
      </w:pPr>
      <w:r>
        <w:rPr/>
        <w:t xml:space="preserve">Trace: </w:t>
      </w:r>
      <w:r>
        <w:fldChar w:fldCharType="begin"/>
      </w:r>
      <w:r>
        <w:rPr>
          <w:rStyle w:val="Style"/>
          <w:u w:val="single"/>
          <w:color w:val="176B70"/>
        </w:rPr>
        <w:instrText xml:space="preserve"> HYPERLINK "06_Site_Design_Qualification_and_Operations_v1_4.docx" \l "QUAL_s_003"</w:instrText>
      </w:r>
      <w:r>
        <w:rPr>
          <w:rStyle w:val="Style"/>
          <w:u w:val="single"/>
          <w:color w:val="176B70"/>
        </w:rPr>
        <w:fldChar w:fldCharType="separate"/>
      </w:r>
      <w:r>
        <w:rPr>
          <w:rStyle w:val="Style"/>
          <w:color w:val="176B70"/>
          <w:u w:val="single"/>
        </w:rPr>
        <w:t>Treatment: QUAL §3</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"RA_s_004"</w:instrText>
      </w:r>
      <w:r>
        <w:rPr>
          <w:rStyle w:val="Style"/>
          <w:u w:val="single"/>
          <w:color w:val="176B70"/>
        </w:rPr>
        <w:fldChar w:fldCharType="separate"/>
      </w:r>
      <w:r>
        <w:rPr>
          <w:rStyle w:val="Style"/>
          <w:color w:val="176B70"/>
          <w:u w:val="single"/>
        </w:rPr>
        <w:t>RA §4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"RA_s_026"</w:instrText>
      </w:r>
      <w:r>
        <w:rPr>
          <w:rStyle w:val="Style"/>
          <w:u w:val="single"/>
          <w:color w:val="176B70"/>
        </w:rPr>
        <w:fldChar w:fldCharType="separate"/>
      </w:r>
      <w:r>
        <w:rPr>
          <w:rStyle w:val="Style"/>
          <w:color w:val="176B70"/>
          <w:u w:val="single"/>
        </w:rPr>
        <w:t>RA §26</w:t>
      </w:r>
      <w:r>
        <w:rPr>
          <w:rStyle w:val="Style"/>
          <w:u w:val="single"/>
          <w:color w:val="176B70"/>
        </w:rPr>
        <w:fldChar w:fldCharType="end"/>
      </w:r>
    </w:p>
    <w:p>
      <w:pPr>
        <w:pStyle w:val="Heading2"/>
        <w:rPr/>
      </w:pPr>
      <w:bookmarkStart w:id="35" w:name="gap_G28"/>
      <w:r>
        <w:rPr/>
        <w:t>G28 — Service objectives and retention parameters</w:t>
      </w:r>
      <w:bookmarkEnd w:id="35"/>
    </w:p>
    <w:p>
      <w:pPr>
        <w:pStyle w:val="GapMeta"/>
        <w:keepNext w:val="true"/>
        <w:rPr/>
      </w:pPr>
      <w:r>
        <w:rPr/>
        <w:t>P0 | Site/service decision | Owner role: Service/data owners | G2 — platform/service acceptance</w:t>
      </w:r>
    </w:p>
    <w:p>
      <w:pPr>
        <w:pStyle w:val="Normal"/>
        <w:keepLines/>
        <w:rPr/>
      </w:pPr>
      <w:r>
        <w:rPr/>
        <w:t>Baseline observation: Actual SLO/RTO/RPO and retention remain implementation responsibilities. [</w:t>
      </w:r>
      <w:hyperlink w:anchor="GM_src_B2">
        <w:r>
          <w:rPr>
            <w:rStyle w:val="Style"/>
            <w:color w:val="176B70"/>
            <w:u w:val="single"/>
          </w:rPr>
          <w:t>B2</w:t>
        </w:r>
      </w:hyperlink>
      <w:r>
        <w:rPr/>
        <w:t xml:space="preserve"> §§12, 14, 26]</w:t>
      </w:r>
    </w:p>
    <w:p>
      <w:pPr>
        <w:pStyle w:val="Normal"/>
        <w:rPr/>
      </w:pPr>
      <w:r>
        <w:rPr/>
        <w:t>Documentation treatment: Provide a parameter decision sheet with measurement scope, approving role, feasibility proof and dependencies.</w:t>
      </w:r>
    </w:p>
    <w:p>
      <w:pPr>
        <w:pStyle w:val="Normal"/>
        <w:rPr/>
      </w:pPr>
      <w:r>
        <w:rPr/>
        <w:t>Still required: Supply business requirements, retention obligations and measured feasibility. Closure evidence: Approved values and test method; no unspecified production promise.</w:t>
      </w:r>
    </w:p>
    <w:p>
      <w:pPr>
        <w:pStyle w:val="Navigation"/>
        <w:rPr/>
      </w:pPr>
      <w:r>
        <w:rPr/>
        <w:t xml:space="preserve">Trace: </w:t>
      </w:r>
      <w:r>
        <w:fldChar w:fldCharType="begin"/>
      </w:r>
      <w:r>
        <w:rPr>
          <w:rStyle w:val="Style"/>
          <w:u w:val="single"/>
          <w:color w:val="176B70"/>
        </w:rPr>
        <w:instrText xml:space="preserve"> HYPERLINK "06_Site_Design_Qualification_and_Operations_v1_4.docx" \l "QUAL_s_004"</w:instrText>
      </w:r>
      <w:r>
        <w:rPr>
          <w:rStyle w:val="Style"/>
          <w:u w:val="single"/>
          <w:color w:val="176B70"/>
        </w:rPr>
        <w:fldChar w:fldCharType="separate"/>
      </w:r>
      <w:r>
        <w:rPr>
          <w:rStyle w:val="Style"/>
          <w:color w:val="176B70"/>
          <w:u w:val="single"/>
        </w:rPr>
        <w:t>Treatment: QUAL §4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"RA_s_012"</w:instrText>
      </w:r>
      <w:r>
        <w:rPr>
          <w:rStyle w:val="Style"/>
          <w:u w:val="single"/>
          <w:color w:val="176B70"/>
        </w:rPr>
        <w:fldChar w:fldCharType="separate"/>
      </w:r>
      <w:r>
        <w:rPr>
          <w:rStyle w:val="Style"/>
          <w:color w:val="176B70"/>
          <w:u w:val="single"/>
        </w:rPr>
        <w:t>RA §12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"RA_s_026"</w:instrText>
      </w:r>
      <w:r>
        <w:rPr>
          <w:rStyle w:val="Style"/>
          <w:u w:val="single"/>
          <w:color w:val="176B70"/>
        </w:rPr>
        <w:fldChar w:fldCharType="separate"/>
      </w:r>
      <w:r>
        <w:rPr>
          <w:rStyle w:val="Style"/>
          <w:color w:val="176B70"/>
          <w:u w:val="single"/>
        </w:rPr>
        <w:t>RA §26</w:t>
      </w:r>
      <w:r>
        <w:rPr>
          <w:rStyle w:val="Style"/>
          <w:u w:val="single"/>
          <w:color w:val="176B70"/>
        </w:rPr>
        <w:fldChar w:fldCharType="end"/>
      </w:r>
    </w:p>
    <w:p>
      <w:pPr>
        <w:pStyle w:val="Heading2"/>
        <w:rPr/>
      </w:pPr>
      <w:bookmarkStart w:id="36" w:name="gap_G29"/>
      <w:r>
        <w:rPr/>
        <w:t>G29 — Qualification applicability and sequencing</w:t>
      </w:r>
      <w:bookmarkEnd w:id="36"/>
    </w:p>
    <w:p>
      <w:pPr>
        <w:pStyle w:val="GapMeta"/>
        <w:keepNext w:val="true"/>
        <w:rPr/>
      </w:pPr>
      <w:r>
        <w:rPr/>
        <w:t>P0 | Qualification evidence | Owner role: Assurance engineering | G2 — platform/service acceptance</w:t>
      </w:r>
    </w:p>
    <w:p>
      <w:pPr>
        <w:pStyle w:val="Normal"/>
        <w:keepLines/>
        <w:rPr/>
      </w:pPr>
      <w:r>
        <w:rPr/>
        <w:t>Baseline observation: 80 inherited tests and 12 addenda remain not-run; not every test applies at every gate. [</w:t>
      </w:r>
      <w:hyperlink w:anchor="GM_src_B2">
        <w:r>
          <w:rPr>
            <w:rStyle w:val="Style"/>
            <w:color w:val="176B70"/>
            <w:u w:val="single"/>
          </w:rPr>
          <w:t>B2</w:t>
        </w:r>
      </w:hyperlink>
      <w:r>
        <w:rPr/>
        <w:t xml:space="preserve"> §§28, 30]</w:t>
      </w:r>
    </w:p>
    <w:p>
      <w:pPr>
        <w:pStyle w:val="Normal"/>
        <w:rPr/>
      </w:pPr>
      <w:r>
        <w:rPr/>
        <w:t>Documentation treatment: Separate first-stack qualification from second-stack portability and use assertion-level applicability with explicit not-applicable authority.</w:t>
      </w:r>
    </w:p>
    <w:p>
      <w:pPr>
        <w:pStyle w:val="Normal"/>
        <w:rPr/>
      </w:pPr>
      <w:r>
        <w:rPr/>
        <w:t>Still required: Select applicable procedures and execute on the actual tuple. Closure evidence: All mandatory observations supported; blocked/not-run never count as pass.</w:t>
      </w:r>
    </w:p>
    <w:p>
      <w:pPr>
        <w:pStyle w:val="Navigation"/>
        <w:rPr/>
      </w:pPr>
      <w:r>
        <w:rPr/>
        <w:t xml:space="preserve">Trace: </w:t>
      </w:r>
      <w:r>
        <w:fldChar w:fldCharType="begin"/>
      </w:r>
      <w:r>
        <w:rPr>
          <w:rStyle w:val="Style"/>
          <w:u w:val="single"/>
          <w:color w:val="176B70"/>
        </w:rPr>
        <w:instrText xml:space="preserve"> HYPERLINK "06_Site_Design_Qualification_and_Operations_v1_4.docx" \l "QUAL_s_005"</w:instrText>
      </w:r>
      <w:r>
        <w:rPr>
          <w:rStyle w:val="Style"/>
          <w:u w:val="single"/>
          <w:color w:val="176B70"/>
        </w:rPr>
        <w:fldChar w:fldCharType="separate"/>
      </w:r>
      <w:r>
        <w:rPr>
          <w:rStyle w:val="Style"/>
          <w:color w:val="176B70"/>
          <w:u w:val="single"/>
        </w:rPr>
        <w:t>Treatment: QUAL §5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"RA_s_028"</w:instrText>
      </w:r>
      <w:r>
        <w:rPr>
          <w:rStyle w:val="Style"/>
          <w:u w:val="single"/>
          <w:color w:val="176B70"/>
        </w:rPr>
        <w:fldChar w:fldCharType="separate"/>
      </w:r>
      <w:r>
        <w:rPr>
          <w:rStyle w:val="Style"/>
          <w:color w:val="176B70"/>
          <w:u w:val="single"/>
        </w:rPr>
        <w:t>RA §28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Heading2"/>
        <w:rPr/>
      </w:pPr>
      <w:bookmarkStart w:id="37" w:name="gap_G30"/>
      <w:r>
        <w:rPr/>
        <w:t>G30 — Control inheritance and external dependencies</w:t>
      </w:r>
      <w:bookmarkEnd w:id="37"/>
    </w:p>
    <w:p>
      <w:pPr>
        <w:pStyle w:val="GapMeta"/>
        <w:keepNext w:val="true"/>
        <w:rPr/>
      </w:pPr>
      <w:r>
        <w:rPr/>
        <w:t>P0 | Engineering elaboration | Owner role: Security authority and service owners | G0 — design adoption</w:t>
      </w:r>
    </w:p>
    <w:p>
      <w:pPr>
        <w:pStyle w:val="Normal"/>
        <w:keepLines/>
        <w:rPr/>
      </w:pPr>
      <w:r>
        <w:rPr/>
        <w:t>Baseline observation: Applicable controls and responsibility are required; organizational/physical control inheritance is not assembled. [</w:t>
      </w:r>
      <w:hyperlink w:anchor="GM_src_B2">
        <w:r>
          <w:rPr>
            <w:rStyle w:val="Style"/>
            <w:color w:val="176B70"/>
            <w:u w:val="single"/>
          </w:rPr>
          <w:t>B2</w:t>
        </w:r>
      </w:hyperlink>
      <w:r>
        <w:rPr/>
        <w:t xml:space="preserve"> §§1, 26, 28]</w:t>
      </w:r>
    </w:p>
    <w:p>
      <w:pPr>
        <w:pStyle w:val="Normal"/>
        <w:rPr/>
      </w:pPr>
      <w:r>
        <w:rPr/>
        <w:t>Documentation treatment: Add provider/tenant/shared/inherited dispositions including physical, personnel, maintenance and training interfaces.</w:t>
      </w:r>
    </w:p>
    <w:p>
      <w:pPr>
        <w:pStyle w:val="Normal"/>
        <w:rPr/>
      </w:pPr>
      <w:r>
        <w:rPr/>
        <w:t>Still required: Select actual catalogue controls/parameters and accept inherited evidence. Closure evidence: Control allocation, residual gaps and formal decision references.</w:t>
      </w:r>
    </w:p>
    <w:p>
      <w:pPr>
        <w:pStyle w:val="Navigation"/>
        <w:rPr/>
      </w:pPr>
      <w:r>
        <w:rPr/>
        <w:t xml:space="preserve">Trace: </w:t>
      </w:r>
      <w:r>
        <w:fldChar w:fldCharType="begin"/>
      </w:r>
      <w:r>
        <w:rPr>
          <w:rStyle w:val="Style"/>
          <w:u w:val="single"/>
          <w:color w:val="176B70"/>
        </w:rPr>
        <w:instrText xml:space="preserve"> HYPERLINK "06_Site_Design_Qualification_and_Operations_v1_4.docx" \l "QUAL_s_006"</w:instrText>
      </w:r>
      <w:r>
        <w:rPr>
          <w:rStyle w:val="Style"/>
          <w:u w:val="single"/>
          <w:color w:val="176B70"/>
        </w:rPr>
        <w:fldChar w:fldCharType="separate"/>
      </w:r>
      <w:r>
        <w:rPr>
          <w:rStyle w:val="Style"/>
          <w:color w:val="176B70"/>
          <w:u w:val="single"/>
        </w:rPr>
        <w:t>Treatment: QUAL §6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RA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"RA_s_026"</w:instrText>
      </w:r>
      <w:r>
        <w:rPr>
          <w:rStyle w:val="Style"/>
          <w:u w:val="single"/>
          <w:color w:val="176B70"/>
        </w:rPr>
        <w:fldChar w:fldCharType="separate"/>
      </w:r>
      <w:r>
        <w:rPr>
          <w:rStyle w:val="Style"/>
          <w:color w:val="176B70"/>
          <w:u w:val="single"/>
        </w:rPr>
        <w:t>RA §26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"RA_s_028"</w:instrText>
      </w:r>
      <w:r>
        <w:rPr>
          <w:rStyle w:val="Style"/>
          <w:u w:val="single"/>
          <w:color w:val="176B70"/>
        </w:rPr>
        <w:fldChar w:fldCharType="separate"/>
      </w:r>
      <w:r>
        <w:rPr>
          <w:rStyle w:val="Style"/>
          <w:color w:val="176B70"/>
          <w:u w:val="single"/>
        </w:rPr>
        <w:t>RA §28</w:t>
      </w:r>
      <w:r>
        <w:rPr>
          <w:rStyle w:val="Style"/>
          <w:u w:val="single"/>
          <w:color w:val="176B70"/>
        </w:rPr>
        <w:fldChar w:fldCharType="end"/>
      </w:r>
    </w:p>
    <w:p>
      <w:pPr>
        <w:pStyle w:val="Heading2"/>
        <w:rPr/>
      </w:pPr>
      <w:bookmarkStart w:id="38" w:name="gap_G31"/>
      <w:r>
        <w:rPr/>
        <w:t>G31 — Operating ownership and incident behaviour</w:t>
      </w:r>
      <w:bookmarkEnd w:id="38"/>
    </w:p>
    <w:p>
      <w:pPr>
        <w:pStyle w:val="GapMeta"/>
        <w:keepNext w:val="true"/>
        <w:rPr/>
      </w:pPr>
      <w:r>
        <w:rPr/>
        <w:t>P1 | Engineering elaboration | Owner role: Operations/service management | G4 — recovery/operational acceptance</w:t>
      </w:r>
    </w:p>
    <w:p>
      <w:pPr>
        <w:pStyle w:val="Normal"/>
        <w:keepLines/>
        <w:rPr/>
      </w:pPr>
      <w:r>
        <w:rPr/>
        <w:t>Baseline observation: Roles are described in prose; a decision-level accountability and handover schedule is absent. [</w:t>
      </w:r>
      <w:hyperlink w:anchor="GM_src_B2">
        <w:r>
          <w:rPr>
            <w:rStyle w:val="Style"/>
            <w:color w:val="176B70"/>
            <w:u w:val="single"/>
          </w:rPr>
          <w:t>B2</w:t>
        </w:r>
      </w:hyperlink>
      <w:r>
        <w:rPr/>
        <w:t xml:space="preserve"> §§25, 26, 27]</w:t>
      </w:r>
    </w:p>
    <w:p>
      <w:pPr>
        <w:pStyle w:val="Normal"/>
        <w:rPr/>
      </w:pPr>
      <w:r>
        <w:rPr/>
        <w:t>Documentation treatment: Add accountable decision owner matrix, containment precedence, monitoring questions and handover acceptance.</w:t>
      </w:r>
    </w:p>
    <w:p>
      <w:pPr>
        <w:pStyle w:val="Normal"/>
        <w:rPr/>
      </w:pPr>
      <w:r>
        <w:rPr/>
        <w:t>Still required: Name teams/on-call owners and integrate local incident/change processes. Closure evidence: Accepted handover, credential review and scoped incident exercise.</w:t>
      </w:r>
    </w:p>
    <w:p>
      <w:pPr>
        <w:pStyle w:val="Navigation"/>
        <w:rPr/>
      </w:pPr>
      <w:r>
        <w:rPr/>
        <w:t xml:space="preserve">Trace: </w:t>
      </w:r>
      <w:r>
        <w:fldChar w:fldCharType="begin"/>
      </w:r>
      <w:r>
        <w:rPr>
          <w:rStyle w:val="Style"/>
          <w:u w:val="single"/>
          <w:color w:val="176B70"/>
        </w:rPr>
        <w:instrText xml:space="preserve"> HYPERLINK "06_Site_Design_Qualification_and_Operations_v1_4.docx" \l "QUAL_s_007"</w:instrText>
      </w:r>
      <w:r>
        <w:rPr>
          <w:rStyle w:val="Style"/>
          <w:u w:val="single"/>
          <w:color w:val="176B70"/>
        </w:rPr>
        <w:fldChar w:fldCharType="separate"/>
      </w:r>
      <w:r>
        <w:rPr>
          <w:rStyle w:val="Style"/>
          <w:color w:val="176B70"/>
          <w:u w:val="single"/>
        </w:rPr>
        <w:t>Treatment: QUAL §7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"RA_s_025"</w:instrText>
      </w:r>
      <w:r>
        <w:rPr>
          <w:rStyle w:val="Style"/>
          <w:u w:val="single"/>
          <w:color w:val="176B70"/>
        </w:rPr>
        <w:fldChar w:fldCharType="separate"/>
      </w:r>
      <w:r>
        <w:rPr>
          <w:rStyle w:val="Style"/>
          <w:color w:val="176B70"/>
          <w:u w:val="single"/>
        </w:rPr>
        <w:t>RA §25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"RA_s_026"</w:instrText>
      </w:r>
      <w:r>
        <w:rPr>
          <w:rStyle w:val="Style"/>
          <w:u w:val="single"/>
          <w:color w:val="176B70"/>
        </w:rPr>
        <w:fldChar w:fldCharType="separate"/>
      </w:r>
      <w:r>
        <w:rPr>
          <w:rStyle w:val="Style"/>
          <w:color w:val="176B70"/>
          <w:u w:val="single"/>
        </w:rPr>
        <w:t>RA §26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"RA_s_027"</w:instrText>
      </w:r>
      <w:r>
        <w:rPr>
          <w:rStyle w:val="Style"/>
          <w:u w:val="single"/>
          <w:color w:val="176B70"/>
        </w:rPr>
        <w:fldChar w:fldCharType="separate"/>
      </w:r>
      <w:r>
        <w:rPr>
          <w:rStyle w:val="Style"/>
          <w:color w:val="176B70"/>
          <w:u w:val="single"/>
        </w:rPr>
        <w:t>RA §27</w:t>
      </w:r>
      <w:r>
        <w:rPr>
          <w:rStyle w:val="Style"/>
          <w:u w:val="single"/>
          <w:color w:val="176B70"/>
        </w:rPr>
        <w:fldChar w:fldCharType="end"/>
      </w:r>
    </w:p>
    <w:p>
      <w:pPr>
        <w:pStyle w:val="Heading2"/>
        <w:rPr/>
      </w:pPr>
      <w:bookmarkStart w:id="39" w:name="gap_G32"/>
      <w:r>
        <w:rPr/>
        <w:t>G32 — Version and source provenance</w:t>
      </w:r>
      <w:bookmarkEnd w:id="39"/>
    </w:p>
    <w:p>
      <w:pPr>
        <w:pStyle w:val="GapMeta"/>
        <w:keepNext w:val="true"/>
        <w:rPr/>
      </w:pPr>
      <w:r>
        <w:rPr/>
        <w:t>P1 | Vendor validation | Owner role: Platform engineering and architecture | G2 — platform/service acceptance</w:t>
      </w:r>
    </w:p>
    <w:p>
      <w:pPr>
        <w:pStyle w:val="Normal"/>
        <w:keepLines/>
        <w:rPr/>
      </w:pPr>
      <w:r>
        <w:rPr/>
        <w:t>Baseline observation: Some references are historic, inherited or access-limited; no source review state should be mistaken for qualification. [</w:t>
      </w:r>
      <w:hyperlink w:anchor="GM_src_B2">
        <w:r>
          <w:rPr>
            <w:rStyle w:val="Style"/>
            <w:color w:val="176B70"/>
            <w:u w:val="single"/>
          </w:rPr>
          <w:t>B2</w:t>
        </w:r>
      </w:hyperlink>
      <w:r>
        <w:rPr/>
        <w:t xml:space="preserve"> §§15, 16, 17, 18, 24]</w:t>
      </w:r>
    </w:p>
    <w:p>
      <w:pPr>
        <w:pStyle w:val="Normal"/>
        <w:rPr/>
      </w:pPr>
      <w:r>
        <w:rPr/>
        <w:t>Documentation treatment: Record review status separately from source edition; require exact installed tuple and supported-operation evidence.</w:t>
      </w:r>
    </w:p>
    <w:p>
      <w:pPr>
        <w:pStyle w:val="Normal"/>
        <w:rPr/>
      </w:pPr>
      <w:r>
        <w:rPr/>
        <w:t>Still required: Obtain unavailable current vendor material and select installed versions. Closure evidence: Dated compatibility record and qualified lifecycle results.</w:t>
      </w:r>
    </w:p>
    <w:p>
      <w:pPr>
        <w:pStyle w:val="Navigation"/>
        <w:rPr/>
      </w:pPr>
      <w:r>
        <w:rPr/>
        <w:t xml:space="preserve">Trace: </w:t>
      </w:r>
      <w:r>
        <w:fldChar w:fldCharType="begin"/>
      </w:r>
      <w:r>
        <w:rPr>
          <w:rStyle w:val="Style"/>
          <w:u w:val="single"/>
          <w:color w:val="176B70"/>
        </w:rPr>
        <w:instrText xml:space="preserve"> HYPERLINK "03_Vendor_Stack_Realizations_v1_4.docx" \l "VND_s_007"</w:instrText>
      </w:r>
      <w:r>
        <w:rPr>
          <w:rStyle w:val="Style"/>
          <w:u w:val="single"/>
          <w:color w:val="176B70"/>
        </w:rPr>
        <w:fldChar w:fldCharType="separate"/>
      </w:r>
      <w:r>
        <w:rPr>
          <w:rStyle w:val="Style"/>
          <w:color w:val="176B70"/>
          <w:u w:val="single"/>
        </w:rPr>
        <w:t>Treatment: VND §7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"RA_s_015"</w:instrText>
      </w:r>
      <w:r>
        <w:rPr>
          <w:rStyle w:val="Style"/>
          <w:u w:val="single"/>
          <w:color w:val="176B70"/>
        </w:rPr>
        <w:fldChar w:fldCharType="separate"/>
      </w:r>
      <w:r>
        <w:rPr>
          <w:rStyle w:val="Style"/>
          <w:color w:val="176B70"/>
          <w:u w:val="single"/>
        </w:rPr>
        <w:t>RA §15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"RA_s_016"</w:instrText>
      </w:r>
      <w:r>
        <w:rPr>
          <w:rStyle w:val="Style"/>
          <w:u w:val="single"/>
          <w:color w:val="176B70"/>
        </w:rPr>
        <w:fldChar w:fldCharType="separate"/>
      </w:r>
      <w:r>
        <w:rPr>
          <w:rStyle w:val="Style"/>
          <w:color w:val="176B70"/>
          <w:u w:val="single"/>
        </w:rPr>
        <w:t>RA §16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"RA_s_017"</w:instrText>
      </w:r>
      <w:r>
        <w:rPr>
          <w:rStyle w:val="Style"/>
          <w:u w:val="single"/>
          <w:color w:val="176B70"/>
        </w:rPr>
        <w:fldChar w:fldCharType="separate"/>
      </w:r>
      <w:r>
        <w:rPr>
          <w:rStyle w:val="Style"/>
          <w:color w:val="176B70"/>
          <w:u w:val="single"/>
        </w:rPr>
        <w:t>RA §17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"RA_s_018"</w:instrText>
      </w:r>
      <w:r>
        <w:rPr>
          <w:rStyle w:val="Style"/>
          <w:u w:val="single"/>
          <w:color w:val="176B70"/>
        </w:rPr>
        <w:fldChar w:fldCharType="separate"/>
      </w:r>
      <w:r>
        <w:rPr>
          <w:rStyle w:val="Style"/>
          <w:color w:val="176B70"/>
          <w:u w:val="single"/>
        </w:rPr>
        <w:t>RA §18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p>
    <w:p>
      <w:pPr>
        <w:pStyle w:val="Heading2"/>
        <w:rPr/>
      </w:pPr>
      <w:bookmarkStart w:id="40" w:name="gap_G33"/>
      <w:r>
        <w:rPr/>
        <w:t>G33 — Bounded extensions</w:t>
      </w:r>
      <w:bookmarkEnd w:id="40"/>
    </w:p>
    <w:p>
      <w:pPr>
        <w:pStyle w:val="GapMeta"/>
        <w:keepNext w:val="true"/>
        <w:rPr/>
      </w:pPr>
      <w:r>
        <w:rPr/>
        <w:t>P2 | Scope boundary | Owner role: Extension service owner | G0 — extension adoption</w:t>
      </w:r>
    </w:p>
    <w:p>
      <w:pPr>
        <w:pStyle w:val="Normal"/>
        <w:keepLines/>
        <w:rPr/>
      </w:pPr>
      <w:r>
        <w:rPr/>
        <w:t>Baseline observation: Bare metal and containers are explicitly extensions, not complete implementations. [</w:t>
      </w:r>
      <w:hyperlink w:anchor="GM_src_B2">
        <w:r>
          <w:rPr>
            <w:rStyle w:val="Style"/>
            <w:color w:val="176B70"/>
            <w:u w:val="single"/>
          </w:rPr>
          <w:t>B2</w:t>
        </w:r>
      </w:hyperlink>
      <w:r>
        <w:rPr/>
        <w:t xml:space="preserve"> §§19]</w:t>
      </w:r>
    </w:p>
    <w:p>
      <w:pPr>
        <w:pStyle w:val="Normal"/>
        <w:rPr/>
      </w:pPr>
      <w:r>
        <w:rPr/>
        <w:t>Documentation treatment: Keep them outside the base offered service until dedicated topology, ownership and recovery qualification exists.</w:t>
      </w:r>
    </w:p>
    <w:p>
      <w:pPr>
        <w:pStyle w:val="Normal"/>
        <w:rPr/>
      </w:pPr>
      <w:r>
        <w:rPr/>
        <w:t>Still required: Develop extension-specific low-level design only when requested as a service. Closure evidence: Approved scope and complete applicable extension qualification.</w:t>
      </w:r>
    </w:p>
    <w:p>
      <w:pPr>
        <w:pStyle w:val="Navigation"/>
        <w:rPr/>
      </w:pPr>
      <w:r>
        <w:rPr/>
        <w:t xml:space="preserve">Trace: </w:t>
      </w:r>
      <w:r>
        <w:fldChar w:fldCharType="begin"/>
      </w:r>
      <w:r>
        <w:rPr>
          <w:rStyle w:val="Style"/>
          <w:u w:val="single"/>
          <w:color w:val="176B70"/>
        </w:rPr>
        <w:instrText xml:space="preserve"> HYPERLINK "06_Site_Design_Qualification_and_Operations_v1_4.docx" \l "QUAL_s_008"</w:instrText>
      </w:r>
      <w:r>
        <w:rPr>
          <w:rStyle w:val="Style"/>
          <w:u w:val="single"/>
          <w:color w:val="176B70"/>
        </w:rPr>
        <w:fldChar w:fldCharType="separate"/>
      </w:r>
      <w:r>
        <w:rPr>
          <w:rStyle w:val="Style"/>
          <w:color w:val="176B70"/>
          <w:u w:val="single"/>
        </w:rPr>
        <w:t>Treatment: QUAL §8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"RA_s_019"</w:instrText>
      </w:r>
      <w:r>
        <w:rPr>
          <w:rStyle w:val="Style"/>
          <w:u w:val="single"/>
          <w:color w:val="176B70"/>
        </w:rPr>
        <w:fldChar w:fldCharType="separate"/>
      </w:r>
      <w:r>
        <w:rPr>
          <w:rStyle w:val="Style"/>
          <w:color w:val="176B70"/>
          <w:u w:val="single"/>
        </w:rPr>
        <w:t>RA §19</w:t>
      </w:r>
      <w:r>
        <w:rPr>
          <w:rStyle w:val="Style"/>
          <w:u w:val="single"/>
          <w:color w:val="176B70"/>
        </w:rPr>
        <w:fldChar w:fldCharType="end"/>
      </w:r>
    </w:p>
    <w:p>
      <w:pPr>
        <w:pStyle w:val="Heading2"/>
        <w:rPr/>
      </w:pPr>
      <w:bookmarkStart w:id="41" w:name="gap_G34"/>
      <w:r>
        <w:rPr/>
        <w:t>G34 — Knowledge maintenance and cross-link integrity</w:t>
      </w:r>
      <w:bookmarkEnd w:id="41"/>
    </w:p>
    <w:p>
      <w:pPr>
        <w:pStyle w:val="GapMeta"/>
        <w:keepNext w:val="true"/>
        <w:rPr/>
      </w:pPr>
      <w:r>
        <w:rPr/>
        <w:t>P2 | Knowledge organization | Owner role: Architecture document owner | G0 — design adoption</w:t>
      </w:r>
    </w:p>
    <w:p>
      <w:pPr>
        <w:pStyle w:val="Normal"/>
        <w:keepLines/>
        <w:rPr/>
      </w:pPr>
      <w:r>
        <w:rPr/>
        <w:t>Baseline observation: A growing document set can duplicate policy or allow supplement drift. [</w:t>
      </w:r>
      <w:hyperlink w:anchor="GM_src_B2">
        <w:r>
          <w:rPr>
            <w:rStyle w:val="Style"/>
            <w:color w:val="176B70"/>
            <w:u w:val="single"/>
          </w:rPr>
          <w:t>B2</w:t>
        </w:r>
      </w:hyperlink>
      <w:r>
        <w:rPr/>
        <w:t xml:space="preserve"> §§1, 30]</w:t>
      </w:r>
    </w:p>
    <w:p>
      <w:pPr>
        <w:pStyle w:val="Normal"/>
        <w:rPr/>
      </w:pPr>
      <w:r>
        <w:rPr/>
        <w:t>Documentation treatment: Assign a primary home per topic, stable parent anchors and a release-wide link/requirement mapping check.</w:t>
      </w:r>
    </w:p>
    <w:p>
      <w:pPr>
        <w:pStyle w:val="Normal"/>
        <w:rPr/>
      </w:pPr>
      <w:r>
        <w:rPr/>
        <w:t>Still required: Assign maintaining owners and release cadence. Closure evidence: Consistent version set, validated links and approved change record.</w:t>
      </w:r>
    </w:p>
    <w:p>
      <w:pPr>
        <w:pStyle w:val="Navigation"/>
        <w:rPr/>
      </w:pPr>
      <w:r>
        <w:rPr/>
        <w:t xml:space="preserve">Trace: </w:t>
      </w:r>
      <w:hyperlink w:anchor="GM_s_002">
        <w:r>
          <w:rPr>
            <w:rStyle w:val="Style"/>
            <w:color w:val="176B70"/>
            <w:u w:val="single"/>
          </w:rPr>
          <w:t>Treatment: GM §2</w:t>
        </w:r>
      </w:hyperlink>
      <w:r>
        <w:rPr/>
        <w:t xml:space="preserve">  •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RA §1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Heading1"/>
        <w:rPr/>
      </w:pPr>
      <w:bookmarkStart w:id="42" w:name="__RefHeading___Toc1265_342027687"/>
      <w:bookmarkStart w:id="43" w:name="GM_s_004"/>
      <w:bookmarkEnd w:id="42"/>
      <w:r>
        <w:rPr/>
        <w:t>4. Open decision package for implementation</w:t>
      </w:r>
      <w:bookmarkEnd w:id="43"/>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"RA_s_029"</w:instrText>
      </w:r>
      <w:r>
        <w:rPr>
          <w:rStyle w:val="Style"/>
          <w:u w:val="single"/>
          <w:color w:val="176B70"/>
        </w:rPr>
        <w:fldChar w:fldCharType="separate"/>
      </w:r>
      <w:r>
        <w:rPr>
          <w:rStyle w:val="Style"/>
          <w:color w:val="176B70"/>
          <w:u w:val="single"/>
        </w:rPr>
        <w:t>RA §29</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Normal"/>
        <w:rPr/>
      </w:pPr>
      <w:r>
        <w:rPr/>
        <w:t>The parent’s AD-01 through AD-15 choices remain proposed architectural decisions. The following implementation decisions instantiate those choices without silently changing them. Each record needs an actual owner, selected option, source/support evidence, affected interfaces/resources, approval and review trigger. The supplied site-decisions register leaves unknown selections explicitly open.</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84"/>
        <w:gridCol w:w="3855"/>
        <w:gridCol w:w="3941"/>
      </w:tblGrid>
      <w:tr>
        <w:trPr>
          <w:tblHeader w:val="true"/>
          <w:cantSplit w:val="true"/>
        </w:trPr>
        <w:tc>
          <w:tcPr>
            <w:tcW w:w="228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Decision ID / question</w:t>
            </w:r>
          </w:p>
        </w:tc>
        <w:tc>
          <w:tcPr>
            <w:tcW w:w="385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Reference default or method</w:t>
            </w:r>
          </w:p>
        </w:tc>
        <w:tc>
          <w:tcPr>
            <w:tcW w:w="394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site outcome / related gaps</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D01 · site and cell topology</w:t>
            </w:r>
          </w:p>
        </w:tc>
        <w:tc>
          <w:tcPr>
            <w:tcW w:w="38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Bounded cells and explicit shared failure dependencies.</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inventories, pools and fault groups; G02/G27.</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D02 · zone and co-residency</w:t>
            </w:r>
          </w:p>
        </w:tc>
        <w:tc>
          <w:tcPr>
            <w:tcW w:w="38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Retain zone-specific baseline; disclose controller/storage/mgmt sharing.</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authority-level sharing matrix; G10/G30.</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D03 · fabric and multihoming</w:t>
            </w:r>
          </w:p>
        </w:tc>
        <w:tc>
          <w:tcPr>
            <w:tcW w:w="38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Routed large-site design; native overlays independent.</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underlay, peers, MTU and attachment design; G04/G05.</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D04 · domain-to-ZIP handoff</w:t>
            </w:r>
          </w:p>
        </w:tc>
        <w:tc>
          <w:tcPr>
            <w:tcW w:w="38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Isolated routing identity per domain; shared paths require proof.</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Native attachment allocation and enforceable forward/return paths; G03/G06.</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D05 · vendor implementation tuples</w:t>
            </w:r>
          </w:p>
        </w:tc>
        <w:tc>
          <w:tcPr>
            <w:tcW w:w="38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Nutanix, VMware/NSX or selected OpenStack realization with explicit alternatives.</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Current hardware/software/licence/API/provider and operation support; G12–G14/G18/G32.</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D06 · management and bootstrap</w:t>
            </w:r>
          </w:p>
        </w:tc>
        <w:tc>
          <w:tcPr>
            <w:tcW w:w="38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Independent recovery access and scoped administrative domains.</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Actual surviving OOB/trust/name/time/key dependencies; G09/G17/G23.</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D07 · offered protocols/services</w:t>
            </w:r>
          </w:p>
        </w:tc>
        <w:tc>
          <w:tcPr>
            <w:tcW w:w="38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Declare supported address families and exact consumption profiles.</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Complete family-specific service paths, including DNS behaviour; G07/G08/G22.</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D08 · storage and recovery</w:t>
            </w:r>
          </w:p>
        </w:tc>
        <w:tc>
          <w:tcPr>
            <w:tcW w:w="38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Owned data/copies and isolated restore; fencing before recovery promotion.</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Capture method, consistency, keys, retention and approved targets; G24–G26.</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D09 · delivery tooling and ownership</w:t>
            </w:r>
          </w:p>
        </w:tc>
        <w:tc>
          <w:tcPr>
            <w:tcW w:w="38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P0–P6 with one authoritative resource writer and bounded handoffs.</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tools, operation coverage, failed-run recovery and adoption; G16/G18–G21.</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D10 · service envelope</w:t>
            </w:r>
          </w:p>
        </w:tc>
        <w:tc>
          <w:tcPr>
            <w:tcW w:w="38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Measured survivor capacity and accountable service parameters.</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Actual performance, SLO/RTO/RPO, limits, reserve and cadence; G27/G28.</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D11 · qualification and operation</w:t>
            </w:r>
          </w:p>
        </w:tc>
        <w:tc>
          <w:tcPr>
            <w:tcW w:w="38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First-stack then second-stack portability; actual evidence and responsible authority.</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Assertion/applicability plan, executed results, owners and authorization; G29–G31.</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D12 · extensions</w:t>
            </w:r>
          </w:p>
        </w:tc>
        <w:tc>
          <w:tcPr>
            <w:tcW w:w="38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Excluded until a separate complete realization is accepted.</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Scope and qualification for bare metal/containers/special patterns; G33.</w:t>
            </w:r>
          </w:p>
        </w:tc>
      </w:tr>
    </w:tbl>
    <w:p>
      <w:pPr>
        <w:pStyle w:val="Normal"/>
        <w:spacing w:lineRule="auto" w:line="240" w:before="0" w:after="40"/>
        <w:rPr/>
      </w:pPr>
      <w:r>
        <w:rPr/>
      </w:r>
    </w:p>
    <w:p>
      <w:pPr>
        <w:pStyle w:val="Normal"/>
        <w:rPr/>
      </w:pPr>
      <w:r>
        <w:rPr/>
        <w:t>A vendor or site choice that cannot meet the selected reference outcome is not filled in as “equivalent” without analysis. Either choose another qualified realization, exclude the capability, or submit an explicit parent architecture variation. A missing service target is likewise an open service decision, not a reason to advertise a default number.</w:t>
      </w:r>
    </w:p>
    <w:p>
      <w:pPr>
        <w:pStyle w:val="Navigation"/>
        <w:rPr/>
      </w:pPr>
      <w:r>
        <w:rPr/>
        <w:t xml:space="preserve">Related engineering: </w:t>
      </w:r>
      <w:r>
        <w:fldChar w:fldCharType="begin"/>
      </w:r>
      <w:r>
        <w:rPr>
          <w:rStyle w:val="Style"/>
          <w:u w:val="single"/>
          <w:color w:val="176B70"/>
        </w:rPr>
        <w:instrText xml:space="preserve"> HYPERLINK "06_Site_Design_Qualification_and_Operations_v1_4.docx" \l "QUAL_s_002"</w:instrText>
      </w:r>
      <w:r>
        <w:rPr>
          <w:rStyle w:val="Style"/>
          <w:u w:val="single"/>
          <w:color w:val="176B70"/>
        </w:rPr>
        <w:fldChar w:fldCharType="separate"/>
      </w:r>
      <w:r>
        <w:rPr>
          <w:rStyle w:val="Style"/>
          <w:color w:val="176B70"/>
          <w:u w:val="single"/>
        </w:rPr>
        <w:t>Site design deliverables</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"QUAL_s_004"</w:instrText>
      </w:r>
      <w:r>
        <w:rPr>
          <w:rStyle w:val="Style"/>
          <w:u w:val="single"/>
          <w:color w:val="176B70"/>
        </w:rPr>
        <w:fldChar w:fldCharType="separate"/>
      </w:r>
      <w:r>
        <w:rPr>
          <w:rStyle w:val="Style"/>
          <w:color w:val="176B70"/>
          <w:u w:val="single"/>
        </w:rPr>
        <w:t>Service parameter records</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"VND_s_007"</w:instrText>
      </w:r>
      <w:r>
        <w:rPr>
          <w:rStyle w:val="Style"/>
          <w:u w:val="single"/>
          <w:color w:val="176B70"/>
        </w:rPr>
        <w:fldChar w:fldCharType="separate"/>
      </w:r>
      <w:r>
        <w:rPr>
          <w:rStyle w:val="Style"/>
          <w:color w:val="176B70"/>
          <w:u w:val="single"/>
        </w:rPr>
        <w:t>Vendor confirmation records</w:t>
      </w:r>
      <w:r>
        <w:rPr>
          <w:rStyle w:val="Style"/>
          <w:u w:val="single"/>
          <w:color w:val="176B70"/>
        </w:rPr>
        <w:fldChar w:fldCharType="end"/>
      </w:r>
    </w:p>
    <w:p>
      <w:pPr>
        <w:pStyle w:val="Heading1"/>
        <w:rPr/>
      </w:pPr>
      <w:bookmarkStart w:id="44" w:name="__RefHeading___Toc1267_342027687"/>
      <w:bookmarkStart w:id="45" w:name="GM_s_005"/>
      <w:bookmarkEnd w:id="44"/>
      <w:r>
        <w:rPr/>
        <w:t>5. Completion and ongoing closure</w:t>
      </w:r>
      <w:bookmarkEnd w:id="45"/>
    </w:p>
    <w:p>
      <w:pPr>
        <w:pStyle w:val="Normal"/>
        <w:spacing w:before="0" w:after="160"/>
        <w:rPr/>
      </w:pPr>
      <w:r>
        <w:rPr/>
        <w:t>v1.4 closure clarification: producing the worked reference closes the documentation treatment only. Production G3 cannot rely on an unaccepted operational or promised recovery prerequisite. G4 initial readiness must be available for the offered service before production activation; subsequent recurring G4 evidence remains a continuing obligation. Restricted test fixtures are not production activations.</w:t>
      </w:r>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"RA_s_028"</w:instrText>
      </w:r>
      <w:r>
        <w:rPr>
          <w:rStyle w:val="Style"/>
          <w:u w:val="single"/>
          <w:color w:val="176B70"/>
        </w:rPr>
        <w:fldChar w:fldCharType="separate"/>
      </w:r>
      <w:r>
        <w:rPr>
          <w:rStyle w:val="Style"/>
          <w:color w:val="176B70"/>
          <w:u w:val="single"/>
        </w:rPr>
        <w:t>RA §28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Normal"/>
        <w:rPr/>
      </w:pPr>
      <w:r>
        <w:rPr/>
        <w:t>This release supplies the linked documents and gap/decision registers. Documentation completion is checked by finding every claimed treatment at its linked location, verifying all reference IDs and document targets, and preserving baseline requirements and test status. It does not close a live implementation gap. The remaining work is stated in each gap’s closure-evidence field rather than hidden behind a generic “completed” label.</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05"/>
        <w:gridCol w:w="4410"/>
        <w:gridCol w:w="3465"/>
      </w:tblGrid>
      <w:tr>
        <w:trPr>
          <w:tblHeader w:val="true"/>
          <w:cantSplit w:val="true"/>
        </w:trPr>
        <w:tc>
          <w:tcPr>
            <w:tcW w:w="22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Closure stage</w:t>
            </w:r>
          </w:p>
        </w:tc>
        <w:tc>
          <w:tcPr>
            <w:tcW w:w="441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evidence</w:t>
            </w:r>
          </w:p>
        </w:tc>
        <w:tc>
          <w:tcPr>
            <w:tcW w:w="34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Status in this release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Reference documentation</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Parent + linked engineering treatment and traceable gap/decision location.</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Authored and checked as a proposed document set.</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Site and vendor decisions</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Populated, approved actual values and supported implementation choices.</w:t>
            </w:r>
          </w:p>
        </w:tc>
        <w:tc>
          <w:tcPr>
            <w:tcW w:w="34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Open; no target site/installed tuple supplied.</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Executable provisioning</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Working owned modules/tool integrations with lifecycle/failure support.</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Not delivered or claimed by this documentation package.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Qualification</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Actual required observations on selected versions/topology with reviewed results.</w:t>
            </w:r>
          </w:p>
        </w:tc>
        <w:tc>
          <w:tcPr>
            <w:tcW w:w="34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Not-run; reference test specifications retained.</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Operational authorization</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Named operating owners, current conditions and decision by designated authority.</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Not issued by this document work.</w:t>
            </w:r>
          </w:p>
        </w:tc>
      </w:tr>
    </w:tbl>
    <w:p>
      <w:pPr>
        <w:pStyle w:val="Normal"/>
        <w:spacing w:lineRule="auto" w:line="240" w:before="0" w:after="40"/>
        <w:rPr/>
      </w:pPr>
      <w:r>
        <w:rPr/>
      </w:r>
    </w:p>
    <w:p>
      <w:pPr>
        <w:pStyle w:val="Normal"/>
        <w:rPr/>
      </w:pPr>
      <w:r>
        <w:rPr/>
        <w:t>G0, G1 and G2 accept the relevant design, foundation and service capability. Production G3 additionally requires the applicable G4 operational and recovery readiness, current workload-specific evidence and valid authority to operate. Restricted qualification fixtures use a separate approved non-production scope. Gate numbers are stable identifiers, not permission to activate production before promised recovery and operating requirements are accepted.</w:t>
      </w:r>
    </w:p>
    <w:p>
      <w:pPr>
        <w:pStyle w:val="Normal"/>
        <w:rPr/>
      </w:pPr>
      <w:r>
        <w:rPr/>
        <w:t>Retain prior approved baselines. After edits, regenerate the linked documents and registers, update fields, and repeat release checks.</w:t>
      </w:r>
      <w:r>
        <w:br w:type="page"/>
      </w:r>
    </w:p>
    <w:p>
      <w:pPr>
        <w:pStyle w:val="Heading1"/>
        <w:spacing w:before="0" w:after="120"/>
        <w:rPr/>
      </w:pPr>
      <w:bookmarkStart w:id="46" w:name="__RefHeading___Toc1269_342027687"/>
      <w:bookmarkStart w:id="47" w:name="GM_app_References"/>
      <w:bookmarkEnd w:id="46"/>
      <w:r>
        <w:rPr/>
        <w:t>References — Parent basis and external context</w:t>
      </w:r>
      <w:bookmarkEnd w:id="47"/>
    </w:p>
    <w:p>
      <w:pPr>
        <w:pStyle w:val="Small"/>
        <w:rPr/>
      </w:pPr>
      <w:r>
        <w:rPr/>
        <w:t>Source IDs distinguish baseline-derived architecture from external context. References inform the stated design, not automatic adoption, installed compatibility or authorization. New engineering examples are local proposals. Review status below is specific to this release; inherited dates are not recertified merely by copying the source register.</w:t>
      </w:r>
    </w:p>
    <w:p>
      <w:pPr>
        <w:pStyle w:val="Heading2"/>
        <w:rPr/>
      </w:pPr>
      <w:bookmarkStart w:id="48" w:name="GM_src_B2"/>
      <w:r>
        <w:rPr/>
        <w:t>B2 — Portable Secure Hosting — Infrastructure Reference Architecture and Cross-Platform Provisioning Strategy, Draft v1.2</w:t>
      </w:r>
      <w:bookmarkEnd w:id="48"/>
    </w:p>
    <w:p>
      <w:pPr>
        <w:pStyle w:val="Small"/>
        <w:rPr/>
      </w:pPr>
      <w:r>
        <w:rPr/>
        <w:t>16 September 2026; 55-page conversation baseline | Source baseline, not external authority</w:t>
      </w:r>
    </w:p>
    <w:p>
      <w:pPr>
        <w:pStyle w:val="Small"/>
        <w:rPr/>
      </w:pPr>
      <w:r>
        <w:rPr/>
        <w:t>Primary parent narrative, diagrams, 30 sections, 194 requirement IDs and referenced verification catalogues.</w:t>
      </w:r>
    </w:p>
    <w:p>
      <w:pPr>
        <w:pStyle w:val="Small"/>
        <w:rPr/>
      </w:pPr>
      <w:r>
        <w:rPr/>
        <w:t>Review status: Entire text read; three vendor diagram pages also inspected through Files; source bytes verified.</w:t>
      </w:r>
    </w:p>
    <w:p>
      <w:pPr>
        <w:pStyle w:val="Small"/>
        <w:widowControl/>
        <w:bidi w:val="0"/>
        <w:spacing w:lineRule="auto" w:line="245" w:before="0" w:after="100"/>
        <w:jc w:val="left"/>
        <w:rPr/>
      </w:pPr>
      <w:r>
        <w:rPr/>
        <w:t>Source file: Portable_Secure_Hosting_Infrastructure_Architecture_v1_2.docx. Complete baseline fingerprint is in registers/release_manifest.json.</w:t>
      </w:r>
    </w:p>
    <w:p>
      <w:pPr>
        <w:pStyle w:val="Normal"/>
        <w:rPr/>
      </w:pPr>
      <w:r>
        <w:rPr/>
      </w:r>
      <w:r>
        <w:br w:type="page"/>
      </w:r>
    </w:p>
    <w:p>
      <w:pPr>
        <w:pStyle w:val="Heading1"/>
        <w:spacing w:before="0" w:after="120"/>
        <w:rPr/>
      </w:pPr>
      <w:bookmarkStart w:id="49" w:name="__RefHeading___Toc5184_1692646980"/>
      <w:bookmarkStart w:id="50" w:name="V14_GM_REVISION"/>
      <w:bookmarkEnd w:id="49"/>
      <w:r>
        <w:rPr/>
        <w:t>v1.4 — Connected infrastructure design and acceptance</w:t>
      </w:r>
      <w:bookmarkEnd w:id="50"/>
    </w:p>
    <w:p>
      <w:pPr>
        <w:pStyle w:val="Heading2"/>
        <w:rPr/>
      </w:pPr>
      <w:r>
        <w:rPr/>
        <w:t>v1.4 gap treatment and acceptance correction</w:t>
      </w:r>
    </w:p>
    <w:p>
      <w:pPr>
        <w:pStyle w:val="Normal"/>
        <w:rPr/>
      </w:pPr>
      <w:r>
        <w:rPr/>
        <w:t>The v1.4 progress register adds G35–G40 and retains the G01–G34 history. The additions address acceptance dependency, connected design schedules, shared-service return routing, test-resource accounting, effective mandatory-policy ownership and layer-consistent capacity/MTU arithmetic. They distinguish authored documentation from open site choices and not-run infrastructure verification. Gate IDs describe decision types, not a sequence allowing production activation before required operating and recovery readiness.</w:t>
      </w:r>
    </w:p>
    <w:p>
      <w:pPr>
        <w:pStyle w:val="Normal"/>
        <w:rPr/>
      </w:pPr>
      <w:r>
        <w:rPr/>
        <w:t xml:space="preserve">Authoritative linked treatment: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Worked Infrastructure Design, Build Schedules and Acceptance</w:t>
      </w:r>
      <w:r>
        <w:rPr>
          <w:rStyle w:val="Hyperlink"/>
        </w:rPr>
        <w:fldChar w:fldCharType="end"/>
      </w:r>
    </w:p>
    <w:p>
      <w:pPr>
        <w:pStyle w:val="Normal"/>
        <w:rPr/>
      </w:pPr>
      <w:r>
        <w:rPr/>
        <w:t>Read this clarification with the original chapter. It does not create an exemption to an adopted requirement, waive a mandatory control, select an unknown site value or report a live test as passed.</w:t>
      </w:r>
    </w:p>
    <w:tbl>
      <w:tblPr>
        <w:tblStyle w:val="LightShading-Accent1"/>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blHeader w:val="true"/>
          <w:cantSplit w:val="true"/>
        </w:trPr>
        <w:tc>
          <w:tcPr>
            <w:tcW w:w="3360" w:type="dxa"/>
            <w:tcBorders/>
          </w:tcPr>
          <w:p>
            <w:pPr>
              <w:pStyle w:val="Normal"/>
              <w:spacing w:before="0" w:after="100"/>
              <w:rPr>
                <w:b/>
                <w:bCs/>
                <w:color w:themeColor="accent1" w:themeShade="bf" w:val="auto"/>
              </w:rPr>
            </w:pPr>
            <w:r>
              <w:rPr>
                <w:b/>
                <w:bCs/>
                <w:color w:themeColor="accent1" w:themeShade="bf" w:val="auto"/>
                <w:sz w:val="18"/>
              </w:rPr>
              <w:t>New gap</w:t>
            </w:r>
          </w:p>
        </w:tc>
        <w:tc>
          <w:tcPr>
            <w:tcW w:w="3360" w:type="dxa"/>
            <w:tcBorders/>
          </w:tcPr>
          <w:p>
            <w:pPr>
              <w:pStyle w:val="Normal"/>
              <w:spacing w:before="0" w:after="100"/>
              <w:rPr>
                <w:b/>
                <w:bCs/>
                <w:color w:themeColor="accent1" w:themeShade="bf" w:val="auto"/>
              </w:rPr>
            </w:pPr>
            <w:r>
              <w:rPr>
                <w:b/>
                <w:bCs/>
                <w:color w:themeColor="accent1" w:themeShade="bf" w:val="auto"/>
                <w:sz w:val="18"/>
              </w:rPr>
              <w:t>Documentation treatment</w:t>
            </w:r>
          </w:p>
        </w:tc>
        <w:tc>
          <w:tcPr>
            <w:tcW w:w="3360" w:type="dxa"/>
            <w:tcBorders/>
          </w:tcPr>
          <w:p>
            <w:pPr>
              <w:pStyle w:val="Normal"/>
              <w:spacing w:before="0" w:after="100"/>
              <w:rPr>
                <w:b/>
                <w:bCs/>
                <w:color w:themeColor="accent1" w:themeShade="bf" w:val="auto"/>
              </w:rPr>
            </w:pPr>
            <w:r>
              <w:rPr>
                <w:b/>
                <w:bCs/>
                <w:color w:themeColor="accent1" w:themeShade="bf" w:val="auto"/>
                <w:sz w:val="18"/>
              </w:rPr>
              <w:t>Open closure evidence</w:t>
            </w:r>
          </w:p>
        </w:tc>
      </w:tr>
      <w:tr>
        <w:trPr>
          <w:cantSplit w:val="true"/>
        </w:trPr>
        <w:tc>
          <w:tcPr>
            <w:tcW w:w="3360" w:type="dxa"/>
            <w:tcBorders>
              <w:top w:val="nil"/>
              <w:bottom w:val="nil"/>
            </w:tcBorders>
            <w:shd w:color="auto" w:fill="D3DFEE" w:themeFill="accent1" w:themeFillTint="3f" w:val="clear"/>
          </w:tcPr>
          <w:p>
            <w:pPr>
              <w:pStyle w:val="Normal"/>
              <w:spacing w:before="0" w:after="100"/>
              <w:rPr>
                <w:b/>
                <w:bCs/>
                <w:color w:themeColor="accent1" w:themeShade="bf" w:val="auto"/>
              </w:rPr>
            </w:pPr>
            <w:r>
              <w:rPr>
                <w:b/>
                <w:bCs/>
                <w:color w:themeColor="accent1" w:themeShade="bf" w:val="auto"/>
                <w:sz w:val="18"/>
              </w:rPr>
              <w:t>G35 — Production activation versus operational readiness</w:t>
            </w:r>
          </w:p>
        </w:tc>
        <w:tc>
          <w:tcPr>
            <w:tcW w:w="3360" w:type="dxa"/>
            <w:tcBorders>
              <w:top w:val="nil"/>
              <w:bottom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Clarified that applicable G4 readiness is a production prerequisite; restricted qualification is separately authorized.</w:t>
            </w:r>
          </w:p>
        </w:tc>
        <w:tc>
          <w:tcPr>
            <w:tcW w:w="3360" w:type="dxa"/>
            <w:tcBorders>
              <w:top w:val="nil"/>
              <w:bottom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Open: adopt actual gate owners, prerequisites and current evidence. Observed activation refusal when a required owner, recovery proof or authorization is missing.</w:t>
            </w:r>
          </w:p>
        </w:tc>
      </w:tr>
      <w:tr>
        <w:trPr>
          <w:cantSplit w:val="true"/>
        </w:trPr>
        <w:tc>
          <w:tcPr>
            <w:tcW w:w="3360" w:type="dxa"/>
            <w:tcBorders>
              <w:top w:val="nil"/>
              <w:bottom w:val="nil"/>
            </w:tcBorders>
          </w:tcPr>
          <w:p>
            <w:pPr>
              <w:pStyle w:val="Normal"/>
              <w:spacing w:before="0" w:after="100"/>
              <w:rPr>
                <w:b/>
                <w:bCs/>
                <w:color w:themeColor="accent1" w:themeShade="bf" w:val="auto"/>
              </w:rPr>
            </w:pPr>
            <w:r>
              <w:rPr>
                <w:b/>
                <w:bCs/>
                <w:color w:themeColor="accent1" w:themeShade="bf" w:val="auto"/>
                <w:sz w:val="18"/>
              </w:rPr>
              <w:t>G36 — No single connected design and build schedule</w:t>
            </w:r>
          </w:p>
        </w:tc>
        <w:tc>
          <w:tcPr>
            <w:tcW w:w="3360" w:type="dxa"/>
            <w:tcBorders>
              <w:top w:val="nil"/>
              <w:bottom w:val="nil"/>
            </w:tcBorders>
          </w:tcPr>
          <w:p>
            <w:pPr>
              <w:pStyle w:val="Normal"/>
              <w:spacing w:before="0" w:after="100"/>
              <w:rPr>
                <w:color w:themeColor="accent1" w:themeShade="bf" w:val="auto"/>
              </w:rPr>
            </w:pPr>
            <w:r>
              <w:rPr>
                <w:color w:themeColor="accent1" w:themeShade="bf" w:val="auto"/>
                <w:sz w:val="18"/>
              </w:rPr>
              <w:t>Added common component, address, route, service, native mapping and handoff schedules.</w:t>
            </w:r>
          </w:p>
        </w:tc>
        <w:tc>
          <w:tcPr>
            <w:tcW w:w="3360" w:type="dxa"/>
            <w:tcBorders>
              <w:top w:val="nil"/>
              <w:bottom w:val="nil"/>
            </w:tcBorders>
          </w:tcPr>
          <w:p>
            <w:pPr>
              <w:pStyle w:val="Normal"/>
              <w:spacing w:before="0" w:after="100"/>
              <w:rPr>
                <w:color w:themeColor="accent1" w:themeShade="bf" w:val="auto"/>
              </w:rPr>
            </w:pPr>
            <w:r>
              <w:rPr>
                <w:color w:themeColor="accent1" w:themeShade="bf" w:val="auto"/>
                <w:sz w:val="18"/>
              </w:rPr>
              <w:t>Open: bind actual site values and supported native objects. Accepted as-built schedules and matching actual forwarding and resource observations.</w:t>
            </w:r>
          </w:p>
        </w:tc>
      </w:tr>
      <w:tr>
        <w:trPr>
          <w:cantSplit w:val="true"/>
        </w:trPr>
        <w:tc>
          <w:tcPr>
            <w:tcW w:w="3360" w:type="dxa"/>
            <w:tcBorders>
              <w:top w:val="nil"/>
              <w:bottom w:val="nil"/>
            </w:tcBorders>
            <w:shd w:color="auto" w:fill="D3DFEE" w:themeFill="accent1" w:themeFillTint="3f" w:val="clear"/>
          </w:tcPr>
          <w:p>
            <w:pPr>
              <w:pStyle w:val="Normal"/>
              <w:spacing w:before="0" w:after="100"/>
              <w:rPr>
                <w:b/>
                <w:bCs/>
                <w:color w:themeColor="accent1" w:themeShade="bf" w:val="auto"/>
              </w:rPr>
            </w:pPr>
            <w:r>
              <w:rPr>
                <w:b/>
                <w:bCs/>
                <w:color w:themeColor="accent1" w:themeShade="bf" w:val="auto"/>
                <w:sz w:val="18"/>
              </w:rPr>
              <w:t>G37 — Shared-service return routing and transit risk</w:t>
            </w:r>
          </w:p>
        </w:tc>
        <w:tc>
          <w:tcPr>
            <w:tcW w:w="3360" w:type="dxa"/>
            <w:tcBorders>
              <w:top w:val="nil"/>
              <w:bottom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Specified dedicated service handoffs, service-side returns, endpoint entitlement and residual compromise risk.</w:t>
            </w:r>
          </w:p>
        </w:tc>
        <w:tc>
          <w:tcPr>
            <w:tcW w:w="3360" w:type="dxa"/>
            <w:tcBorders>
              <w:top w:val="nil"/>
              <w:bottom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Open: qualify EC/SE and service endpoint routing or an approved alternative. Positive replies and negative cross-tenant/provider-management paths in normal and fault states.</w:t>
            </w:r>
          </w:p>
        </w:tc>
      </w:tr>
      <w:tr>
        <w:trPr>
          <w:cantSplit w:val="true"/>
        </w:trPr>
        <w:tc>
          <w:tcPr>
            <w:tcW w:w="3360" w:type="dxa"/>
            <w:tcBorders>
              <w:top w:val="nil"/>
              <w:bottom w:val="nil"/>
            </w:tcBorders>
          </w:tcPr>
          <w:p>
            <w:pPr>
              <w:pStyle w:val="Normal"/>
              <w:spacing w:before="0" w:after="100"/>
              <w:rPr>
                <w:b/>
                <w:bCs/>
                <w:color w:themeColor="accent1" w:themeShade="bf" w:val="auto"/>
              </w:rPr>
            </w:pPr>
            <w:r>
              <w:rPr>
                <w:b/>
                <w:bCs/>
                <w:color w:themeColor="accent1" w:themeShade="bf" w:val="auto"/>
                <w:sz w:val="18"/>
              </w:rPr>
              <w:t>G38 — Fixture lacks a second same-domain endpoint</w:t>
            </w:r>
          </w:p>
        </w:tc>
        <w:tc>
          <w:tcPr>
            <w:tcW w:w="3360" w:type="dxa"/>
            <w:tcBorders>
              <w:top w:val="nil"/>
              <w:bottom w:val="nil"/>
            </w:tcBorders>
          </w:tcPr>
          <w:p>
            <w:pPr>
              <w:pStyle w:val="Normal"/>
              <w:spacing w:before="0" w:after="100"/>
              <w:rPr>
                <w:color w:themeColor="accent1" w:themeShade="bf" w:val="auto"/>
              </w:rPr>
            </w:pPr>
            <w:r>
              <w:rPr>
                <w:color w:themeColor="accent1" w:themeShade="bf" w:val="auto"/>
                <w:sz w:val="18"/>
              </w:rPr>
              <w:t>Added one sequential temporary probe and explicit peak resource accounting; no prohibited co-residency forced.</w:t>
            </w:r>
          </w:p>
        </w:tc>
        <w:tc>
          <w:tcPr>
            <w:tcW w:w="3360" w:type="dxa"/>
            <w:tcBorders>
              <w:top w:val="nil"/>
              <w:bottom w:val="nil"/>
            </w:tcBorders>
          </w:tcPr>
          <w:p>
            <w:pPr>
              <w:pStyle w:val="Normal"/>
              <w:spacing w:before="0" w:after="100"/>
              <w:rPr>
                <w:color w:themeColor="accent1" w:themeShade="bf" w:val="auto"/>
              </w:rPr>
            </w:pPr>
            <w:r>
              <w:rPr>
                <w:color w:themeColor="accent1" w:themeShade="bf" w:val="auto"/>
                <w:sz w:val="18"/>
              </w:rPr>
              <w:t>Open: authorize probe placement and execute applicable tests. Actual same-domain controls verified with healthy controls at allowed same-host and cross-host placements.</w:t>
            </w:r>
          </w:p>
        </w:tc>
      </w:tr>
      <w:tr>
        <w:trPr>
          <w:cantSplit w:val="true"/>
        </w:trPr>
        <w:tc>
          <w:tcPr>
            <w:tcW w:w="3360" w:type="dxa"/>
            <w:tcBorders>
              <w:top w:val="nil"/>
              <w:bottom w:val="nil"/>
            </w:tcBorders>
            <w:shd w:color="auto" w:fill="D3DFEE" w:themeFill="accent1" w:themeFillTint="3f" w:val="clear"/>
          </w:tcPr>
          <w:p>
            <w:pPr>
              <w:pStyle w:val="Normal"/>
              <w:spacing w:before="0" w:after="100"/>
              <w:rPr>
                <w:b/>
                <w:bCs/>
                <w:color w:themeColor="accent1" w:themeShade="bf" w:val="auto"/>
              </w:rPr>
            </w:pPr>
            <w:r>
              <w:rPr>
                <w:b/>
                <w:bCs/>
                <w:color w:themeColor="accent1" w:themeShade="bf" w:val="auto"/>
                <w:sz w:val="18"/>
              </w:rPr>
              <w:t>G39 — OpenStack mandatory policy left as an unspecified layer</w:t>
            </w:r>
          </w:p>
        </w:tc>
        <w:tc>
          <w:tcPr>
            <w:tcW w:w="3360" w:type="dxa"/>
            <w:tcBorders>
              <w:top w:val="nil"/>
              <w:bottom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Selected provider-owned mutation authority for the base service; delegation is separately qualified.</w:t>
            </w:r>
          </w:p>
        </w:tc>
        <w:tc>
          <w:tcPr>
            <w:tcW w:w="3360" w:type="dxa"/>
            <w:tcBorders>
              <w:top w:val="nil"/>
              <w:bottom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Open: implement and test actual Keystone/Neutron roles, APIs and protected policies. Tenant cannot widen effective permissions through groups, ports, external attachments or alternate paths.</w:t>
            </w:r>
          </w:p>
        </w:tc>
      </w:tr>
      <w:tr>
        <w:trPr>
          <w:cantSplit w:val="true"/>
        </w:trPr>
        <w:tc>
          <w:tcPr>
            <w:tcW w:w="3360" w:type="dxa"/>
            <w:tcBorders>
              <w:top w:val="nil"/>
            </w:tcBorders>
          </w:tcPr>
          <w:p>
            <w:pPr>
              <w:pStyle w:val="Normal"/>
              <w:spacing w:before="0" w:after="100"/>
              <w:rPr>
                <w:b/>
                <w:bCs/>
                <w:color w:themeColor="accent1" w:themeShade="bf" w:val="auto"/>
              </w:rPr>
            </w:pPr>
            <w:r>
              <w:rPr>
                <w:b/>
                <w:bCs/>
                <w:color w:themeColor="accent1" w:themeShade="bf" w:val="auto"/>
                <w:sz w:val="18"/>
              </w:rPr>
              <w:t>G40 — Worked capacity and MTU units not tied to resources</w:t>
            </w:r>
          </w:p>
        </w:tc>
        <w:tc>
          <w:tcPr>
            <w:tcW w:w="3360" w:type="dxa"/>
            <w:tcBorders>
              <w:top w:val="nil"/>
            </w:tcBorders>
          </w:tcPr>
          <w:p>
            <w:pPr>
              <w:pStyle w:val="Normal"/>
              <w:spacing w:before="0" w:after="100"/>
              <w:rPr>
                <w:color w:themeColor="accent1" w:themeShade="bf" w:val="auto"/>
              </w:rPr>
            </w:pPr>
            <w:r>
              <w:rPr>
                <w:color w:themeColor="accent1" w:themeShade="bf" w:val="auto"/>
                <w:sz w:val="18"/>
              </w:rPr>
              <w:t>Added guest resource demand, temporary probe peak and field-by-field MTU arithmetic with declared assumptions.</w:t>
            </w:r>
          </w:p>
        </w:tc>
        <w:tc>
          <w:tcPr>
            <w:tcW w:w="3360" w:type="dxa"/>
            <w:tcBorders>
              <w:top w:val="nil"/>
            </w:tcBorders>
          </w:tcPr>
          <w:p>
            <w:pPr>
              <w:pStyle w:val="Normal"/>
              <w:spacing w:before="0" w:after="100"/>
              <w:rPr>
                <w:color w:themeColor="accent1" w:themeShade="bf" w:val="auto"/>
              </w:rPr>
            </w:pPr>
            <w:r>
              <w:rPr>
                <w:color w:themeColor="accent1" w:themeShade="bf" w:val="auto"/>
                <w:sz w:val="18"/>
              </w:rPr>
              <w:t>Open: replace examples with actual measured qualified surviving capacity and encapsulation. Unit-consistent admission and all-path packet-size evidence under the selected failure model.</w:t>
            </w:r>
          </w:p>
        </w:tc>
      </w:tr>
    </w:tbl>
    <w:p>
      <w:pPr>
        <w:pStyle w:val="Normal"/>
        <w:spacing w:before="0" w:after="20"/>
        <w:rPr/>
      </w:pPr>
      <w:r>
        <w:rPr/>
      </w:r>
    </w:p>
    <w:p>
      <w:r>
        <w:t>Code disambiguation: gap-priority P0/P1/P2 describes urgency. Provisioning work-package P0–P6 describes lifecycle scope. They are separate columns and must not be interpreted as the same sequence or authority.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360" w:top="979" w:footer="403"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17</w:t>
    </w:r>
    <w:r>
      <w:rPr/>
      <w:fldChar w:fldCharType="end"/>
    </w:r>
    <w:r>
      <w:rPr/>
      <w:t xml:space="preserve"> / </w:t>
    </w:r>
    <w:r>
      <w:rPr/>
      <w:fldChar w:fldCharType="begin"/>
    </w:r>
    <w:r>
      <w:rPr/>
      <w:instrText xml:space="preserve"> NUMPAGES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17</w:t>
    </w:r>
    <w:r>
      <w:rPr/>
      <w:fldChar w:fldCharType="end"/>
    </w:r>
    <w:r>
      <w:rPr/>
      <w:t xml:space="preserve"> / </w:t>
    </w:r>
    <w:r>
      <w:rPr/>
      <w:fldChar w:fldCharType="begin"/>
    </w:r>
    <w:r>
      <w:rPr/>
      <w:instrText xml:space="preserve"> NUMPAGES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GM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GM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left"/>
    </w:pPr>
    <w:rPr>
      <w:rFonts w:ascii="Calibri" w:hAnsi="Calibri" w:eastAsia="" w:cs="" w:cstheme="minorBidi" w:eastAsiaTheme="minorEastAsia"/>
      <w:color w:val="auto"/>
      <w:kern w:val="0"/>
      <w:sz w:val="22"/>
      <w:szCs w:val="22"/>
      <w:lang w:val="en-CA" w:eastAsia="en-US" w:bidi="ar-SA"/>
    </w:rPr>
  </w:style>
  <w:style w:type="paragraph" w:styleId="Heading1">
    <w:name w:val="heading 1"/>
    <w:basedOn w:val="Normal"/>
    <w:next w:val="Normal"/>
    <w:link w:val="Heading1Char"/>
    <w:uiPriority w:val="9"/>
    <w:qFormat/>
    <w:rsid w:val="00fc693f"/>
    <w:pPr>
      <w:keepNext w:val="true"/>
      <w:keepLines/>
      <w:spacing w:before="260" w:after="120"/>
      <w:outlineLvl w:val="0"/>
    </w:pPr>
    <w:rPr>
      <w:rFonts w:ascii="Calibri" w:hAnsi="Calibri" w:eastAsia="" w:cs="" w:asciiTheme="majorHAnsi" w:cstheme="majorBidi" w:eastAsiaTheme="majorEastAsia" w:hAnsiTheme="majorHAnsi"/>
      <w:b/>
      <w:bCs/>
      <w:color w:val="203C50"/>
      <w:sz w:val="36"/>
      <w:szCs w:val="28"/>
    </w:rPr>
  </w:style>
  <w:style w:type="paragraph" w:styleId="Heading2">
    <w:name w:val="heading 2"/>
    <w:basedOn w:val="Normal"/>
    <w:next w:val="Normal"/>
    <w:link w:val="Heading2Char"/>
    <w:uiPriority w:val="9"/>
    <w:unhideWhenUsed/>
    <w:qFormat/>
    <w:rsid w:val="00fc693f"/>
    <w:pPr>
      <w:keepNext w:val="true"/>
      <w:keepLines/>
      <w:spacing w:before="180" w:after="120"/>
      <w:outlineLvl w:val="1"/>
    </w:pPr>
    <w:rPr>
      <w:rFonts w:ascii="Calibri" w:hAnsi="Calibri" w:eastAsia="" w:cs="" w:asciiTheme="majorHAnsi" w:cstheme="majorBidi" w:eastAsiaTheme="majorEastAsia" w:hAnsiTheme="majorHAnsi"/>
      <w:b/>
      <w:bCs/>
      <w:color w:val="176B70"/>
      <w:sz w:val="25"/>
      <w:szCs w:val="26"/>
    </w:rPr>
  </w:style>
  <w:style w:type="paragraph" w:styleId="Heading3">
    <w:name w:val="heading 3"/>
    <w:basedOn w:val="Normal"/>
    <w:next w:val="Normal"/>
    <w:link w:val="Heading3Char"/>
    <w:uiPriority w:val="9"/>
    <w:unhideWhenUsed/>
    <w:qFormat/>
    <w:rsid w:val="00fc693f"/>
    <w:pPr>
      <w:keepNext w:val="true"/>
      <w:keepLines/>
      <w:spacing w:before="180" w:after="120"/>
      <w:outlineLvl w:val="2"/>
    </w:pPr>
    <w:rPr>
      <w:rFonts w:ascii="Calibri" w:hAnsi="Calibri" w:eastAsia="" w:cs="" w:asciiTheme="majorHAnsi" w:cstheme="majorBidi" w:eastAsiaTheme="majorEastAsia" w:hAnsiTheme="majorHAnsi"/>
      <w:b/>
      <w:bCs/>
      <w:color w:val="203C5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59" w:before="0" w:after="120"/>
    </w:pPr>
    <w:rPr>
      <w:rFonts w:ascii="Calibri" w:hAnsi="Calibri"/>
      <w:sz w:val="22"/>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keepNext w:val="false"/>
      <w:widowControl/>
      <w:spacing w:lineRule="auto" w:line="245" w:before="0" w:after="100"/>
    </w:pPr>
    <w:rPr>
      <w:rFonts w:ascii="Calibri" w:hAnsi="Calibri"/>
      <w:b/>
      <w:bCs/>
      <w:color w:val="586874"/>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180" w:after="120"/>
      <w:contextualSpacing/>
    </w:pPr>
    <w:rPr>
      <w:rFonts w:ascii="Calibri" w:hAnsi="Calibri" w:eastAsia="" w:cs="" w:asciiTheme="majorHAnsi" w:cstheme="majorBidi" w:eastAsiaTheme="majorEastAsia" w:hAnsiTheme="majorHAnsi"/>
      <w:b/>
      <w:color w:val="203C50"/>
      <w:spacing w:val="5"/>
      <w:kern w:val="2"/>
      <w:sz w:val="58"/>
      <w:szCs w:val="52"/>
    </w:rPr>
  </w:style>
  <w:style w:type="paragraph" w:styleId="Subtitle">
    <w:name w:val="Subtitle"/>
    <w:basedOn w:val="Normal"/>
    <w:next w:val="Normal"/>
    <w:link w:val="SubtitleChar"/>
    <w:uiPriority w:val="11"/>
    <w:qFormat/>
    <w:rsid w:val="00fc693f"/>
    <w:pPr>
      <w:keepNext w:val="true"/>
      <w:spacing w:before="180" w:after="120"/>
    </w:pPr>
    <w:rPr>
      <w:rFonts w:ascii="Calibri" w:hAnsi="Calibri" w:eastAsia="" w:cs="" w:asciiTheme="majorHAnsi" w:cstheme="majorBidi" w:eastAsiaTheme="majorEastAsia" w:hAnsiTheme="majorHAnsi"/>
      <w:b w:val="false"/>
      <w:i/>
      <w:iCs/>
      <w:color w:val="176B70"/>
      <w:spacing w:val="15"/>
      <w:sz w:val="32"/>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 w:customStyle="1">
    <w:name w:val="Small"/>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paragraph" w:styleId="Navigation" w:customStyle="1">
    <w:name w:val="Navigation"/>
    <w:qFormat/>
    <w:pPr>
      <w:widowControl/>
      <w:suppressAutoHyphens w:val="true"/>
      <w:bidi w:val="0"/>
      <w:spacing w:lineRule="auto" w:line="245" w:before="60" w:after="100"/>
      <w:jc w:val="left"/>
    </w:pPr>
    <w:rPr>
      <w:rFonts w:ascii="Calibri" w:hAnsi="Calibri" w:eastAsia="ＭＳ 明朝" w:cs=""/>
      <w:color w:val="176B70"/>
      <w:kern w:val="0"/>
      <w:sz w:val="18"/>
      <w:szCs w:val="22"/>
      <w:lang w:val="en-US" w:eastAsia="en-US" w:bidi="ar-SA"/>
    </w:rPr>
  </w:style>
  <w:style w:type="paragraph" w:styleId="TableText" w:customStyle="1">
    <w:name w:val="Table Text"/>
    <w:qFormat/>
    <w:pPr>
      <w:widowControl/>
      <w:suppressAutoHyphens w:val="true"/>
      <w:bidi w:val="0"/>
      <w:spacing w:lineRule="auto" w:line="245" w:before="0" w:after="60"/>
      <w:jc w:val="left"/>
    </w:pPr>
    <w:rPr>
      <w:rFonts w:ascii="Calibri" w:hAnsi="Calibri" w:eastAsia="ＭＳ 明朝" w:cs=""/>
      <w:color w:val="203C50"/>
      <w:kern w:val="0"/>
      <w:sz w:val="20"/>
      <w:szCs w:val="22"/>
      <w:lang w:val="en-US" w:eastAsia="en-US" w:bidi="ar-SA"/>
    </w:rPr>
  </w:style>
  <w:style w:type="paragraph" w:styleId="TOC1" w:customStyle="1">
    <w:name w:val="toc 1"/>
    <w:pPr>
      <w:widowControl/>
      <w:tabs>
        <w:tab w:val="clear" w:pos="720"/>
        <w:tab w:val="right" w:pos="9965" w:leader="none"/>
      </w:tabs>
      <w:suppressAutoHyphens w:val="true"/>
      <w:bidi w:val="0"/>
      <w:spacing w:lineRule="auto" w:line="245" w:before="0" w:after="100"/>
      <w:jc w:val="left"/>
    </w:pPr>
    <w:rPr>
      <w:rFonts w:ascii="Calibri" w:hAnsi="Calibri" w:eastAsia="ＭＳ 明朝" w:cs=""/>
      <w:color w:val="203C50"/>
      <w:kern w:val="0"/>
      <w:sz w:val="20"/>
      <w:szCs w:val="22"/>
      <w:lang w:val="en-US" w:eastAsia="en-US" w:bidi="ar-SA"/>
    </w:rPr>
  </w:style>
  <w:style w:type="paragraph" w:styleId="Eyebrow" w:customStyle="1">
    <w:name w:val="Eyebrow"/>
    <w:qFormat/>
    <w:pPr>
      <w:widowControl/>
      <w:suppressAutoHyphens w:val="true"/>
      <w:bidi w:val="0"/>
      <w:spacing w:lineRule="auto" w:line="245" w:before="0" w:after="100"/>
      <w:jc w:val="left"/>
    </w:pPr>
    <w:rPr>
      <w:rFonts w:ascii="Calibri" w:hAnsi="Calibri" w:eastAsia="ＭＳ 明朝" w:cs=""/>
      <w:color w:val="176B70"/>
      <w:kern w:val="0"/>
      <w:sz w:val="20"/>
      <w:szCs w:val="22"/>
      <w:lang w:val="en-US" w:eastAsia="en-US" w:bidi="ar-SA"/>
    </w:rPr>
  </w:style>
  <w:style w:type="paragraph" w:styleId="GapMeta" w:customStyle="1">
    <w:name w:val="Gap Meta"/>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17</Pages>
  <Words>5287</Words>
  <Characters>34868</Characters>
  <CharactersWithSpaces>39992</CharactersWithSpaces>
  <Paragraphs>418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2026-09-16T23:24:35Z</dcterms:modified>
  <cp:revision>2</cp:revision>
  <dc:subject/>
  <dc:title>Word Document</dc:title>
  <cp:version>1.4</cp:version>
</cp:coreProperties>
</file>

<file path=docProps/custom.xml><?xml version="1.0" encoding="utf-8"?>
<Properties xmlns="http://schemas.openxmlformats.org/officeDocument/2006/custom-properties" xmlns:vt="http://schemas.openxmlformats.org/officeDocument/2006/docPropsVTypes"/>
</file>