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yebrow"/>
        <w:rPr/>
      </w:pPr>
      <w:bookmarkStart w:id="0" w:name="V14_NET_START"/>
      <w:r>
        <w:rPr/>
        <w:t>INFRASTRUCTURE ARCHITECTURE  /  NET</w:t>
      </w:r>
      <w:bookmarkEnd w:id="0"/>
    </w:p>
    <w:p>
      <w:pPr>
        <w:pStyle w:val="Normal"/>
        <w:rPr/>
      </w:pPr>
      <w:r>
        <w:rPr/>
        <w:t xml:space="preserve">v1.4 linked worked design: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resources, paths, build receipts and acceptance</w:t>
      </w:r>
      <w:r>
        <w:rPr>
          <w:rStyle w:val="Hyperlink"/>
        </w:rPr>
        <w:fldChar w:fldCharType="end"/>
      </w:r>
    </w:p>
    <w:p>
      <w:pPr>
        <w:pStyle w:val="Title"/>
        <w:rPr/>
      </w:pPr>
      <w:r>
        <w:rPr/>
        <w:t>Portable Multi-Tenant</w:t>
        <w:br/>
        <w:t>Secure Hosting</w:t>
      </w:r>
    </w:p>
    <w:p>
      <w:pPr>
        <w:pStyle w:val="Subtitle"/>
        <w:rPr/>
      </w:pPr>
      <w:r>
        <w:rPr/>
        <w:t>Fabric, Security Boundaries and Infrastructure Interfaces</w:t>
      </w:r>
    </w:p>
    <w:p>
      <w:pPr>
        <w:pStyle w:val="Small"/>
        <w:rPr/>
      </w:pPr>
      <w:r>
        <w:rPr/>
        <w:t>Draft v1.4  |  16 September 2026</w:t>
      </w:r>
    </w:p>
    <w:p>
      <w:pPr>
        <w:pStyle w:val="Normal"/>
        <w:rPr/>
      </w:pPr>
      <w:r>
        <w:rPr/>
        <w:t>Buildable routing, attachment, traffic-path, protocol-family, MTU and management-interface guidance, subordinate to the parent architecture.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04"/>
        <w:gridCol w:w="7775"/>
      </w:tblGrid>
      <w:tr>
        <w:trPr>
          <w:tblHeader w:val="true"/>
          <w:cantSplit w:val="true"/>
        </w:trPr>
        <w:tc>
          <w:tcPr>
            <w:tcW w:w="230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Document control</w:t>
            </w:r>
          </w:p>
        </w:tc>
        <w:tc>
          <w:tcPr>
            <w:tcW w:w="777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Record</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Document ID / parent</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NET — supplement to RA v1.4</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Status</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Proposed reference design and engineering guidance; adoption and qualification remain separate.</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Baseline</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Draft v1.2 infrastructure architecture, with retained v1.2 requirements and verification catalogues.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Audience</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Infrastructure, security, network, platform, storage, service and operations owners; provisioning engineers.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Authority</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Applicable external obligations and adopted controls prevail; supplements cannot silently weaken the parent.</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Release boundary</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Documentation and local document checks only. No live infrastructure deployment, qualification or authorization asserted.</w:t>
            </w:r>
          </w:p>
        </w:tc>
      </w:tr>
    </w:tbl>
    <w:p>
      <w:pPr>
        <w:pStyle w:val="Normal"/>
        <w:spacing w:lineRule="auto" w:line="240" w:before="0" w:after="40"/>
        <w:rPr/>
      </w:pPr>
      <w:r>
        <w:rPr/>
      </w:r>
    </w:p>
    <w:p>
      <w:pPr>
        <w:pStyle w:val="Navigation"/>
        <w:rPr/>
      </w:pPr>
      <w:r>
        <w:rPr/>
        <w:t xml:space="preserve">Start here: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Parent architecture — RA</w:t>
      </w:r>
      <w:r>
        <w:rPr>
          <w:rStyle w:val="Style"/>
          <w:u w:val="single"/>
          <w:color w:val="176B70"/>
        </w:rPr>
        <w:fldChar w:fldCharType="end"/>
      </w:r>
      <w:r>
        <w:rPr/>
        <w:t xml:space="preserve">  •  </w:t>
      </w:r>
      <w:r>
        <w:fldChar w:fldCharType="begin"/>
      </w:r>
      <w:r>
        <w:rPr>
          <w:rStyle w:val="Style"/>
          <w:u w:val="single"/>
          <w:color w:val="176B70"/>
        </w:rPr>
        <w:instrText xml:space="preserve"> HYPERLINK "01_Gap_Map_and_Decision_Register_v1_4.docx" \l "GM_s_001"</w:instrText>
      </w:r>
      <w:r>
        <w:rPr>
          <w:rStyle w:val="Style"/>
          <w:u w:val="single"/>
          <w:color w:val="176B70"/>
        </w:rPr>
        <w:fldChar w:fldCharType="separate"/>
      </w:r>
      <w:r>
        <w:rPr>
          <w:rStyle w:val="Style"/>
          <w:color w:val="176B70"/>
          <w:u w:val="single"/>
        </w:rPr>
        <w:t>Document family and gap map — GM</w:t>
      </w:r>
      <w:r>
        <w:rPr>
          <w:rStyle w:val="Style"/>
          <w:u w:val="single"/>
          <w:color w:val="176B70"/>
        </w:rPr>
        <w:fldChar w:fldCharType="end"/>
      </w:r>
    </w:p>
    <w:p>
      <w:pPr>
        <w:pStyle w:val="Small"/>
        <w:rPr/>
      </w:pPr>
      <w:r>
        <w:rPr/>
        <w:t>Keep the eight Word files together after extracting the release package. Cross-document links use sibling filenames and stable bookmarks. START_HERE.html provides an additional navigation index.</w:t>
      </w:r>
    </w:p>
    <w:p>
      <w:pPr>
        <w:pStyle w:val="Normal"/>
        <w:rPr/>
      </w:pPr>
      <w:r>
        <w:rPr/>
      </w:r>
      <w:r>
        <w:br w:type="page"/>
      </w:r>
    </w:p>
    <w:p>
      <w:pPr>
        <w:pStyle w:val="Subtitle"/>
        <w:spacing w:before="0" w:after="120"/>
        <w:rPr/>
      </w:pPr>
      <w:bookmarkStart w:id="1" w:name="NET_contents"/>
      <w:r>
        <w:rPr/>
        <w:t>Contents</w:t>
      </w:r>
      <w:bookmarkEnd w:id="1"/>
    </w:p>
    <w:sdt>
      <w:sdtPr>
        <w:docPartObj>
          <w:docPartGallery w:val="Table of Contents"/>
          <w:docPartUnique w:val="true"/>
        </w:docPartObj>
      </w:sdtPr>
      <w:sdtContent>
        <w:p>
          <w:pPr>
            <w:pStyle w:val="TOC1"/>
            <w:tabs>
              <w:tab w:val="clear" w:pos="9965"/>
              <w:tab w:val="right" w:pos="10079" w:leader="dot"/>
            </w:tabs>
            <w:rPr/>
          </w:pPr>
          <w:r>
            <w:fldChar w:fldCharType="begin"/>
          </w:r>
          <w:r>
            <w:rPr>
              <w:webHidden/>
              <w:rStyle w:val="IndexLink"/>
            </w:rPr>
            <w:instrText xml:space="preserve"> TOC \z \o "1-1" \h</w:instrText>
          </w:r>
          <w:r>
            <w:rPr>
              <w:webHidden/>
              <w:rStyle w:val="IndexLink"/>
            </w:rPr>
            <w:fldChar w:fldCharType="separate"/>
          </w:r>
          <w:hyperlink w:anchor="__RefHeading___Toc5745_1525915568">
            <w:r>
              <w:rPr>
                <w:webHidden/>
                <w:rStyle w:val="IndexLink"/>
              </w:rPr>
              <w:t>1. Transport, routing and overlay ownership</w:t>
              <w:tab/>
              <w:t>3</w:t>
            </w:r>
          </w:hyperlink>
        </w:p>
        <w:p>
          <w:pPr>
            <w:pStyle w:val="TOC1"/>
            <w:tabs>
              <w:tab w:val="clear" w:pos="9965"/>
              <w:tab w:val="right" w:pos="10079" w:leader="dot"/>
            </w:tabs>
            <w:rPr/>
          </w:pPr>
          <w:hyperlink w:anchor="__RefHeading___Toc5747_1525915568">
            <w:r>
              <w:rPr>
                <w:webHidden/>
                <w:rStyle w:val="IndexLink"/>
              </w:rPr>
              <w:t>2. Isolated attachment units and bounded capacity</w:t>
              <w:tab/>
              <w:t>3</w:t>
            </w:r>
          </w:hyperlink>
        </w:p>
        <w:p>
          <w:pPr>
            <w:pStyle w:val="TOC1"/>
            <w:tabs>
              <w:tab w:val="clear" w:pos="9965"/>
              <w:tab w:val="right" w:pos="10079" w:leader="dot"/>
            </w:tabs>
            <w:rPr/>
          </w:pPr>
          <w:hyperlink w:anchor="__RefHeading___Toc5749_1525915568">
            <w:r>
              <w:rPr>
                <w:webHidden/>
                <w:rStyle w:val="IndexLink"/>
              </w:rPr>
              <w:t>3. Worked inter-zone routing and enforcement schedule</w:t>
              <w:tab/>
              <w:t>5</w:t>
            </w:r>
          </w:hyperlink>
        </w:p>
        <w:p>
          <w:pPr>
            <w:pStyle w:val="TOC1"/>
            <w:tabs>
              <w:tab w:val="clear" w:pos="9965"/>
              <w:tab w:val="right" w:pos="10079" w:leader="dot"/>
            </w:tabs>
            <w:rPr/>
          </w:pPr>
          <w:hyperlink w:anchor="__RefHeading___Toc5751_1525915568">
            <w:r>
              <w:rPr>
                <w:webHidden/>
                <w:rStyle w:val="IndexLink"/>
              </w:rPr>
              <w:t>4. Address, naming and protocol-family decisions</w:t>
              <w:tab/>
              <w:t>6</w:t>
            </w:r>
          </w:hyperlink>
        </w:p>
        <w:p>
          <w:pPr>
            <w:pStyle w:val="TOC1"/>
            <w:tabs>
              <w:tab w:val="clear" w:pos="9965"/>
              <w:tab w:val="right" w:pos="10079" w:leader="dot"/>
            </w:tabs>
            <w:rPr/>
          </w:pPr>
          <w:hyperlink w:anchor="__RefHeading___Toc5753_1525915568">
            <w:r>
              <w:rPr>
                <w:webHidden/>
                <w:rStyle w:val="IndexLink"/>
              </w:rPr>
              <w:t>5. MTU, performance and failure engineering</w:t>
              <w:tab/>
              <w:t>7</w:t>
            </w:r>
          </w:hyperlink>
        </w:p>
        <w:p>
          <w:pPr>
            <w:pStyle w:val="TOC1"/>
            <w:tabs>
              <w:tab w:val="clear" w:pos="9965"/>
              <w:tab w:val="right" w:pos="10079" w:leader="dot"/>
            </w:tabs>
            <w:rPr/>
          </w:pPr>
          <w:hyperlink w:anchor="__RefHeading___Toc5755_1525915568">
            <w:r>
              <w:rPr>
                <w:webHidden/>
                <w:rStyle w:val="IndexLink"/>
              </w:rPr>
              <w:t>6. Management paths and interface handover</w:t>
              <w:tab/>
              <w:t>8</w:t>
            </w:r>
          </w:hyperlink>
        </w:p>
        <w:p>
          <w:pPr>
            <w:pStyle w:val="TOC1"/>
            <w:tabs>
              <w:tab w:val="clear" w:pos="9965"/>
              <w:tab w:val="right" w:pos="10079" w:leader="dot"/>
            </w:tabs>
            <w:rPr/>
          </w:pPr>
          <w:hyperlink w:anchor="__RefHeading___Toc5757_1525915568">
            <w:r>
              <w:rPr>
                <w:webHidden/>
                <w:rStyle w:val="IndexLink"/>
              </w:rPr>
              <w:t>References — Parent basis and external context</w:t>
              <w:tab/>
              <w:t>10</w:t>
            </w:r>
          </w:hyperlink>
        </w:p>
        <w:p>
          <w:pPr>
            <w:pStyle w:val="TOC1"/>
            <w:tabs>
              <w:tab w:val="clear" w:pos="9965"/>
              <w:tab w:val="right" w:pos="10079" w:leader="dot"/>
            </w:tabs>
            <w:rPr/>
          </w:pPr>
          <w:hyperlink w:anchor="__RefHeading___Toc6071_1692646980">
            <w:r>
              <w:rPr>
                <w:webHidden/>
                <w:rStyle w:val="IndexLink"/>
              </w:rPr>
              <w:t>v1.4 — Connected infrastructure design and acceptance</w:t>
              <w:tab/>
              <w:t>11</w:t>
            </w:r>
          </w:hyperlink>
          <w:r>
            <w:rPr>
              <w:rStyle w:val="IndexLink"/>
            </w:rPr>
            <w:fldChar w:fldCharType="end"/>
          </w:r>
        </w:p>
      </w:sdtContent>
    </w:sdt>
    <w:p>
      <w:pPr>
        <w:pStyle w:val="Normal"/>
        <w:widowControl/>
        <w:bidi w:val="0"/>
        <w:spacing w:lineRule="auto" w:line="259" w:before="0" w:after="120"/>
        <w:jc w:val="left"/>
        <w:rPr>
          <w:rFonts w:ascii="Calibri" w:hAnsi="Calibri"/>
          <w:sz w:val="22"/>
          <w:lang w:val="en-CA"/>
        </w:rPr>
      </w:pPr>
      <w:r>
        <w:rPr>
          <w:sz w:val="22"/>
          <w:lang w:val="en-CA"/>
        </w:rPr>
      </w:r>
    </w:p>
    <w:p>
      <w:pPr>
        <w:pStyle w:val="Small"/>
        <w:rPr/>
      </w:pPr>
      <w:r>
        <w:rPr/>
        <w:t>Use the contents and named section links to navigate. After later edits, update Word fields and verify pagination before release.</w:t>
      </w:r>
    </w:p>
    <w:p>
      <w:pPr>
        <w:pStyle w:val="Normal"/>
        <w:rPr/>
      </w:pPr>
      <w:r>
        <w:rPr/>
      </w:r>
      <w:r>
        <w:br w:type="page"/>
      </w:r>
    </w:p>
    <w:p>
      <w:pPr>
        <w:pStyle w:val="Heading1"/>
        <w:spacing w:before="0" w:after="120"/>
        <w:rPr/>
      </w:pPr>
      <w:bookmarkStart w:id="2" w:name="__RefHeading___Toc5745_1525915568"/>
      <w:bookmarkStart w:id="3" w:name="NET_s_001"/>
      <w:bookmarkEnd w:id="2"/>
      <w:r>
        <w:rPr/>
        <w:t>1. Transport, routing and overlay ownership</w:t>
      </w:r>
      <w:bookmarkEnd w:id="3"/>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"RA_s_003"</w:instrText>
      </w:r>
      <w:r>
        <w:rPr>
          <w:rStyle w:val="Style"/>
          <w:u w:val="single"/>
          <w:color w:val="176B70"/>
        </w:rPr>
        <w:fldChar w:fldCharType="separate"/>
      </w:r>
      <w:r>
        <w:rPr>
          <w:rStyle w:val="Style"/>
          <w:color w:val="176B70"/>
          <w:u w:val="single"/>
        </w:rPr>
        <w:t>RA §3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"RA_s_005"</w:instrText>
      </w:r>
      <w:r>
        <w:rPr>
          <w:rStyle w:val="Style"/>
          <w:u w:val="single"/>
          <w:color w:val="176B70"/>
        </w:rPr>
        <w:fldChar w:fldCharType="separate"/>
      </w:r>
      <w:r>
        <w:rPr>
          <w:rStyle w:val="Style"/>
          <w:color w:val="176B70"/>
          <w:u w:val="single"/>
        </w:rPr>
        <w:t>RA §5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"RA_s_008"</w:instrText>
      </w:r>
      <w:r>
        <w:rPr>
          <w:rStyle w:val="Style"/>
          <w:u w:val="single"/>
          <w:color w:val="176B70"/>
        </w:rPr>
        <w:fldChar w:fldCharType="separate"/>
      </w:r>
      <w:r>
        <w:rPr>
          <w:rStyle w:val="Style"/>
          <w:color w:val="176B70"/>
          <w:u w:val="single"/>
        </w:rPr>
        <w:t>RA §8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"RA_s_015"</w:instrText>
      </w:r>
      <w:r>
        <w:rPr>
          <w:rStyle w:val="Style"/>
          <w:u w:val="single"/>
          <w:color w:val="176B70"/>
        </w:rPr>
        <w:fldChar w:fldCharType="separate"/>
      </w:r>
      <w:r>
        <w:rPr>
          <w:rStyle w:val="Style"/>
          <w:color w:val="176B70"/>
          <w:u w:val="single"/>
        </w:rPr>
        <w:t>RA §15</w:t>
      </w:r>
      <w:r>
        <w:rPr>
          <w:rStyle w:val="Style"/>
          <w:u w:val="single"/>
          <w:color w:val="176B70"/>
        </w:rPr>
        <w:fldChar w:fldCharType="end"/>
      </w:r>
    </w:p>
    <w:p>
      <w:pPr>
        <w:pStyle w:val="Normal"/>
        <w:rPr/>
      </w:pPr>
      <w:r>
        <w:rPr/>
        <w:t>The physical fabric connects platform transport endpoints and controlled service attachments. It does not become the default router between every tenant network. A platform overlay carries workload traffic inside its own realization; the security-edge service controls transitions between independently administered domains. These three responsibilities remain separate even where the same switches carry their packets. This supplement elaborates the selected parent design rather than selecting a switch manufacturer. [</w:t>
      </w:r>
      <w:hyperlink w:anchor="NET_src_B2">
        <w:r>
          <w:rPr>
            <w:rStyle w:val="Style"/>
            <w:color w:val="176B70"/>
            <w:u w:val="single"/>
          </w:rPr>
          <w:t>B2</w:t>
        </w:r>
      </w:hyperlink>
      <w:r>
        <w:rPr/>
        <w:t xml:space="preserve"> §§3, 5, 8, 15]</w:t>
      </w:r>
    </w:p>
    <w:p>
      <w:pPr>
        <w:pStyle w:val="Normal"/>
        <w:rPr/>
      </w:pPr>
      <w:r>
        <w:rPr/>
        <w:t>Maintain three route schedules: transport reachability, domain reachability, and approved service/external reachability. The fabric owner controls the first. The domain and security-edge owners coordinate the second and third through isolated handoffs. A service prefix may be routable without every host behind that prefix being authorized; the effective access policy remains independently constrained. Conversely, an allow rule is unusable without an appropriate forward and return route.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728"/>
        <w:gridCol w:w="4174"/>
        <w:gridCol w:w="4178"/>
      </w:tblGrid>
      <w:tr>
        <w:trPr>
          <w:tblHeader w:val="true"/>
          <w:cantSplit w:val="true"/>
        </w:trPr>
        <w:tc>
          <w:tcPr>
            <w:tcW w:w="172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Routing scope</w:t>
            </w:r>
          </w:p>
        </w:tc>
        <w:tc>
          <w:tcPr>
            <w:tcW w:w="417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Permitted content and owner</w:t>
            </w:r>
          </w:p>
        </w:tc>
        <w:tc>
          <w:tcPr>
            <w:tcW w:w="417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Excluded shortcut</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Transport</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Provider loopbacks, tunnel-endpoint and approved attachment transport; network owner.</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Importing all tenant prefixes solely to make troubleshooting convenient.</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Domain-local</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Networks belonging to one approved Security Domain Instance; platform owner.</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Attaching OZ and RZ networks to one unrestricted native router.</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Boundary</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Explicit adjacent-domain prefixes and approved service/external routes; edge owner.</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One common connected segment or default route that bypasses the ZIP.</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Management</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Named administrative targets and authorized executors; management owner.</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Workload access to management addresses or unrestricted MZ-to-MZ transit.</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Storage/mobility</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Provider endpoint membership and permitted infrastructure paths; platform/storage owners.</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guest bridging onto storage replication or live-mobility transport.</w:t>
            </w:r>
          </w:p>
        </w:tc>
      </w:tr>
    </w:tbl>
    <w:p>
      <w:pPr>
        <w:pStyle w:val="Normal"/>
        <w:spacing w:lineRule="auto" w:line="240" w:before="0" w:after="40"/>
        <w:rPr/>
      </w:pPr>
      <w:r>
        <w:rPr/>
      </w:r>
    </w:p>
    <w:p>
      <w:pPr>
        <w:pStyle w:val="Normal"/>
        <w:rPr/>
      </w:pPr>
      <w:r>
        <w:rPr/>
        <w:t>A default route may be part of a qualified native attachment, but its only next hop must lead to the authorized security treatment. The architecture does not assume that absence of a default route is the only safe design. Review more-specific connected, static, learned and policy-routed paths because they can defeat an apparently correct default. On inter-vendor handoffs, document the actual routing protocol, neighbour, accepted/advertised prefixes and next-hop resolution; native overlay identifiers are not a cross-platform contract.</w:t>
      </w:r>
    </w:p>
    <w:p>
      <w:pPr>
        <w:pStyle w:val="Normal"/>
        <w:rPr/>
      </w:pPr>
      <w:r>
        <w:rPr/>
        <w:t>The site engineer selects an underlay and multihoming design supported by the complete hardware/software combination. Record the routing process, ASN allocation, permitted peers, import/export policy, route scale, administrative protection and maintenance withdrawal. Do not assume a cross-vendor MLAG pair, universal EVPN feature parity or that a transport-only VLAN is itself a security zone.</w:t>
      </w:r>
    </w:p>
    <w:p>
      <w:pPr>
        <w:pStyle w:val="Navigation"/>
        <w:rPr/>
      </w:pPr>
      <w:r>
        <w:rPr/>
        <w:t xml:space="preserve">Related engineering: </w:t>
      </w:r>
      <w:r>
        <w:fldChar w:fldCharType="begin"/>
      </w:r>
      <w:r>
        <w:rPr>
          <w:rStyle w:val="Style"/>
          <w:u w:val="single"/>
          <w:color w:val="176B70"/>
        </w:rPr>
        <w:instrText xml:space="preserve"> HYPERLINK "03_Vendor_Stack_Realizations_v1_4.docx" \l "VND_s_001"</w:instrText>
      </w:r>
      <w:r>
        <w:rPr>
          <w:rStyle w:val="Style"/>
          <w:u w:val="single"/>
          <w:color w:val="176B70"/>
        </w:rPr>
        <w:fldChar w:fldCharType="separate"/>
      </w:r>
      <w:r>
        <w:rPr>
          <w:rStyle w:val="Style"/>
          <w:color w:val="176B70"/>
          <w:u w:val="single"/>
        </w:rPr>
        <w:t>Common two-tenant reference environment</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"QUAL_s_002"</w:instrText>
      </w:r>
      <w:r>
        <w:rPr>
          <w:rStyle w:val="Style"/>
          <w:u w:val="single"/>
          <w:color w:val="176B70"/>
        </w:rPr>
        <w:fldChar w:fldCharType="separate"/>
      </w:r>
      <w:r>
        <w:rPr>
          <w:rStyle w:val="Style"/>
          <w:color w:val="176B70"/>
          <w:u w:val="single"/>
        </w:rPr>
        <w:t>Site and failure-domain schedule</w:t>
      </w:r>
      <w:r>
        <w:rPr>
          <w:rStyle w:val="Style"/>
          <w:u w:val="single"/>
          <w:color w:val="176B70"/>
        </w:rPr>
        <w:fldChar w:fldCharType="end"/>
      </w:r>
    </w:p>
    <w:p>
      <w:pPr>
        <w:pStyle w:val="Heading1"/>
        <w:rPr/>
      </w:pPr>
      <w:bookmarkStart w:id="4" w:name="__RefHeading___Toc5747_1525915568"/>
      <w:bookmarkStart w:id="5" w:name="NET_s_002"/>
      <w:bookmarkEnd w:id="4"/>
      <w:r>
        <w:rPr/>
        <w:t>2. Isolated attachment units and bounded capacity</w:t>
      </w:r>
      <w:bookmarkEnd w:id="5"/>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"RA_s_004"</w:instrText>
      </w:r>
      <w:r>
        <w:rPr>
          <w:rStyle w:val="Style"/>
          <w:u w:val="single"/>
          <w:color w:val="176B70"/>
        </w:rPr>
        <w:fldChar w:fldCharType="separate"/>
      </w:r>
      <w:r>
        <w:rPr>
          <w:rStyle w:val="Style"/>
          <w:color w:val="176B70"/>
          <w:u w:val="single"/>
        </w:rPr>
        <w:t>RA §4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"RA_s_005"</w:instrText>
      </w:r>
      <w:r>
        <w:rPr>
          <w:rStyle w:val="Style"/>
          <w:u w:val="single"/>
          <w:color w:val="176B70"/>
        </w:rPr>
        <w:fldChar w:fldCharType="separate"/>
      </w:r>
      <w:r>
        <w:rPr>
          <w:rStyle w:val="Style"/>
          <w:color w:val="176B70"/>
          <w:u w:val="single"/>
        </w:rPr>
        <w:t>RA §5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"RA_s_008"</w:instrText>
      </w:r>
      <w:r>
        <w:rPr>
          <w:rStyle w:val="Style"/>
          <w:u w:val="single"/>
          <w:color w:val="176B70"/>
        </w:rPr>
        <w:fldChar w:fldCharType="separate"/>
      </w:r>
      <w:r>
        <w:rPr>
          <w:rStyle w:val="Style"/>
          <w:color w:val="176B70"/>
          <w:u w:val="single"/>
        </w:rPr>
        <w:t>RA §8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"RA_s_016"</w:instrText>
      </w:r>
      <w:r>
        <w:rPr>
          <w:rStyle w:val="Style"/>
          <w:u w:val="single"/>
          <w:color w:val="176B70"/>
        </w:rPr>
        <w:fldChar w:fldCharType="separate"/>
      </w:r>
      <w:r>
        <w:rPr>
          <w:rStyle w:val="Style"/>
          <w:color w:val="176B70"/>
          <w:u w:val="single"/>
        </w:rPr>
        <w:t>RA §16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"RA_s_017"</w:instrText>
      </w:r>
      <w:r>
        <w:rPr>
          <w:rStyle w:val="Style"/>
          <w:u w:val="single"/>
          <w:color w:val="176B70"/>
        </w:rPr>
        <w:fldChar w:fldCharType="separate"/>
      </w:r>
      <w:r>
        <w:rPr>
          <w:rStyle w:val="Style"/>
          <w:color w:val="176B70"/>
          <w:u w:val="single"/>
        </w:rPr>
        <w:t>RA §17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"RA_s_018"</w:instrText>
      </w:r>
      <w:r>
        <w:rPr>
          <w:rStyle w:val="Style"/>
          <w:u w:val="single"/>
          <w:color w:val="176B70"/>
        </w:rPr>
        <w:fldChar w:fldCharType="separate"/>
      </w:r>
      <w:r>
        <w:rPr>
          <w:rStyle w:val="Style"/>
          <w:color w:val="176B70"/>
          <w:u w:val="single"/>
        </w:rPr>
        <w:t>RA §18</w:t>
      </w:r>
      <w:r>
        <w:rPr>
          <w:rStyle w:val="Style"/>
          <w:u w:val="single"/>
          <w:color w:val="176B70"/>
        </w:rPr>
        <w:fldChar w:fldCharType="end"/>
      </w:r>
    </w:p>
    <w:p>
      <w:pPr>
        <w:pStyle w:val="Normal"/>
        <w:rPr/>
      </w:pPr>
      <w:r>
        <w:rPr/>
        <w:t>An attachment unit is one allocated routing and enforcement identity connecting a domain instance to its approved boundary service. It includes the domain-facing association, the security-service-facing association, address-family policy, permitted prefixes, lifecycle owner and its actual redundant transport members. An attachment unit is not inherently one VLAN, one cable, one firewall port or one vendor object. The chosen realization may require several of those resources.</w:t>
      </w:r>
    </w:p>
    <w:p>
      <w:pPr>
        <w:pStyle w:val="Normal"/>
        <w:rPr/>
      </w:pPr>
      <w:r>
        <w:rPr/>
        <w:t>Use a separately isolated attachment as the baseline until sharing is proven. Sharing physical links is different from sharing a connected IP subnet. Where a shared segment exists, show how neighbour discovery, connected routes, gateway forwarding, NAT hairpin and source spoofing are constrained before a packet can reach another domain. A downstream firewall cannot protect traffic that never reaches it. [</w:t>
      </w:r>
      <w:hyperlink w:anchor="NET_src_B2">
        <w:r>
          <w:rPr>
            <w:rStyle w:val="Style"/>
            <w:color w:val="176B70"/>
            <w:u w:val="single"/>
          </w:rPr>
          <w:t>B2</w:t>
        </w:r>
      </w:hyperlink>
      <w:r>
        <w:rPr/>
        <w:t xml:space="preserve"> §§8, 16–18]</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728"/>
        <w:gridCol w:w="4174"/>
        <w:gridCol w:w="4178"/>
      </w:tblGrid>
      <w:tr>
        <w:trPr>
          <w:tblHeader w:val="true"/>
          <w:cantSplit w:val="true"/>
        </w:trPr>
        <w:tc>
          <w:tcPr>
            <w:tcW w:w="172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Attachment record</w:t>
            </w:r>
          </w:p>
        </w:tc>
        <w:tc>
          <w:tcPr>
            <w:tcW w:w="417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Reference example</w:t>
            </w:r>
          </w:p>
        </w:tc>
        <w:tc>
          <w:tcPr>
            <w:tcW w:w="417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Site decision still needed</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Owner and purpose</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A01O connects tenant-01 OZ instance D01O to its approved security service.</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Native gateway/context, actual endpoint IDs and operating owner.</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Routing scope</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Only P01O and approved return/service prefixes; separate from D02O.</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Allocated prefixes, route installation method and maximum-prefix value.</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Boundary association</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Relation Z01 joins D01O and D01R under joint approval.</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Firewall/edge contexts and policy management model.</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Transport and HA</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At least the redundancy required by the selected service; no new uninspected route on failure.</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Actual member links, nodes, HA mode and convergence/session objective.</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Security identity</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Tenant/domain/WSD attribution preserved across translation if present.</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Native anti-spoofing, tags, interfaces and log correlation.</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Lifecycle</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Reserved → configured under deny → verified → allocated → drained → quarantined/reusable.</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Reservation timeout, reuse condition and authoritative inventory.</w:t>
            </w:r>
          </w:p>
        </w:tc>
      </w:tr>
    </w:tbl>
    <w:p>
      <w:pPr>
        <w:pStyle w:val="Normal"/>
        <w:spacing w:lineRule="auto" w:line="240" w:before="0" w:after="40"/>
        <w:rPr/>
      </w:pPr>
      <w:r>
        <w:rPr/>
      </w:r>
    </w:p>
    <w:p>
      <w:pPr>
        <w:pStyle w:val="Normal"/>
        <w:rPr/>
      </w:pPr>
      <w:r>
        <w:rPr/>
        <w:t>For the common fixture, four independent domain instances require four logical domain attachments: A01O, A01R, A02O and A02R. This is not a count of physical links or device instances. Two tenant OZ↔RZ relations are required. Shared services may require additional boundary associations; these are counted from their actual placement and cannot be hidden inside the four-domain number. Redundant members and management attachments are accounted for separately.</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047"/>
        <w:gridCol w:w="4095"/>
        <w:gridCol w:w="3937"/>
      </w:tblGrid>
      <w:tr>
        <w:trPr>
          <w:tblHeader w:val="true"/>
          <w:cantSplit w:val="true"/>
        </w:trPr>
        <w:tc>
          <w:tcPr>
            <w:tcW w:w="204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Capacity layer</w:t>
            </w:r>
          </w:p>
        </w:tc>
        <w:tc>
          <w:tcPr>
            <w:tcW w:w="409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Accounting rule</w:t>
            </w:r>
          </w:p>
        </w:tc>
        <w:tc>
          <w:tcPr>
            <w:tcW w:w="393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Exhaustion behaviour</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Logical domain contexts</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Available = accepted usable contexts − allocated − reserved − unavailable/retiring.</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Queue or select another qualified cell; never merge tenant contexts.</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HA transport members</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Count physical/logical members needed per attachment in the selected failure model.</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 not offer a redundant service on a single surviving unqualified path.</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Policy/session capacity</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Measure policy objects, connections and inspected traffic under failure.</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free context does not justify accepting workload load beyond surviving capacity.</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Physical attachment inventory</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Precommission only supported contexts/ports/identifiers; retain ownership of spare slots.</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Expansion is a P1/P3 foundation change, not a tenant workaround.</w:t>
            </w:r>
          </w:p>
        </w:tc>
      </w:tr>
    </w:tbl>
    <w:p>
      <w:pPr>
        <w:pStyle w:val="Normal"/>
        <w:spacing w:lineRule="auto" w:line="240" w:before="0" w:after="40"/>
        <w:rPr/>
      </w:pPr>
      <w:r>
        <w:rPr/>
      </w:r>
    </w:p>
    <w:p>
      <w:pPr>
        <w:pStyle w:val="Normal"/>
        <w:rPr/>
      </w:pPr>
      <w:r>
        <w:rPr/>
        <w:t>Allocation reserves the whole required bundle, not merely the first free VLAN. Failed provisioning leaves the reservation owned while native task outcomes are reconciled. Reuse follows withdrawal of routes, sessions, addresses and policy plus the selected quarantine checks. Spare capacity is a service-design cost and should be measured against delivery latency and failure reserve, not presented as free scalability.</w:t>
      </w:r>
    </w:p>
    <w:p>
      <w:pPr>
        <w:pStyle w:val="Navigation"/>
        <w:rPr/>
      </w:pPr>
      <w:r>
        <w:rPr/>
        <w:t xml:space="preserve">Related engineering: </w:t>
      </w:r>
      <w:r>
        <w:fldChar w:fldCharType="begin"/>
      </w:r>
      <w:r>
        <w:rPr>
          <w:rStyle w:val="Style"/>
          <w:u w:val="single"/>
          <w:color w:val="176B70"/>
        </w:rPr>
        <w:instrText xml:space="preserve"> HYPERLINK "04_Provisioning_and_Commissioning_v1_4.docx" \l "PROV_s_001"</w:instrText>
      </w:r>
      <w:r>
        <w:rPr>
          <w:rStyle w:val="Style"/>
          <w:u w:val="single"/>
          <w:color w:val="176B70"/>
        </w:rPr>
        <w:fldChar w:fldCharType="separate"/>
      </w:r>
      <w:r>
        <w:rPr>
          <w:rStyle w:val="Style"/>
          <w:color w:val="176B70"/>
          <w:u w:val="single"/>
        </w:rPr>
        <w:t>Provisioning handoff contents</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"QUAL_s_003"</w:instrText>
      </w:r>
      <w:r>
        <w:rPr>
          <w:rStyle w:val="Style"/>
          <w:u w:val="single"/>
          <w:color w:val="176B70"/>
        </w:rPr>
        <w:fldChar w:fldCharType="separate"/>
      </w:r>
      <w:r>
        <w:rPr>
          <w:rStyle w:val="Style"/>
          <w:color w:val="176B70"/>
          <w:u w:val="single"/>
        </w:rPr>
        <w:t>Capacity admission example</w:t>
      </w:r>
      <w:r>
        <w:rPr>
          <w:rStyle w:val="Style"/>
          <w:u w:val="single"/>
          <w:color w:val="176B70"/>
        </w:rPr>
        <w:fldChar w:fldCharType="end"/>
      </w:r>
    </w:p>
    <w:p>
      <w:pPr>
        <w:pStyle w:val="Heading1"/>
        <w:rPr/>
      </w:pPr>
      <w:bookmarkStart w:id="6" w:name="__RefHeading___Toc5749_1525915568"/>
      <w:bookmarkStart w:id="7" w:name="NET_s_003"/>
      <w:bookmarkEnd w:id="6"/>
      <w:r>
        <w:rPr/>
        <w:t>3. Worked inter-zone routing and enforcement schedule</w:t>
      </w:r>
      <w:bookmarkEnd w:id="7"/>
    </w:p>
    <w:p>
      <w:pPr>
        <w:pStyle w:val="Normal"/>
        <w:spacing w:before="0" w:after="160"/>
        <w:rPr/>
      </w:pPr>
      <w:r>
        <w:rPr/>
        <w:t>WD §§5–7 supplies an illustrative exact-prefix and next-hop schedule. Its service return path is explicit: each service endpoint returns the originating tenant prefixes through that tenant's service-edge context. A shared service segment is behind the controls, not an uninspected connection between native tenant gateways. Actual connected, source-validation and reverse-session behavior must still be qualified.</w:t>
      </w:r>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"RA_s_008"</w:instrText>
      </w:r>
      <w:r>
        <w:rPr>
          <w:rStyle w:val="Style"/>
          <w:u w:val="single"/>
          <w:color w:val="176B70"/>
        </w:rPr>
        <w:fldChar w:fldCharType="separate"/>
      </w:r>
      <w:r>
        <w:rPr>
          <w:rStyle w:val="Style"/>
          <w:color w:val="176B70"/>
          <w:u w:val="single"/>
        </w:rPr>
        <w:t>RA §8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"RA_s_010"</w:instrText>
      </w:r>
      <w:r>
        <w:rPr>
          <w:rStyle w:val="Style"/>
          <w:u w:val="single"/>
          <w:color w:val="176B70"/>
        </w:rPr>
        <w:fldChar w:fldCharType="separate"/>
      </w:r>
      <w:r>
        <w:rPr>
          <w:rStyle w:val="Style"/>
          <w:color w:val="176B70"/>
          <w:u w:val="single"/>
        </w:rPr>
        <w:t>RA §10</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"RA_s_023"</w:instrText>
      </w:r>
      <w:r>
        <w:rPr>
          <w:rStyle w:val="Style"/>
          <w:u w:val="single"/>
          <w:color w:val="176B70"/>
        </w:rPr>
        <w:fldChar w:fldCharType="separate"/>
      </w:r>
      <w:r>
        <w:rPr>
          <w:rStyle w:val="Style"/>
          <w:color w:val="176B70"/>
          <w:u w:val="single"/>
        </w:rPr>
        <w:t>RA §23</w:t>
      </w:r>
      <w:r>
        <w:rPr>
          <w:rStyle w:val="Style"/>
          <w:u w:val="single"/>
          <w:color w:val="176B70"/>
        </w:rPr>
        <w:fldChar w:fldCharType="end"/>
      </w:r>
    </w:p>
    <w:p>
      <w:pPr>
        <w:pStyle w:val="Normal"/>
        <w:rPr/>
      </w:pPr>
      <w:r>
        <w:rPr/>
        <w:t>Use the VND §1 fixture: P01O and P01R are symbolic allocated prefixes for tenant-01; P02O and P02R belong to tenant-02. They are not real address allocations. REF-DATA-HTTPS is a deliberately simple test service using TCP/443 with endpoint TLS validation, not an application architecture. Only the declared processor endpoint may initiate to its own data endpoint. Other intra-tenant and cross-tenant communication remains denied unless explicitly added.</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728"/>
        <w:gridCol w:w="4414"/>
        <w:gridCol w:w="3937"/>
      </w:tblGrid>
      <w:tr>
        <w:trPr>
          <w:tblHeader w:val="true"/>
          <w:cantSplit w:val="true"/>
        </w:trPr>
        <w:tc>
          <w:tcPr>
            <w:tcW w:w="172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Path ID / purpose</w:t>
            </w:r>
          </w:p>
        </w:tc>
        <w:tc>
          <w:tcPr>
            <w:tcW w:w="441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Forward path and initiating authority</w:t>
            </w:r>
          </w:p>
        </w:tc>
        <w:tc>
          <w:tcPr>
            <w:tcW w:w="393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Reply and mandatory denial</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PATH-01 · tenant-01 data service</w:t>
            </w:r>
          </w:p>
        </w:tc>
        <w:tc>
          <w:tcPr>
            <w:tcW w:w="441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processor-01 → D01O gateway → A01O → Z01 → A01R → D01R gateway → data-01.</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Stateful return along the qualified reverse path; no unsolicited data-01→processor-01 initiation.</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PATH-02 · tenant-02 data service</w:t>
            </w:r>
          </w:p>
        </w:tc>
        <w:tc>
          <w:tcPr>
            <w:tcW w:w="441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Equivalent D02O/A02O/Z02/A02R/D02R path with independently owned policy.</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Same expected outcome; no permission inherited from Z01.</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PATH-03 · cross-tenant</w:t>
            </w:r>
          </w:p>
        </w:tc>
        <w:tc>
          <w:tcPr>
            <w:tcW w:w="441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D01O/R towards D02O/R is not an approved relation.</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Deny both initiations; no shared external segment, native route or generic transit bypass.</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PATH-04 · shared resolver</w:t>
            </w:r>
          </w:p>
        </w:tc>
        <w:tc>
          <w:tcPr>
            <w:tcW w:w="441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Each entitled endpoint → its approved service boundary → resolver endpoint.</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UDP/TCP replies tied to intended service; no access to resolver administration or other provider endpoints.</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PATH-05 · management</w:t>
            </w:r>
          </w:p>
        </w:tc>
        <w:tc>
          <w:tcPr>
            <w:tcW w:w="441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Authorized privileged source → management-specific boundary → named platform or edge interface.</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Return only to authorized management scope; no guest path into the same administrative endpoint.</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PATH-06 · same-domain probe</w:t>
            </w:r>
          </w:p>
        </w:tc>
        <w:tc>
          <w:tcPr>
            <w:tcW w:w="441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Two disposable endpoints in one approved domain, same host and different hosts.</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Only explicit test permit succeeds; endpoint controls enforce denial even without a gateway hop.</w:t>
            </w:r>
          </w:p>
        </w:tc>
      </w:tr>
    </w:tbl>
    <w:p>
      <w:pPr>
        <w:pStyle w:val="Normal"/>
        <w:spacing w:lineRule="auto" w:line="240" w:before="0" w:after="40"/>
        <w:rPr/>
      </w:pPr>
      <w:r>
        <w:rPr/>
      </w:r>
    </w:p>
    <w:p>
      <w:pPr>
        <w:pStyle w:val="Normal"/>
        <w:rPr/>
      </w:pPr>
      <w:r>
        <w:rPr/>
        <w:t>For PATH-01, the source gateway owns P01O as its local domain network and reaches P01R through the isolated boundary handoff. The ZIP has the intended path back to both domains. The destination gateway has a path to P01O through the same authorized relationship. Record these as actual prefix/next-hop entries after implementation. A shared next hop is acceptable only within a demonstrated isolated routing context; the diagram alone does not establish it.</w:t>
      </w:r>
    </w:p>
    <w:p>
      <w:pPr>
        <w:pStyle w:val="Normal"/>
        <w:rPr/>
      </w:pPr>
      <w:r>
        <w:rPr/>
        <w:t>Review translation explicitly. The preferred unique-address internal pattern preserves source identity without NAT where supported. A translation alternative records original and translated address/port tuples and the authoritative owner of each mapping. It must not turn two different domain identities into an indistinguishable permission or create a hairpin shortcut. Policy-based routing also requires a defined unavailable-next-hop behaviour; falling back to an uninspected ordinary route is not acceptable.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5"/>
        <w:gridCol w:w="4020"/>
        <w:gridCol w:w="4095"/>
      </w:tblGrid>
      <w:tr>
        <w:trPr>
          <w:tblHeader w:val="true"/>
          <w:cantSplit w:val="true"/>
        </w:trPr>
        <w:tc>
          <w:tcPr>
            <w:tcW w:w="19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Condition</w:t>
            </w:r>
          </w:p>
        </w:tc>
        <w:tc>
          <w:tcPr>
            <w:tcW w:w="402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reference behaviour</w:t>
            </w:r>
          </w:p>
        </w:tc>
        <w:tc>
          <w:tcPr>
            <w:tcW w:w="409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Observation to collect</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Permit removed</w:t>
            </w:r>
          </w:p>
        </w:tc>
        <w:tc>
          <w:tcPr>
            <w:tcW w:w="402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New sessions denied; existing sessions terminated or drained within the approved service limit.</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Policy commit, session state, subsequent probes and attributed logs.</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Edge member lost</w:t>
            </w:r>
          </w:p>
        </w:tc>
        <w:tc>
          <w:tcPr>
            <w:tcW w:w="402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Remaining qualified path preserves inspection and declared session behaviour.</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Forward and reverse hop/enforcement ownership, drops and convergence.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Management unavailable</w:t>
            </w:r>
          </w:p>
        </w:tc>
        <w:tc>
          <w:tcPr>
            <w:tcW w:w="402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new uncontrolled policy; running enforcement follows proven native behaviour.</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Current policy and service effect, not just manager reachability.</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Route withdrawn</w:t>
            </w:r>
          </w:p>
        </w:tc>
        <w:tc>
          <w:tcPr>
            <w:tcW w:w="402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alternate path outside the declared boundary appears.</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Native and physical forwarding state and healthy negative-test controls.</w:t>
            </w:r>
          </w:p>
        </w:tc>
      </w:tr>
    </w:tbl>
    <w:p>
      <w:pPr>
        <w:pStyle w:val="Normal"/>
        <w:spacing w:lineRule="auto" w:line="240" w:before="0" w:after="40"/>
        <w:rPr/>
      </w:pPr>
      <w:r>
        <w:rPr/>
      </w:r>
    </w:p>
    <w:p>
      <w:pPr>
        <w:pStyle w:val="Normal"/>
        <w:rPr/>
      </w:pPr>
      <w:r>
        <w:rPr/>
        <w:t>The path schedule is accepted only when native connected/distributed routes and observed traffic agree with the intended boundary. Use authorized test endpoints and a controlled outage scope. Denial tests must establish that the destination and the allowed control flow are healthy; a timeout alone does not prove isolation.</w:t>
      </w:r>
    </w:p>
    <w:p>
      <w:pPr>
        <w:pStyle w:val="Navigation"/>
        <w:rPr/>
      </w:pPr>
      <w:r>
        <w:rPr/>
        <w:t xml:space="preserve">Related engineering: </w:t>
      </w:r>
      <w:r>
        <w:fldChar w:fldCharType="begin"/>
      </w:r>
      <w:r>
        <w:rPr>
          <w:rStyle w:val="Style"/>
          <w:u w:val="single"/>
          <w:color w:val="176B70"/>
        </w:rPr>
        <w:instrText xml:space="preserve"> HYPERLINK "03_Vendor_Stack_Realizations_v1_4.docx" \l "VND_s_003"</w:instrText>
      </w:r>
      <w:r>
        <w:rPr>
          <w:rStyle w:val="Style"/>
          <w:u w:val="single"/>
          <w:color w:val="176B70"/>
        </w:rPr>
        <w:fldChar w:fldCharType="separate"/>
      </w:r>
      <w:r>
        <w:rPr>
          <w:rStyle w:val="Style"/>
          <w:color w:val="176B70"/>
          <w:u w:val="single"/>
        </w:rPr>
        <w:t>Nutanix path realization</w:t>
      </w:r>
      <w:r>
        <w:rPr>
          <w:rStyle w:val="Style"/>
          <w:u w:val="single"/>
          <w:color w:val="176B70"/>
        </w:rPr>
        <w:fldChar w:fldCharType="end"/>
      </w:r>
      <w:r>
        <w:rPr/>
        <w:t xml:space="preserve">  •  </w:t>
      </w:r>
      <w:r>
        <w:fldChar w:fldCharType="begin"/>
      </w:r>
      <w:r>
        <w:rPr>
          <w:rStyle w:val="Style"/>
          <w:u w:val="single"/>
          <w:color w:val="176B70"/>
        </w:rPr>
        <w:instrText xml:space="preserve"> HYPERLINK "03_Vendor_Stack_Realizations_v1_4.docx" \l "VND_s_004"</w:instrText>
      </w:r>
      <w:r>
        <w:rPr>
          <w:rStyle w:val="Style"/>
          <w:u w:val="single"/>
          <w:color w:val="176B70"/>
        </w:rPr>
        <w:fldChar w:fldCharType="separate"/>
      </w:r>
      <w:r>
        <w:rPr>
          <w:rStyle w:val="Style"/>
          <w:color w:val="176B70"/>
          <w:u w:val="single"/>
        </w:rPr>
        <w:t>VMware/NSX path realization</w:t>
      </w:r>
      <w:r>
        <w:rPr>
          <w:rStyle w:val="Style"/>
          <w:u w:val="single"/>
          <w:color w:val="176B70"/>
        </w:rPr>
        <w:fldChar w:fldCharType="end"/>
      </w:r>
      <w:r>
        <w:rPr/>
        <w:t xml:space="preserve">  •  </w:t>
      </w:r>
      <w:r>
        <w:fldChar w:fldCharType="begin"/>
      </w:r>
      <w:r>
        <w:rPr>
          <w:rStyle w:val="Style"/>
          <w:u w:val="single"/>
          <w:color w:val="176B70"/>
        </w:rPr>
        <w:instrText xml:space="preserve"> HYPERLINK "03_Vendor_Stack_Realizations_v1_4.docx" \l "VND_s_005"</w:instrText>
      </w:r>
      <w:r>
        <w:rPr>
          <w:rStyle w:val="Style"/>
          <w:u w:val="single"/>
          <w:color w:val="176B70"/>
        </w:rPr>
        <w:fldChar w:fldCharType="separate"/>
      </w:r>
      <w:r>
        <w:rPr>
          <w:rStyle w:val="Style"/>
          <w:color w:val="176B70"/>
          <w:u w:val="single"/>
        </w:rPr>
        <w:t>OpenStack path realization</w:t>
      </w:r>
      <w:r>
        <w:rPr>
          <w:rStyle w:val="Style"/>
          <w:u w:val="single"/>
          <w:color w:val="176B70"/>
        </w:rPr>
        <w:fldChar w:fldCharType="end"/>
      </w:r>
    </w:p>
    <w:p>
      <w:pPr>
        <w:pStyle w:val="Heading1"/>
        <w:rPr/>
      </w:pPr>
      <w:bookmarkStart w:id="8" w:name="__RefHeading___Toc5751_1525915568"/>
      <w:bookmarkStart w:id="9" w:name="NET_s_004"/>
      <w:bookmarkEnd w:id="8"/>
      <w:r>
        <w:rPr/>
        <w:t>4. Address, naming and protocol-family decisions</w:t>
      </w:r>
      <w:bookmarkEnd w:id="9"/>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"RA_s_009"</w:instrText>
      </w:r>
      <w:r>
        <w:rPr>
          <w:rStyle w:val="Style"/>
          <w:u w:val="single"/>
          <w:color w:val="176B70"/>
        </w:rPr>
        <w:fldChar w:fldCharType="separate"/>
      </w:r>
      <w:r>
        <w:rPr>
          <w:rStyle w:val="Style"/>
          <w:color w:val="176B70"/>
          <w:u w:val="single"/>
        </w:rPr>
        <w:t>RA §9</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"RA_s_010"</w:instrText>
      </w:r>
      <w:r>
        <w:rPr>
          <w:rStyle w:val="Style"/>
          <w:u w:val="single"/>
          <w:color w:val="176B70"/>
        </w:rPr>
        <w:fldChar w:fldCharType="separate"/>
      </w:r>
      <w:r>
        <w:rPr>
          <w:rStyle w:val="Style"/>
          <w:color w:val="176B70"/>
          <w:u w:val="single"/>
        </w:rPr>
        <w:t>RA §10</w:t>
      </w:r>
      <w:r>
        <w:rPr>
          <w:rStyle w:val="Style"/>
          <w:u w:val="single"/>
          <w:color w:val="176B70"/>
        </w:rPr>
        <w:fldChar w:fldCharType="end"/>
      </w:r>
    </w:p>
    <w:p>
      <w:pPr>
        <w:pStyle w:val="Normal"/>
        <w:rPr/>
      </w:pPr>
      <w:r>
        <w:rPr/>
        <w:t>The site design delegates non-overlapping address authorities for transport, management, provider services, attachments and workloads. A native platform allocator may own an explicitly delegated scope; it must not compete with enterprise IPAM over the same addresses. Prefix length follows workload growth, routing and operational constraints, not a universal allocation per tenant. Address ownership remains attributable after retirement.</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728"/>
        <w:gridCol w:w="4493"/>
        <w:gridCol w:w="3859"/>
      </w:tblGrid>
      <w:tr>
        <w:trPr>
          <w:tblHeader w:val="true"/>
          <w:cantSplit w:val="true"/>
        </w:trPr>
        <w:tc>
          <w:tcPr>
            <w:tcW w:w="172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Offered mode</w:t>
            </w:r>
          </w:p>
        </w:tc>
        <w:tc>
          <w:tcPr>
            <w:tcW w:w="4493"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path evidence</w:t>
            </w:r>
          </w:p>
        </w:tc>
        <w:tc>
          <w:tcPr>
            <w:tcW w:w="385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Do not infer</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IPv4-only</w:t>
            </w:r>
          </w:p>
        </w:tc>
        <w:tc>
          <w:tcPr>
            <w:tcW w:w="449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Approved IPv4 transport/service paths plus defined IPv6 link-local and transition posture.</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That no IPv6-capable endpoint exists merely because no global IPv6 prefix was allocated.</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IPv6-only</w:t>
            </w:r>
          </w:p>
        </w:tc>
        <w:tc>
          <w:tcPr>
            <w:tcW w:w="449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IPv6 allocation, local control, routing, ZIP, DNS, monitoring and recovery work end to end.</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 fictitious IPv4 prefix to satisfy an implementation form; silent dependence on an unavailable IPv4 service.</w:t>
            </w:r>
          </w:p>
        </w:tc>
      </w:tr>
      <w:tr>
        <w:trPr>
          <w:cantSplit w:val="true"/>
        </w:trPr>
        <w:tc>
          <w:tcPr>
            <w:tcW w:w="172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Dual-stack</w:t>
            </w:r>
          </w:p>
        </w:tc>
        <w:tc>
          <w:tcPr>
            <w:tcW w:w="449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Both families pass the same security outcomes; family-specific local controls are tested.</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That an IPv4 firewall or backup success covers IPv6.</w:t>
            </w:r>
          </w:p>
        </w:tc>
      </w:tr>
    </w:tbl>
    <w:p>
      <w:pPr>
        <w:pStyle w:val="Normal"/>
        <w:spacing w:lineRule="auto" w:line="240" w:before="0" w:after="40"/>
        <w:rPr/>
      </w:pPr>
      <w:r>
        <w:rPr/>
      </w:r>
    </w:p>
    <w:p>
      <w:pPr>
        <w:pStyle w:val="Normal"/>
        <w:rPr/>
      </w:pPr>
      <w:r>
        <w:rPr/>
        <w:t>Each service class declares which of these modes it actually offers. Unsupported combinations are excluded or require a separately qualified mediation service. A platform capability flag does not prove a complete service path. Necessary IPv6 neighbour, router-advertisement and ICMPv6 behaviour is addressed in the selected network profile; record source validation and allowed local control rather than disabling the protocol indiscriminately. [</w:t>
      </w:r>
      <w:hyperlink w:anchor="NET_src_B2">
        <w:r>
          <w:rPr>
            <w:rStyle w:val="Style"/>
            <w:color w:val="176B70"/>
            <w:u w:val="single"/>
          </w:rPr>
          <w:t>B2</w:t>
        </w:r>
      </w:hyperlink>
      <w:r>
        <w:rPr/>
        <w:t xml:space="preserve"> §10]</w:t>
      </w:r>
    </w:p>
    <w:p>
      <w:pPr>
        <w:pStyle w:val="Normal"/>
        <w:rPr/>
      </w:pPr>
      <w:r>
        <w:rPr/>
        <w:t>Name ownership is separate from address ownership. Specify authoritative zones, permitted updates, resolver endpoints, reverse registration, split-horizon behaviour and the cutover TTL. A rename or platform move should preserve logical service identity where required while retiring stale addresses safely. Allocate, register, observe, withdraw and quarantine are coordinated across IPAM, DNS, DHCP and edge policy.</w:t>
      </w:r>
    </w:p>
    <w:p>
      <w:pPr>
        <w:pStyle w:val="Navigation"/>
        <w:rPr/>
      </w:pPr>
      <w:r>
        <w:rPr/>
        <w:t xml:space="preserve">Related engineering: </w:t>
      </w:r>
      <w:r>
        <w:fldChar w:fldCharType="begin"/>
      </w:r>
      <w:r>
        <w:rPr>
          <w:rStyle w:val="Style"/>
          <w:u w:val="single"/>
          <w:color w:val="176B70"/>
        </w:rPr>
        <w:instrText xml:space="preserve"> HYPERLINK "05_Shared_Services_Data_and_Recovery_v1_4.docx" \l "SVC_s_002"</w:instrText>
      </w:r>
      <w:r>
        <w:rPr>
          <w:rStyle w:val="Style"/>
          <w:u w:val="single"/>
          <w:color w:val="176B70"/>
        </w:rPr>
        <w:fldChar w:fldCharType="separate"/>
      </w:r>
      <w:r>
        <w:rPr>
          <w:rStyle w:val="Style"/>
          <w:color w:val="176B70"/>
          <w:u w:val="single"/>
        </w:rPr>
        <w:t>DNS including TCP fallback</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"PROV_s_004"</w:instrText>
      </w:r>
      <w:r>
        <w:rPr>
          <w:rStyle w:val="Style"/>
          <w:u w:val="single"/>
          <w:color w:val="176B70"/>
        </w:rPr>
        <w:fldChar w:fldCharType="separate"/>
      </w:r>
      <w:r>
        <w:rPr>
          <w:rStyle w:val="Style"/>
          <w:color w:val="176B70"/>
          <w:u w:val="single"/>
        </w:rPr>
        <w:t>Activation and name cutover</w:t>
      </w:r>
      <w:r>
        <w:rPr>
          <w:rStyle w:val="Style"/>
          <w:u w:val="single"/>
          <w:color w:val="176B70"/>
        </w:rPr>
        <w:fldChar w:fldCharType="end"/>
      </w:r>
    </w:p>
    <w:p>
      <w:pPr>
        <w:pStyle w:val="Heading1"/>
        <w:rPr/>
      </w:pPr>
      <w:bookmarkStart w:id="10" w:name="__RefHeading___Toc5753_1525915568"/>
      <w:bookmarkStart w:id="11" w:name="NET_s_005"/>
      <w:bookmarkEnd w:id="10"/>
      <w:r>
        <w:rPr/>
        <w:t>5. MTU, performance and failure engineering</w:t>
      </w:r>
      <w:bookmarkEnd w:id="11"/>
    </w:p>
    <w:p>
      <w:pPr>
        <w:pStyle w:val="Normal"/>
        <w:spacing w:before="0" w:after="160"/>
        <w:rPr/>
      </w:pPr>
      <w:r>
        <w:rPr/>
        <w:t>WD §11 demonstrates layer-consistent MTU arithmetic. A 1450-byte guest IP packet plus the stated basic IPv4 VXLAN fields yields a 1500-byte outer IP packet; the IPv6 outer example yields 1520 bytes. These are declared packet-format assumptions, not a vendor configuration recommendation or a universal Geneve overhead.</w:t>
      </w:r>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"RA_s_005"</w:instrText>
      </w:r>
      <w:r>
        <w:rPr>
          <w:rStyle w:val="Style"/>
          <w:u w:val="single"/>
          <w:color w:val="176B70"/>
        </w:rPr>
        <w:fldChar w:fldCharType="separate"/>
      </w:r>
      <w:r>
        <w:rPr>
          <w:rStyle w:val="Style"/>
          <w:color w:val="176B70"/>
          <w:u w:val="single"/>
        </w:rPr>
        <w:t>RA §5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"RA_s_010"</w:instrText>
      </w:r>
      <w:r>
        <w:rPr>
          <w:rStyle w:val="Style"/>
          <w:u w:val="single"/>
          <w:color w:val="176B70"/>
        </w:rPr>
        <w:fldChar w:fldCharType="separate"/>
      </w:r>
      <w:r>
        <w:rPr>
          <w:rStyle w:val="Style"/>
          <w:color w:val="176B70"/>
          <w:u w:val="single"/>
        </w:rPr>
        <w:t>RA §10</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p>
    <w:p>
      <w:pPr>
        <w:pStyle w:val="Normal"/>
        <w:rPr/>
      </w:pPr>
      <w:r>
        <w:rPr/>
        <w:t>Build the MTU budget from the actual path rather than selecting one jumbo-frame number. State whether each limit refers to an IP packet, Ethernet payload or complete frame. For every link, identify all encapsulation layers present on that link, optional fields and implementation headroom. A tunnel packet that is decapsulated before the next hop does not carry that overhead on the entire end-to-end path.</w:t>
      </w:r>
    </w:p>
    <w:p>
      <w:pPr>
        <w:pStyle w:val="Normal"/>
        <w:rPr/>
      </w:pPr>
      <w:r>
        <w:rPr/>
        <w:t>For a declared workload IP MTU M, each segment carrying the encapsulated packet must support M plus the applicable overhead measured using the same layer convention. The accepted M is bounded by the smallest effective segment limit after those overheads. A second overlay, security tunnel or service insertion may add different overhead on only part of the path. Do not assume a universal VXLAN or Geneve overhead covers every implementation. [</w:t>
      </w:r>
      <w:hyperlink w:anchor="NET_src_B2">
        <w:r>
          <w:rPr>
            <w:rStyle w:val="Style"/>
            <w:color w:val="176B70"/>
            <w:u w:val="single"/>
          </w:rPr>
          <w:t>B2</w:t>
        </w:r>
      </w:hyperlink>
      <w:r>
        <w:rPr/>
        <w:t xml:space="preserve"> §§5, 10]</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5"/>
        <w:gridCol w:w="4174"/>
        <w:gridCol w:w="3941"/>
      </w:tblGrid>
      <w:tr>
        <w:trPr>
          <w:tblHeader w:val="true"/>
          <w:cantSplit w:val="true"/>
        </w:trPr>
        <w:tc>
          <w:tcPr>
            <w:tcW w:w="19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Budget row</w:t>
            </w:r>
          </w:p>
        </w:tc>
        <w:tc>
          <w:tcPr>
            <w:tcW w:w="417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Record</w:t>
            </w:r>
          </w:p>
        </w:tc>
        <w:tc>
          <w:tcPr>
            <w:tcW w:w="394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Acceptance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Guest to native switch</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Configured guest MTU, virtual NIC and segment limit.</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Guest can send the advertised packet size.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Native tunnel across fabric</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Outer addressing and encapsulations; NIC offload and transport limits.</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All ECMP paths and redundant members support the chosen size.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Gateway to ZIP</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Decapsulation/re-encapsulation point and security appliance interface limit.</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hidden lower-MTU handoff or inspection black hole.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Inter-site path</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Carrier/service MTU, additional encryption and actual route.</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Recovery/replication path supports the agreed packet profile.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Control feedback</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Permitted path-MTU signalling or documented supported alternative.</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Required operation works without blanket control-message denial.</w:t>
            </w:r>
          </w:p>
        </w:tc>
      </w:tr>
    </w:tbl>
    <w:p>
      <w:pPr>
        <w:pStyle w:val="Normal"/>
        <w:spacing w:lineRule="auto" w:line="240" w:before="0" w:after="40"/>
        <w:rPr/>
      </w:pPr>
      <w:r>
        <w:rPr/>
      </w:r>
    </w:p>
    <w:p>
      <w:pPr>
        <w:pStyle w:val="Normal"/>
        <w:rPr/>
      </w:pPr>
      <w:r>
        <w:rPr/>
        <w:t>Capacity qualification includes latency, sustained throughput, packets per second, session establishment, inspection, log export and convergence. Test at the same time as the accepted failure condition where that is part of the service promise. Separate established-session survival from new-session success and from the eventual recovery interval. Report the workload mix and packet sizes so results can be interpreted.</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5"/>
        <w:gridCol w:w="3937"/>
        <w:gridCol w:w="4178"/>
      </w:tblGrid>
      <w:tr>
        <w:trPr>
          <w:tblHeader w:val="true"/>
          <w:cantSplit w:val="true"/>
        </w:trPr>
        <w:tc>
          <w:tcPr>
            <w:tcW w:w="19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Fault case</w:t>
            </w:r>
          </w:p>
        </w:tc>
        <w:tc>
          <w:tcPr>
            <w:tcW w:w="393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Infrastructure concern</w:t>
            </w:r>
          </w:p>
        </w:tc>
        <w:tc>
          <w:tcPr>
            <w:tcW w:w="417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Safe result</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Single uplink or leaf</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Redundant attachment and ECMP convergence.</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loop or uninspected path; measured interruption meets the selected objective.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MLAG peer/keepalive or EVPN member</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Split-brain, orphan ports, duplicate forwarding and native fail actions.</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Only the qualified forwarding ownership survives.</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Gateway or security member</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State, routes, next-hop health and return ownership.</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permissive fallback; capacity remains within measured survivor envelope.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Storage/rebuild contention</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Shared network and storage reserve under recovery load.</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Advertised service remains feasible or explicitly degrades; no unauthorized placement.</w:t>
            </w:r>
          </w:p>
        </w:tc>
      </w:tr>
    </w:tbl>
    <w:p>
      <w:pPr>
        <w:pStyle w:val="Normal"/>
        <w:spacing w:lineRule="auto" w:line="240" w:before="0" w:after="40"/>
        <w:rPr/>
      </w:pPr>
      <w:r>
        <w:rPr/>
      </w:r>
    </w:p>
    <w:p>
      <w:pPr>
        <w:pStyle w:val="Navigation"/>
        <w:rPr/>
      </w:pPr>
      <w:r>
        <w:rPr/>
        <w:t xml:space="preserve">Related engineering: </w:t>
      </w:r>
      <w:r>
        <w:fldChar w:fldCharType="begin"/>
      </w:r>
      <w:r>
        <w:rPr>
          <w:rStyle w:val="Style"/>
          <w:u w:val="single"/>
          <w:color w:val="176B70"/>
        </w:rPr>
        <w:instrText xml:space="preserve"> HYPERLINK "06_Site_Design_Qualification_and_Operations_v1_4.docx" \l "QUAL_s_003"</w:instrText>
      </w:r>
      <w:r>
        <w:rPr>
          <w:rStyle w:val="Style"/>
          <w:u w:val="single"/>
          <w:color w:val="176B70"/>
        </w:rPr>
        <w:fldChar w:fldCharType="separate"/>
      </w:r>
      <w:r>
        <w:rPr>
          <w:rStyle w:val="Style"/>
          <w:color w:val="176B70"/>
          <w:u w:val="single"/>
        </w:rPr>
        <w:t>Unit-aware capacity model</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"QUAL_s_005"</w:instrText>
      </w:r>
      <w:r>
        <w:rPr>
          <w:rStyle w:val="Style"/>
          <w:u w:val="single"/>
          <w:color w:val="176B70"/>
        </w:rPr>
        <w:fldChar w:fldCharType="separate"/>
      </w:r>
      <w:r>
        <w:rPr>
          <w:rStyle w:val="Style"/>
          <w:color w:val="176B70"/>
          <w:u w:val="single"/>
        </w:rPr>
        <w:t>Qualification applicability</w:t>
      </w:r>
      <w:r>
        <w:rPr>
          <w:rStyle w:val="Style"/>
          <w:u w:val="single"/>
          <w:color w:val="176B70"/>
        </w:rPr>
        <w:fldChar w:fldCharType="end"/>
      </w:r>
    </w:p>
    <w:p>
      <w:pPr>
        <w:pStyle w:val="Heading1"/>
        <w:rPr/>
      </w:pPr>
      <w:bookmarkStart w:id="12" w:name="__RefHeading___Toc5755_1525915568"/>
      <w:bookmarkStart w:id="13" w:name="NET_s_006"/>
      <w:bookmarkEnd w:id="12"/>
      <w:r>
        <w:rPr/>
        <w:t>6. Management paths and interface handover</w:t>
      </w:r>
      <w:bookmarkEnd w:id="13"/>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"RA_s_006"</w:instrText>
      </w:r>
      <w:r>
        <w:rPr>
          <w:rStyle w:val="Style"/>
          <w:u w:val="single"/>
          <w:color w:val="176B70"/>
        </w:rPr>
        <w:fldChar w:fldCharType="separate"/>
      </w:r>
      <w:r>
        <w:rPr>
          <w:rStyle w:val="Style"/>
          <w:color w:val="176B70"/>
          <w:u w:val="single"/>
        </w:rPr>
        <w:t>RA §6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"RA_s_013"</w:instrText>
      </w:r>
      <w:r>
        <w:rPr>
          <w:rStyle w:val="Style"/>
          <w:u w:val="single"/>
          <w:color w:val="176B70"/>
        </w:rPr>
        <w:fldChar w:fldCharType="separate"/>
      </w:r>
      <w:r>
        <w:rPr>
          <w:rStyle w:val="Style"/>
          <w:color w:val="176B70"/>
          <w:u w:val="single"/>
        </w:rPr>
        <w:t>RA §13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"RA_s_020"</w:instrText>
      </w:r>
      <w:r>
        <w:rPr>
          <w:rStyle w:val="Style"/>
          <w:u w:val="single"/>
          <w:color w:val="176B70"/>
        </w:rPr>
        <w:fldChar w:fldCharType="separate"/>
      </w:r>
      <w:r>
        <w:rPr>
          <w:rStyle w:val="Style"/>
          <w:color w:val="176B70"/>
          <w:u w:val="single"/>
        </w:rPr>
        <w:t>RA §20</w:t>
      </w:r>
      <w:r>
        <w:rPr>
          <w:rStyle w:val="Style"/>
          <w:u w:val="single"/>
          <w:color w:val="176B70"/>
        </w:rPr>
        <w:fldChar w:fldCharType="end"/>
      </w:r>
    </w:p>
    <w:p>
      <w:pPr>
        <w:pStyle w:val="Normal"/>
        <w:rPr/>
      </w:pPr>
      <w:r>
        <w:rPr/>
        <w:t>Publish an administrative path for each infrastructure role, not a single rule permitting an entire management network. Human operators use an authorized privileged endpoint and access boundary. Automated executors reach only their required management APIs. Support access is separate, bounded and attributable. Guest administration terminates on assigned workload interfaces and does not borrow hypervisor credentials.</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2"/>
        <w:gridCol w:w="3548"/>
        <w:gridCol w:w="4410"/>
      </w:tblGrid>
      <w:tr>
        <w:trPr>
          <w:tblHeader w:val="true"/>
          <w:cantSplit w:val="true"/>
        </w:trPr>
        <w:tc>
          <w:tcPr>
            <w:tcW w:w="212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Actor</w:t>
            </w:r>
          </w:p>
        </w:tc>
        <w:tc>
          <w:tcPr>
            <w:tcW w:w="354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Permitted target</w:t>
            </w:r>
          </w:p>
        </w:tc>
        <w:tc>
          <w:tcPr>
            <w:tcW w:w="441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Prohibited expansion / recovery concern</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Fabric operator/executor</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Approved switch and OOB management interfaces.</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workload/service administrator rights implied; preserve console access for fabric failure.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Platform operator/executor</w:t>
            </w:r>
          </w:p>
        </w:tc>
        <w:tc>
          <w:tcPr>
            <w:tcW w:w="354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Selected Prism, vCenter/NSX or OpenStack administration within scope.</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unrestricted security-edge, identity-root or other tenant authority.</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Edge operator/executor</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Boundary contexts and policy under security approval.</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tenant guest credentials; no use of data-path ZIP as management transit.</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Backup operator</w:t>
            </w:r>
          </w:p>
        </w:tc>
        <w:tc>
          <w:tcPr>
            <w:tcW w:w="354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Capture/protection administration under assigned authority.</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Protected-copy destruction is a separate decision; API orchestration and data transfer are distinct.</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Guest operator</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Approved tenant guest access service.</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BMC, host, array or provider management visibility by implication.</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Emergency custodian</w:t>
            </w:r>
          </w:p>
        </w:tc>
        <w:tc>
          <w:tcPr>
            <w:tcW w:w="354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Explicit minimum recovery targets for the declared failure.</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anonymous shared access; offline records, expiry/revocation and post-use reconciliation.</w:t>
            </w:r>
          </w:p>
        </w:tc>
      </w:tr>
    </w:tbl>
    <w:p>
      <w:pPr>
        <w:pStyle w:val="Normal"/>
        <w:spacing w:lineRule="auto" w:line="240" w:before="0" w:after="40"/>
        <w:rPr/>
      </w:pPr>
      <w:r>
        <w:rPr/>
      </w:r>
    </w:p>
    <w:p>
      <w:pPr>
        <w:pStyle w:val="Normal"/>
        <w:rPr/>
      </w:pPr>
      <w:r>
        <w:rPr/>
        <w:t>An interface handover for IF-01 through IF-12 records the exact endpoint membership, transport layer, initiating party, routing owner, enforcement point, authentication, address families, required performance, dependencies, failure action and retirement conditions. The parent Appendix B remains the authoritative interface-class list. This supplement supplies the engineering method; the site design supplies actual values. Interface owners jointly resolve conflicts before a dependent package activates traffic.</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673"/>
        <w:gridCol w:w="4099"/>
        <w:gridCol w:w="3307"/>
      </w:tblGrid>
      <w:tr>
        <w:trPr>
          <w:tblHeader w:val="true"/>
          <w:cantSplit w:val="true"/>
        </w:trPr>
        <w:tc>
          <w:tcPr>
            <w:tcW w:w="2673"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Interface family</w:t>
            </w:r>
          </w:p>
        </w:tc>
        <w:tc>
          <w:tcPr>
            <w:tcW w:w="409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Detailed design home</w:t>
            </w:r>
          </w:p>
        </w:tc>
        <w:tc>
          <w:tcPr>
            <w:tcW w:w="330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Handover consumer</w:t>
            </w:r>
          </w:p>
        </w:tc>
      </w:tr>
      <w:tr>
        <w:trPr>
          <w:cantSplit w:val="true"/>
        </w:trPr>
        <w:tc>
          <w:tcPr>
            <w:tcW w:w="267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IF-01/02 · underlay and platform transport</w:t>
            </w:r>
          </w:p>
        </w:tc>
        <w:tc>
          <w:tcPr>
            <w:tcW w:w="409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NET §§1, 5; actual route and MTU schedule.</w:t>
            </w:r>
          </w:p>
        </w:tc>
        <w:tc>
          <w:tcPr>
            <w:tcW w:w="330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P2 platform commissioning.</w:t>
            </w:r>
          </w:p>
        </w:tc>
      </w:tr>
      <w:tr>
        <w:trPr>
          <w:cantSplit w:val="true"/>
        </w:trPr>
        <w:tc>
          <w:tcPr>
            <w:tcW w:w="267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IF-03/04 · domain attachment and ZIP</w:t>
            </w:r>
          </w:p>
        </w:tc>
        <w:tc>
          <w:tcPr>
            <w:tcW w:w="409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NET §§2–3; paired authorities and path evidence.</w:t>
            </w:r>
          </w:p>
        </w:tc>
        <w:tc>
          <w:tcPr>
            <w:tcW w:w="330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P4/P5 domain and workload delivery.</w:t>
            </w:r>
          </w:p>
        </w:tc>
      </w:tr>
      <w:tr>
        <w:trPr>
          <w:cantSplit w:val="true"/>
        </w:trPr>
        <w:tc>
          <w:tcPr>
            <w:tcW w:w="267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IF-05/06 · management and OOB</w:t>
            </w:r>
          </w:p>
        </w:tc>
        <w:tc>
          <w:tcPr>
            <w:tcW w:w="409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NET §6; SVC §3; actual privileged/recovery scope.</w:t>
            </w:r>
          </w:p>
        </w:tc>
        <w:tc>
          <w:tcPr>
            <w:tcW w:w="330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Every privileged work package.</w:t>
            </w:r>
          </w:p>
        </w:tc>
      </w:tr>
      <w:tr>
        <w:trPr>
          <w:cantSplit w:val="true"/>
        </w:trPr>
        <w:tc>
          <w:tcPr>
            <w:tcW w:w="267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IF-07/08 · platform data and service consumption</w:t>
            </w:r>
          </w:p>
        </w:tc>
        <w:tc>
          <w:tcPr>
            <w:tcW w:w="409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SVC §§1–5; actual storage/service identities.</w:t>
            </w:r>
          </w:p>
        </w:tc>
        <w:tc>
          <w:tcPr>
            <w:tcW w:w="330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P2/P3 foundations and P5 service activation.</w:t>
            </w:r>
          </w:p>
        </w:tc>
      </w:tr>
      <w:tr>
        <w:trPr>
          <w:cantSplit w:val="true"/>
        </w:trPr>
        <w:tc>
          <w:tcPr>
            <w:tcW w:w="267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IF-09 · provisioning handoff</w:t>
            </w:r>
          </w:p>
        </w:tc>
        <w:tc>
          <w:tcPr>
            <w:tcW w:w="409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 §1; ownership and accepted dependencies.</w:t>
            </w:r>
          </w:p>
        </w:tc>
        <w:tc>
          <w:tcPr>
            <w:tcW w:w="330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The next authorized work package.</w:t>
            </w:r>
          </w:p>
        </w:tc>
      </w:tr>
      <w:tr>
        <w:trPr>
          <w:cantSplit w:val="true"/>
        </w:trPr>
        <w:tc>
          <w:tcPr>
            <w:tcW w:w="267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IF-10/11/12 · inter-site, external and evidence</w:t>
            </w:r>
          </w:p>
        </w:tc>
        <w:tc>
          <w:tcPr>
            <w:tcW w:w="409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SVC §6; NET §3; QUAL §§5–7.</w:t>
            </w:r>
          </w:p>
        </w:tc>
        <w:tc>
          <w:tcPr>
            <w:tcW w:w="330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Recovery, exposure and operational acceptance.</w:t>
            </w:r>
          </w:p>
        </w:tc>
      </w:tr>
    </w:tbl>
    <w:p>
      <w:pPr>
        <w:pStyle w:val="Normal"/>
        <w:spacing w:lineRule="auto" w:line="240" w:before="0" w:after="40"/>
        <w:rPr/>
      </w:pPr>
      <w:r>
        <w:rPr/>
      </w:r>
    </w:p>
    <w:p>
      <w:pPr>
        <w:pStyle w:val="Navigation"/>
        <w:rPr/>
      </w:pPr>
      <w:r>
        <w:rPr/>
        <w:t xml:space="preserve">Related engineering: </w:t>
      </w:r>
      <w:r>
        <w:fldChar w:fldCharType="begin"/>
      </w:r>
      <w:r>
        <w:rPr>
          <w:rStyle w:val="Style"/>
          <w:u w:val="single"/>
          <w:color w:val="176B70"/>
        </w:rPr>
        <w:instrText xml:space="preserve"> HYPERLINK "00_Reference_Architecture_v1_4.docx" \l "RA_app_B"</w:instrText>
      </w:r>
      <w:r>
        <w:rPr>
          <w:rStyle w:val="Style"/>
          <w:u w:val="single"/>
          <w:color w:val="176B70"/>
        </w:rPr>
        <w:fldChar w:fldCharType="separate"/>
      </w:r>
      <w:r>
        <w:rPr>
          <w:rStyle w:val="Style"/>
          <w:color w:val="176B70"/>
          <w:u w:val="single"/>
        </w:rPr>
        <w:t>Parent infrastructure interface schedule</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"QUAL_s_002"</w:instrText>
      </w:r>
      <w:r>
        <w:rPr>
          <w:rStyle w:val="Style"/>
          <w:u w:val="single"/>
          <w:color w:val="176B70"/>
        </w:rPr>
        <w:fldChar w:fldCharType="separate"/>
      </w:r>
      <w:r>
        <w:rPr>
          <w:rStyle w:val="Style"/>
          <w:color w:val="176B70"/>
          <w:u w:val="single"/>
        </w:rPr>
        <w:t>Site design records</w:t>
      </w:r>
      <w:r>
        <w:rPr>
          <w:rStyle w:val="Style"/>
          <w:u w:val="single"/>
          <w:color w:val="176B70"/>
        </w:rPr>
        <w:fldChar w:fldCharType="end"/>
      </w:r>
      <w:r>
        <w:br w:type="page"/>
      </w:r>
    </w:p>
    <w:p>
      <w:pPr>
        <w:pStyle w:val="Heading1"/>
        <w:spacing w:before="0" w:after="120"/>
        <w:rPr/>
      </w:pPr>
      <w:bookmarkStart w:id="14" w:name="__RefHeading___Toc5757_1525915568"/>
      <w:bookmarkStart w:id="15" w:name="NET_app_References"/>
      <w:bookmarkEnd w:id="14"/>
      <w:r>
        <w:rPr/>
        <w:t>References — Parent basis and external context</w:t>
      </w:r>
      <w:bookmarkEnd w:id="15"/>
    </w:p>
    <w:p>
      <w:pPr>
        <w:pStyle w:val="Small"/>
        <w:rPr/>
      </w:pPr>
      <w:r>
        <w:rPr/>
        <w:t>Source IDs distinguish baseline-derived architecture from external context. References inform the stated design, not automatic adoption, installed compatibility or authorization. New engineering examples are local proposals. Review status below is specific to this release; inherited dates are not recertified merely by copying the source register.</w:t>
      </w:r>
    </w:p>
    <w:p>
      <w:pPr>
        <w:pStyle w:val="Heading2"/>
        <w:rPr/>
      </w:pPr>
      <w:bookmarkStart w:id="16" w:name="NET_src_B2"/>
      <w:r>
        <w:rPr/>
        <w:t>B2 — Portable Secure Hosting — Infrastructure Reference Architecture and Cross-Platform Provisioning Strategy, Draft v1.2</w:t>
      </w:r>
      <w:bookmarkEnd w:id="16"/>
    </w:p>
    <w:p>
      <w:pPr>
        <w:pStyle w:val="Small"/>
        <w:rPr/>
      </w:pPr>
      <w:r>
        <w:rPr/>
        <w:t>16 September 2026; 55-page conversation baseline | Source baseline, not external authority</w:t>
      </w:r>
    </w:p>
    <w:p>
      <w:pPr>
        <w:pStyle w:val="Small"/>
        <w:rPr/>
      </w:pPr>
      <w:r>
        <w:rPr/>
        <w:t>Primary parent narrative, diagrams, 30 sections, 194 requirement IDs and referenced verification catalogues.</w:t>
      </w:r>
    </w:p>
    <w:p>
      <w:pPr>
        <w:pStyle w:val="Small"/>
        <w:rPr/>
      </w:pPr>
      <w:r>
        <w:rPr/>
        <w:t>Review status: Entire text read; three vendor diagram pages also inspected through Files; source bytes verified.</w:t>
      </w:r>
    </w:p>
    <w:p>
      <w:pPr>
        <w:pStyle w:val="Small"/>
        <w:widowControl/>
        <w:bidi w:val="0"/>
        <w:spacing w:lineRule="auto" w:line="245" w:before="0" w:after="100"/>
        <w:jc w:val="left"/>
        <w:rPr/>
      </w:pPr>
      <w:r>
        <w:rPr/>
        <w:t>Source file: Portable_Secure_Hosting_Infrastructure_Architecture_v1_2.docx. Complete baseline fingerprint is in registers/release_manifest.json.</w:t>
      </w:r>
    </w:p>
    <w:p>
      <w:pPr>
        <w:pStyle w:val="Normal"/>
        <w:rPr/>
      </w:pPr>
      <w:r>
        <w:rPr/>
      </w:r>
      <w:r>
        <w:br w:type="page"/>
      </w:r>
    </w:p>
    <w:p>
      <w:pPr>
        <w:pStyle w:val="Heading1"/>
        <w:spacing w:before="0" w:after="120"/>
        <w:rPr/>
      </w:pPr>
      <w:bookmarkStart w:id="17" w:name="__RefHeading___Toc6071_1692646980"/>
      <w:bookmarkStart w:id="18" w:name="V14_NET_REVISION"/>
      <w:bookmarkEnd w:id="17"/>
      <w:r>
        <w:rPr/>
        <w:t>v1.4 — Connected infrastructure design and acceptance</w:t>
      </w:r>
      <w:bookmarkEnd w:id="18"/>
    </w:p>
    <w:p>
      <w:pPr>
        <w:pStyle w:val="Heading2"/>
        <w:rPr/>
      </w:pPr>
      <w:r>
        <w:rPr/>
        <w:t>Worked route schedule and service-side return control</w:t>
      </w:r>
    </w:p>
    <w:p>
      <w:pPr>
        <w:pStyle w:val="Normal"/>
        <w:rPr/>
      </w:pPr>
      <w:r>
        <w:rPr/>
        <w:t>WD §§4–7 provides one internally connected illustrative IPv4 schedule and separately qualified IPv6 treatment. It identifies four tenant attachments, two dedicated service handoffs, separate EC/SE routing scopes, exact service endpoints and service-side return routes. Shared service placement does not authorize a native tenant gateway to share an uninspected connected network. The actual realization must verify source validation, connected routes, native distributed forwarding, stateful replies, service-side initiation and failure paths.</w:t>
      </w:r>
    </w:p>
    <w:p>
      <w:pPr>
        <w:pStyle w:val="Normal"/>
        <w:rPr/>
      </w:pPr>
      <w:r>
        <w:rPr/>
        <w:t xml:space="preserve">Authoritative linked treatment: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Worked Infrastructure Design, Build Schedules and Acceptance</w:t>
      </w:r>
      <w:r>
        <w:rPr>
          <w:rStyle w:val="Hyperlink"/>
        </w:rPr>
        <w:fldChar w:fldCharType="end"/>
      </w:r>
    </w:p>
    <w:p>
      <w:pPr>
        <w:pStyle w:val="Normal"/>
        <w:widowControl/>
        <w:suppressAutoHyphens w:val="true"/>
        <w:bidi w:val="0"/>
        <w:spacing w:lineRule="auto" w:line="259" w:before="0" w:after="120"/>
        <w:jc w:val="left"/>
        <w:rPr/>
      </w:pPr>
      <w:r>
        <w:rPr/>
        <w:t>Read this clarification with the original chapter. It does not create an exemption to an adopted requirement, waive a mandatory control, select an unknown site value or report a live test as passed.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360" w:top="979" w:footer="403"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11</w:t>
    </w:r>
    <w:r>
      <w:rPr/>
      <w:fldChar w:fldCharType="end"/>
    </w:r>
    <w:r>
      <w:rPr/>
      <w:t xml:space="preserve"> /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11</w:t>
    </w:r>
    <w:r>
      <w:rPr/>
      <w:fldChar w:fldCharType="end"/>
    </w:r>
    <w:r>
      <w:rPr/>
      <w:t xml:space="preserve"> / </w:t>
    </w:r>
    <w:r>
      <w:rPr/>
      <w:fldChar w:fldCharType="begin"/>
    </w:r>
    <w:r>
      <w:rPr/>
      <w:instrText xml:space="preserve"> NUMPAGES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NET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NET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20"/>
      <w:jc w:val="left"/>
    </w:pPr>
    <w:rPr>
      <w:rFonts w:ascii="Calibri" w:hAnsi="Calibri" w:eastAsia="" w:cs="" w:cstheme="minorBidi" w:eastAsiaTheme="minorEastAsia"/>
      <w:color w:val="auto"/>
      <w:kern w:val="0"/>
      <w:sz w:val="22"/>
      <w:szCs w:val="22"/>
      <w:lang w:val="en-CA" w:eastAsia="en-US" w:bidi="ar-SA"/>
    </w:rPr>
  </w:style>
  <w:style w:type="paragraph" w:styleId="Heading1">
    <w:name w:val="heading 1"/>
    <w:basedOn w:val="Normal"/>
    <w:next w:val="Normal"/>
    <w:link w:val="Heading1Char"/>
    <w:uiPriority w:val="9"/>
    <w:qFormat/>
    <w:rsid w:val="00fc693f"/>
    <w:pPr>
      <w:keepNext w:val="true"/>
      <w:keepLines/>
      <w:spacing w:before="260" w:after="120"/>
      <w:outlineLvl w:val="0"/>
    </w:pPr>
    <w:rPr>
      <w:rFonts w:ascii="Calibri" w:hAnsi="Calibri" w:eastAsia="" w:cs="" w:asciiTheme="majorHAnsi" w:cstheme="majorBidi" w:eastAsiaTheme="majorEastAsia" w:hAnsiTheme="majorHAnsi"/>
      <w:b/>
      <w:bCs/>
      <w:color w:val="203C50"/>
      <w:sz w:val="36"/>
      <w:szCs w:val="28"/>
    </w:rPr>
  </w:style>
  <w:style w:type="paragraph" w:styleId="Heading2">
    <w:name w:val="heading 2"/>
    <w:basedOn w:val="Normal"/>
    <w:next w:val="Normal"/>
    <w:link w:val="Heading2Char"/>
    <w:uiPriority w:val="9"/>
    <w:unhideWhenUsed/>
    <w:qFormat/>
    <w:rsid w:val="00fc693f"/>
    <w:pPr>
      <w:keepNext w:val="true"/>
      <w:keepLines/>
      <w:spacing w:before="180" w:after="120"/>
      <w:outlineLvl w:val="1"/>
    </w:pPr>
    <w:rPr>
      <w:rFonts w:ascii="Calibri" w:hAnsi="Calibri" w:eastAsia="" w:cs="" w:asciiTheme="majorHAnsi" w:cstheme="majorBidi" w:eastAsiaTheme="majorEastAsia" w:hAnsiTheme="majorHAnsi"/>
      <w:b/>
      <w:bCs/>
      <w:color w:val="176B70"/>
      <w:sz w:val="25"/>
      <w:szCs w:val="26"/>
    </w:rPr>
  </w:style>
  <w:style w:type="paragraph" w:styleId="Heading3">
    <w:name w:val="heading 3"/>
    <w:basedOn w:val="Normal"/>
    <w:next w:val="Normal"/>
    <w:link w:val="Heading3Char"/>
    <w:uiPriority w:val="9"/>
    <w:unhideWhenUsed/>
    <w:qFormat/>
    <w:rsid w:val="00fc693f"/>
    <w:pPr>
      <w:keepNext w:val="true"/>
      <w:keepLines/>
      <w:spacing w:before="180" w:after="120"/>
      <w:outlineLvl w:val="2"/>
    </w:pPr>
    <w:rPr>
      <w:rFonts w:ascii="Calibri" w:hAnsi="Calibri" w:eastAsia="" w:cs="" w:asciiTheme="majorHAnsi" w:cstheme="majorBidi" w:eastAsiaTheme="majorEastAsia" w:hAnsiTheme="majorHAnsi"/>
      <w:b/>
      <w:bCs/>
      <w:color w:val="203C5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259" w:before="0" w:after="120"/>
    </w:pPr>
    <w:rPr>
      <w:rFonts w:ascii="Calibri" w:hAnsi="Calibri"/>
      <w:sz w:val="22"/>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keepNext w:val="false"/>
      <w:widowControl/>
      <w:spacing w:lineRule="auto" w:line="245" w:before="0" w:after="100"/>
    </w:pPr>
    <w:rPr>
      <w:rFonts w:ascii="Calibri" w:hAnsi="Calibri"/>
      <w:b/>
      <w:bCs/>
      <w:color w:val="586874"/>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180" w:after="120"/>
      <w:contextualSpacing/>
    </w:pPr>
    <w:rPr>
      <w:rFonts w:ascii="Calibri" w:hAnsi="Calibri" w:eastAsia="" w:cs="" w:asciiTheme="majorHAnsi" w:cstheme="majorBidi" w:eastAsiaTheme="majorEastAsia" w:hAnsiTheme="majorHAnsi"/>
      <w:b/>
      <w:color w:val="203C50"/>
      <w:spacing w:val="5"/>
      <w:kern w:val="2"/>
      <w:sz w:val="58"/>
      <w:szCs w:val="52"/>
    </w:rPr>
  </w:style>
  <w:style w:type="paragraph" w:styleId="Subtitle">
    <w:name w:val="Subtitle"/>
    <w:basedOn w:val="Normal"/>
    <w:next w:val="Normal"/>
    <w:link w:val="SubtitleChar"/>
    <w:uiPriority w:val="11"/>
    <w:qFormat/>
    <w:rsid w:val="00fc693f"/>
    <w:pPr>
      <w:keepNext w:val="true"/>
      <w:spacing w:before="180" w:after="120"/>
    </w:pPr>
    <w:rPr>
      <w:rFonts w:ascii="Calibri" w:hAnsi="Calibri" w:eastAsia="" w:cs="" w:asciiTheme="majorHAnsi" w:cstheme="majorBidi" w:eastAsiaTheme="majorEastAsia" w:hAnsiTheme="majorHAnsi"/>
      <w:b w:val="false"/>
      <w:i/>
      <w:iCs/>
      <w:color w:val="176B70"/>
      <w:spacing w:val="15"/>
      <w:sz w:val="32"/>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 w:customStyle="1">
    <w:name w:val="Small"/>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paragraph" w:styleId="Navigation" w:customStyle="1">
    <w:name w:val="Navigation"/>
    <w:qFormat/>
    <w:pPr>
      <w:widowControl/>
      <w:suppressAutoHyphens w:val="true"/>
      <w:bidi w:val="0"/>
      <w:spacing w:lineRule="auto" w:line="245" w:before="60" w:after="100"/>
      <w:jc w:val="left"/>
    </w:pPr>
    <w:rPr>
      <w:rFonts w:ascii="Calibri" w:hAnsi="Calibri" w:eastAsia="ＭＳ 明朝" w:cs=""/>
      <w:color w:val="176B70"/>
      <w:kern w:val="0"/>
      <w:sz w:val="18"/>
      <w:szCs w:val="22"/>
      <w:lang w:val="en-US" w:eastAsia="en-US" w:bidi="ar-SA"/>
    </w:rPr>
  </w:style>
  <w:style w:type="paragraph" w:styleId="TableText" w:customStyle="1">
    <w:name w:val="Table Text"/>
    <w:qFormat/>
    <w:pPr>
      <w:widowControl/>
      <w:suppressAutoHyphens w:val="true"/>
      <w:bidi w:val="0"/>
      <w:spacing w:lineRule="auto" w:line="245" w:before="0" w:after="60"/>
      <w:jc w:val="left"/>
    </w:pPr>
    <w:rPr>
      <w:rFonts w:ascii="Calibri" w:hAnsi="Calibri" w:eastAsia="ＭＳ 明朝" w:cs=""/>
      <w:color w:val="203C50"/>
      <w:kern w:val="0"/>
      <w:sz w:val="20"/>
      <w:szCs w:val="22"/>
      <w:lang w:val="en-US" w:eastAsia="en-US" w:bidi="ar-SA"/>
    </w:rPr>
  </w:style>
  <w:style w:type="paragraph" w:styleId="TOC1" w:customStyle="1">
    <w:name w:val="toc 1"/>
    <w:pPr>
      <w:widowControl/>
      <w:tabs>
        <w:tab w:val="clear" w:pos="720"/>
        <w:tab w:val="right" w:pos="9965" w:leader="none"/>
      </w:tabs>
      <w:suppressAutoHyphens w:val="true"/>
      <w:bidi w:val="0"/>
      <w:spacing w:lineRule="auto" w:line="245" w:before="0" w:after="100"/>
      <w:jc w:val="left"/>
    </w:pPr>
    <w:rPr>
      <w:rFonts w:ascii="Calibri" w:hAnsi="Calibri" w:eastAsia="ＭＳ 明朝" w:cs=""/>
      <w:color w:val="203C50"/>
      <w:kern w:val="0"/>
      <w:sz w:val="20"/>
      <w:szCs w:val="22"/>
      <w:lang w:val="en-US" w:eastAsia="en-US" w:bidi="ar-SA"/>
    </w:rPr>
  </w:style>
  <w:style w:type="paragraph" w:styleId="Eyebrow" w:customStyle="1">
    <w:name w:val="Eyebrow"/>
    <w:qFormat/>
    <w:pPr>
      <w:widowControl/>
      <w:suppressAutoHyphens w:val="true"/>
      <w:bidi w:val="0"/>
      <w:spacing w:lineRule="auto" w:line="245" w:before="0" w:after="100"/>
      <w:jc w:val="left"/>
    </w:pPr>
    <w:rPr>
      <w:rFonts w:ascii="Calibri" w:hAnsi="Calibri" w:eastAsia="ＭＳ 明朝" w:cs=""/>
      <w:color w:val="176B70"/>
      <w:kern w:val="0"/>
      <w:sz w:val="20"/>
      <w:szCs w:val="22"/>
      <w:lang w:val="en-US" w:eastAsia="en-US" w:bidi="ar-SA"/>
    </w:rPr>
  </w:style>
  <w:style w:type="paragraph" w:styleId="GapMeta" w:customStyle="1">
    <w:name w:val="Gap Meta"/>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11</Pages>
  <Words>3146</Words>
  <Characters>20122</Characters>
  <CharactersWithSpaces>23066</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2026-09-16T23:24:36Z</dcterms:modified>
  <cp:revision>2</cp:revision>
  <dc:subject/>
  <dc:title>Word Document</dc:title>
  <cp:version>1.4</cp:version>
</cp:coreProperties>
</file>

<file path=docProps/custom.xml><?xml version="1.0" encoding="utf-8"?>
<Properties xmlns="http://schemas.openxmlformats.org/officeDocument/2006/custom-properties" xmlns:vt="http://schemas.openxmlformats.org/officeDocument/2006/docPropsVTypes"/>
</file>