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yebrow"/>
        <w:rPr/>
      </w:pPr>
      <w:bookmarkStart w:id="0" w:name="V14_PROV_START"/>
      <w:r>
        <w:rPr/>
        <w:t>INFRASTRUCTURE ARCHITECTURE  /  PROV</w:t>
      </w:r>
      <w:bookmarkEnd w:id="0"/>
    </w:p>
    <w:p>
      <w:pPr>
        <w:pStyle w:val="Normal"/>
        <w:rPr/>
      </w:pPr>
      <w:r>
        <w:rPr/>
        <w:t xml:space="preserve">v1.4 linked worked design: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resources, paths, build receipts and acceptance</w:t>
      </w:r>
      <w:r>
        <w:rPr>
          <w:rStyle w:val="Hyperlink"/>
        </w:rPr>
        <w:fldChar w:fldCharType="end"/>
      </w:r>
    </w:p>
    <w:p>
      <w:pPr>
        <w:pStyle w:val="Title"/>
        <w:rPr/>
      </w:pPr>
      <w:r>
        <w:rPr/>
        <w:t>Portable Multi-Tenant</w:t>
        <w:br/>
        <w:t>Secure Hosting</w:t>
      </w:r>
    </w:p>
    <w:p>
      <w:pPr>
        <w:pStyle w:val="Subtitle"/>
        <w:rPr/>
      </w:pPr>
      <w:r>
        <w:rPr/>
        <w:t>Cross-Stack Provisioning and Commissioning Strategy</w:t>
      </w:r>
    </w:p>
    <w:p>
      <w:pPr>
        <w:pStyle w:val="Small"/>
        <w:rPr/>
      </w:pPr>
      <w:r>
        <w:rPr/>
        <w:t>Draft v1.4  |  16 September 2026</w:t>
      </w:r>
    </w:p>
    <w:p>
      <w:pPr>
        <w:pStyle w:val="Normal"/>
        <w:rPr/>
      </w:pPr>
      <w:r>
        <w:rPr/>
        <w:t>The infrastructure sequence, authority boundaries and tool responsibilities that establish foundations, allocate tenants, activate workloads and safely manage change.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04"/>
        <w:gridCol w:w="7775"/>
      </w:tblGrid>
      <w:tr>
        <w:trPr>
          <w:tblHeader w:val="true"/>
          <w:cantSplit w:val="true"/>
        </w:trPr>
        <w:tc>
          <w:tcPr>
            <w:tcW w:w="230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Document control</w:t>
            </w:r>
          </w:p>
        </w:tc>
        <w:tc>
          <w:tcPr>
            <w:tcW w:w="77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Document ID / parent</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 — supplement to RA v1.4</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Status</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Proposed reference design and engineering guidance; adoption and qualification remain separate.</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Baseline</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Draft v1.2 infrastructure architecture, with retained v1.2 requirements and verification catalogues.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Audience</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security, network, platform, storage, service and operations owners; provisioning engineers.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Authority</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Applicable external obligations and adopted controls prevail; supplements cannot silently weaken the parent.</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Release boundary</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Documentation and local document checks only. No live infrastructure deployment, qualification or authorization asserted.</w:t>
            </w:r>
          </w:p>
        </w:tc>
      </w:tr>
    </w:tbl>
    <w:p>
      <w:pPr>
        <w:pStyle w:val="Normal"/>
        <w:spacing w:lineRule="auto" w:line="240" w:before="0" w:after="40"/>
        <w:rPr/>
      </w:pPr>
      <w:r>
        <w:rPr/>
      </w:r>
    </w:p>
    <w:p>
      <w:pPr>
        <w:pStyle w:val="Navigation"/>
        <w:rPr/>
      </w:pPr>
      <w:r>
        <w:rPr/>
        <w:t xml:space="preserve">Start here: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Parent architecture — RA</w:t>
      </w:r>
      <w:r>
        <w:rPr>
          <w:rStyle w:val="Style"/>
          <w:u w:val="single"/>
          <w:color w:val="176B70"/>
        </w:rPr>
        <w:fldChar w:fldCharType="end"/>
      </w:r>
      <w:r>
        <w:rPr/>
        <w:t xml:space="preserve">  •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Document family and gap map — GM</w:t>
      </w:r>
      <w:r>
        <w:rPr>
          <w:rStyle w:val="Style"/>
          <w:u w:val="single"/>
          <w:color w:val="176B70"/>
        </w:rPr>
        <w:fldChar w:fldCharType="end"/>
      </w:r>
    </w:p>
    <w:p>
      <w:pPr>
        <w:pStyle w:val="Small"/>
        <w:rPr/>
      </w:pPr>
      <w:r>
        <w:rPr/>
        <w:t>Keep the eight Word files together after extracting the release package. Cross-document links use sibling filenames and stable bookmarks. START_HERE.html provides an additional navigation index.</w:t>
      </w:r>
    </w:p>
    <w:p>
      <w:pPr>
        <w:pStyle w:val="Normal"/>
        <w:rPr/>
      </w:pPr>
      <w:r>
        <w:rPr/>
      </w:r>
      <w:r>
        <w:br w:type="page"/>
      </w:r>
    </w:p>
    <w:p>
      <w:pPr>
        <w:pStyle w:val="Subtitle"/>
        <w:spacing w:before="0" w:after="120"/>
        <w:rPr/>
      </w:pPr>
      <w:bookmarkStart w:id="1" w:name="PROV_contents"/>
      <w:r>
        <w:rPr/>
        <w:t>Contents</w:t>
      </w:r>
      <w:bookmarkEnd w:id="1"/>
    </w:p>
    <w:sdt>
      <w:sdtPr>
        <w:docPartObj>
          <w:docPartGallery w:val="Table of Contents"/>
          <w:docPartUnique w:val="true"/>
        </w:docPartObj>
      </w:sdtPr>
      <w:sdtContent>
        <w:p>
          <w:pPr>
            <w:pStyle w:val="TOC1"/>
            <w:tabs>
              <w:tab w:val="clear" w:pos="9965"/>
              <w:tab w:val="right" w:pos="10079" w:leader="dot"/>
            </w:tabs>
            <w:rPr/>
          </w:pPr>
          <w:r>
            <w:fldChar w:fldCharType="begin"/>
          </w:r>
          <w:r>
            <w:rPr>
              <w:webHidden/>
              <w:rStyle w:val="IndexLink"/>
            </w:rPr>
            <w:instrText xml:space="preserve"> TOC \z \o "1-1" \h</w:instrText>
          </w:r>
          <w:r>
            <w:rPr>
              <w:webHidden/>
              <w:rStyle w:val="IndexLink"/>
            </w:rPr>
            <w:fldChar w:fldCharType="separate"/>
          </w:r>
          <w:hyperlink w:anchor="__RefHeading___Toc7812_1525915568">
            <w:r>
              <w:rPr>
                <w:webHidden/>
                <w:rStyle w:val="IndexLink"/>
              </w:rPr>
              <w:t>1. Provisioning scopes, ownership and accepted handoffs</w:t>
              <w:tab/>
              <w:t>3</w:t>
            </w:r>
          </w:hyperlink>
        </w:p>
        <w:p>
          <w:pPr>
            <w:pStyle w:val="TOC1"/>
            <w:tabs>
              <w:tab w:val="clear" w:pos="9965"/>
              <w:tab w:val="right" w:pos="10079" w:leader="dot"/>
            </w:tabs>
            <w:rPr/>
          </w:pPr>
          <w:hyperlink w:anchor="__RefHeading___Toc7814_1525915568">
            <w:r>
              <w:rPr>
                <w:webHidden/>
                <w:rStyle w:val="IndexLink"/>
              </w:rPr>
              <w:t>2. Day-0 and steady-state commissioning without circular dependencies</w:t>
              <w:tab/>
              <w:t>4</w:t>
            </w:r>
          </w:hyperlink>
        </w:p>
        <w:p>
          <w:pPr>
            <w:pStyle w:val="TOC1"/>
            <w:tabs>
              <w:tab w:val="clear" w:pos="9965"/>
              <w:tab w:val="right" w:pos="10079" w:leader="dot"/>
            </w:tabs>
            <w:rPr/>
          </w:pPr>
          <w:hyperlink w:anchor="__RefHeading___Toc7816_1525915568">
            <w:r>
              <w:rPr>
                <w:webHidden/>
                <w:rStyle w:val="IndexLink"/>
              </w:rPr>
              <w:t>3. Terraform, native tools and operation-level support</w:t>
              <w:tab/>
              <w:t>5</w:t>
            </w:r>
          </w:hyperlink>
        </w:p>
        <w:p>
          <w:pPr>
            <w:pStyle w:val="TOC1"/>
            <w:tabs>
              <w:tab w:val="clear" w:pos="9965"/>
              <w:tab w:val="right" w:pos="10079" w:leader="dot"/>
            </w:tabs>
            <w:rPr/>
          </w:pPr>
          <w:hyperlink w:anchor="__RefHeading___Toc7818_1525915568">
            <w:r>
              <w:rPr>
                <w:webHidden/>
                <w:rStyle w:val="IndexLink"/>
              </w:rPr>
              <w:t>4. End-to-end fixture provisioning and safe activation</w:t>
              <w:tab/>
              <w:t>6</w:t>
            </w:r>
          </w:hyperlink>
        </w:p>
        <w:p>
          <w:pPr>
            <w:pStyle w:val="TOC1"/>
            <w:tabs>
              <w:tab w:val="clear" w:pos="9965"/>
              <w:tab w:val="right" w:pos="10079" w:leader="dot"/>
            </w:tabs>
            <w:rPr/>
          </w:pPr>
          <w:hyperlink w:anchor="__RefHeading___Toc7820_1525915568">
            <w:r>
              <w:rPr>
                <w:webHidden/>
                <w:rStyle w:val="IndexLink"/>
              </w:rPr>
              <w:t>5. Concurrency, ownership and failed execution</w:t>
              <w:tab/>
              <w:t>8</w:t>
            </w:r>
          </w:hyperlink>
        </w:p>
        <w:p>
          <w:pPr>
            <w:pStyle w:val="TOC1"/>
            <w:tabs>
              <w:tab w:val="clear" w:pos="9965"/>
              <w:tab w:val="right" w:pos="10079" w:leader="dot"/>
            </w:tabs>
            <w:rPr/>
          </w:pPr>
          <w:hyperlink w:anchor="__RefHeading___Toc7822_1525915568">
            <w:r>
              <w:rPr>
                <w:webHidden/>
                <w:rStyle w:val="IndexLink"/>
              </w:rPr>
              <w:t>6. Brownfield adoption, growth and retirement</w:t>
              <w:tab/>
              <w:t>9</w:t>
            </w:r>
          </w:hyperlink>
        </w:p>
        <w:p>
          <w:pPr>
            <w:pStyle w:val="TOC1"/>
            <w:tabs>
              <w:tab w:val="clear" w:pos="9965"/>
              <w:tab w:val="right" w:pos="10079" w:leader="dot"/>
            </w:tabs>
            <w:rPr/>
          </w:pPr>
          <w:hyperlink w:anchor="__RefHeading___Toc7824_1525915568">
            <w:r>
              <w:rPr>
                <w:webHidden/>
                <w:rStyle w:val="IndexLink"/>
              </w:rPr>
              <w:t>References — Parent basis and external context</w:t>
              <w:tab/>
              <w:t>10</w:t>
            </w:r>
          </w:hyperlink>
        </w:p>
        <w:p>
          <w:pPr>
            <w:pStyle w:val="TOC1"/>
            <w:tabs>
              <w:tab w:val="clear" w:pos="9965"/>
              <w:tab w:val="right" w:pos="10079" w:leader="dot"/>
            </w:tabs>
            <w:rPr/>
          </w:pPr>
          <w:hyperlink w:anchor="__RefHeading___Toc8261_1692646980">
            <w:r>
              <w:rPr>
                <w:webHidden/>
                <w:rStyle w:val="IndexLink"/>
              </w:rPr>
              <w:t>v1.4 — Connected infrastructure design and acceptance</w:t>
              <w:tab/>
              <w:t>11</w:t>
            </w:r>
          </w:hyperlink>
          <w:r>
            <w:rPr>
              <w:rStyle w:val="IndexLink"/>
            </w:rPr>
            <w:fldChar w:fldCharType="end"/>
          </w:r>
        </w:p>
      </w:sdtContent>
    </w:sdt>
    <w:p>
      <w:pPr>
        <w:pStyle w:val="Normal"/>
        <w:widowControl/>
        <w:bidi w:val="0"/>
        <w:spacing w:lineRule="auto" w:line="259" w:before="0" w:after="120"/>
        <w:jc w:val="left"/>
        <w:rPr>
          <w:rFonts w:ascii="Calibri" w:hAnsi="Calibri"/>
          <w:sz w:val="22"/>
          <w:lang w:val="en-CA"/>
        </w:rPr>
      </w:pPr>
      <w:r>
        <w:rPr>
          <w:sz w:val="22"/>
          <w:lang w:val="en-CA"/>
        </w:rPr>
      </w:r>
    </w:p>
    <w:p>
      <w:pPr>
        <w:pStyle w:val="Small"/>
        <w:rPr/>
      </w:pPr>
      <w:r>
        <w:rPr/>
        <w:t>Use the contents and named section links to navigate. After later edits, update Word fields and verify pagination before release.</w:t>
      </w:r>
    </w:p>
    <w:p>
      <w:pPr>
        <w:pStyle w:val="Normal"/>
        <w:rPr/>
      </w:pPr>
      <w:r>
        <w:rPr/>
      </w:r>
      <w:r>
        <w:br w:type="page"/>
      </w:r>
    </w:p>
    <w:p>
      <w:pPr>
        <w:pStyle w:val="Heading1"/>
        <w:spacing w:before="0" w:after="120"/>
        <w:rPr/>
      </w:pPr>
      <w:bookmarkStart w:id="2" w:name="__RefHeading___Toc7812_1525915568"/>
      <w:bookmarkStart w:id="3" w:name="PROV_s_001"/>
      <w:bookmarkEnd w:id="2"/>
      <w:r>
        <w:rPr/>
        <w:t>1. Provisioning scopes, ownership and accepted handoffs</w:t>
      </w:r>
      <w:bookmarkEnd w:id="3"/>
    </w:p>
    <w:p>
      <w:pPr>
        <w:pStyle w:val="Normal"/>
        <w:spacing w:before="0" w:after="160"/>
        <w:rPr/>
      </w:pPr>
      <w:r>
        <w:rPr/>
        <w:t>WD §§9–10 supplies a connected build-and-receipt schedule. P2 installation and P3 construction can use authorized bootstrap dependencies, but their joint acceptance precedes ordinary service advertising. Gate numbers do not override those dependency conditions.</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"RA_s_020"</w:instrText>
      </w:r>
      <w:r>
        <w:rPr>
          <w:rStyle w:val="Style"/>
          <w:u w:val="single"/>
          <w:color w:val="176B70"/>
        </w:rPr>
        <w:fldChar w:fldCharType="separate"/>
      </w:r>
      <w:r>
        <w:rPr>
          <w:rStyle w:val="Style"/>
          <w:color w:val="176B70"/>
          <w:u w:val="single"/>
        </w:rPr>
        <w:t>RA §20</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Normal"/>
        <w:rPr/>
      </w:pPr>
      <w:r>
        <w:rPr/>
        <w:t>Provisioning is the execution of an approved infrastructure design. The same delivery may require a platform installer, network configuration tool, Terraform providers, protection tooling and service-owner actions. Tool choice does not transfer authority. The work packages below refine the parent P0–P6 model and describe infrastructure inputs and outputs; they do not prescribe a portal, controller implementation or programming language. [</w:t>
      </w:r>
      <w:hyperlink w:anchor="PROV_src_B2">
        <w:r>
          <w:rPr>
            <w:rStyle w:val="Style"/>
            <w:color w:val="176B70"/>
            <w:u w:val="single"/>
          </w:rPr>
          <w:t>B2</w:t>
        </w:r>
      </w:hyperlink>
      <w:r>
        <w:rPr/>
        <w:t xml:space="preserve"> §§20–24]</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3544"/>
        <w:gridCol w:w="4489"/>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Package / owner</w:t>
            </w:r>
          </w:p>
        </w:tc>
        <w:tc>
          <w:tcPr>
            <w:tcW w:w="354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Accepted inputs</w:t>
            </w:r>
          </w:p>
        </w:tc>
        <w:tc>
          <w:tcPr>
            <w:tcW w:w="448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Owned output and dependent consumer</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P0 · foundation/trust owner</w:t>
            </w:r>
          </w:p>
        </w:tc>
        <w:tc>
          <w:tcPr>
            <w:tcW w:w="354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Authorized site scope, bootstrap plan, verified installation material and custodians.</w:t>
            </w:r>
          </w:p>
        </w:tc>
        <w:tc>
          <w:tcPr>
            <w:tcW w:w="448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Restricted management access and minimum recoverable dependencies; consumed by P1–P3.</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P1 · network/hardware owner</w:t>
            </w:r>
          </w:p>
        </w:tc>
        <w:tc>
          <w:tcPr>
            <w:tcW w:w="354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P0 access, actual physical inventory and approved fabric/OOB design.</w:t>
            </w:r>
          </w:p>
        </w:tc>
        <w:tc>
          <w:tcPr>
            <w:tcW w:w="448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Accepted transport and physical attachment capacity; consumed by platform and edge commissioning.</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P2 · platform owner</w:t>
            </w:r>
          </w:p>
        </w:tc>
        <w:tc>
          <w:tcPr>
            <w:tcW w:w="354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P1 transport, trusted installer, required name/time/identity/key access.</w:t>
            </w:r>
          </w:p>
        </w:tc>
        <w:tc>
          <w:tcPr>
            <w:tcW w:w="448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Installed and baselined platform, eligible compute/storage/network pools; joint P3 testing before offering them.</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P3 · security/shared-service owners</w:t>
            </w:r>
          </w:p>
        </w:tc>
        <w:tc>
          <w:tcPr>
            <w:tcW w:w="354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Accepted placement/management and required installed platform capability.</w:t>
            </w:r>
          </w:p>
        </w:tc>
        <w:tc>
          <w:tcPr>
            <w:tcW w:w="448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Security-edge and common-service endpoints, protected administration and published capacity; consumed by P4/P5.</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P4 · domain/tenant owner</w:t>
            </w:r>
          </w:p>
        </w:tc>
        <w:tc>
          <w:tcPr>
            <w:tcW w:w="354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request plus accepted P2/P3 service envelope and reserved capacity.</w:t>
            </w:r>
          </w:p>
        </w:tc>
        <w:tc>
          <w:tcPr>
            <w:tcW w:w="448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Entitled administrative scope, domain networks, denied attachments and mandatory baseline.</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P5 · workload/service owners</w:t>
            </w:r>
          </w:p>
        </w:tc>
        <w:tc>
          <w:tcPr>
            <w:tcW w:w="354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Accepted P4 boundaries and required images/data/protection/service handoffs.</w:t>
            </w:r>
          </w:p>
        </w:tc>
        <w:tc>
          <w:tcPr>
            <w:tcW w:w="448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Owned endpoints, current service access, observed tests and controlled activation.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P6 · lifecycle owners</w:t>
            </w:r>
          </w:p>
        </w:tc>
        <w:tc>
          <w:tcPr>
            <w:tcW w:w="354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As-built inventory, ownership, retained-data obligations and approved change.</w:t>
            </w:r>
          </w:p>
        </w:tc>
        <w:tc>
          <w:tcPr>
            <w:tcW w:w="448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Updated, recovered or retired service with reconciled dependencies and evidence.</w:t>
            </w:r>
          </w:p>
        </w:tc>
      </w:tr>
    </w:tbl>
    <w:p>
      <w:pPr>
        <w:pStyle w:val="Normal"/>
        <w:spacing w:lineRule="auto" w:line="240" w:before="0" w:after="40"/>
        <w:rPr/>
      </w:pPr>
      <w:r>
        <w:rPr/>
      </w:r>
    </w:p>
    <w:p>
      <w:pPr>
        <w:pStyle w:val="Normal"/>
        <w:rPr/>
      </w:pPr>
      <w:r>
        <w:rPr/>
        <w:t>Dependencies are not always a single linear chain. A platform installer may need temporary DNS or key access supplied through P0 before the permanent service is hosted in P3. P2 installation can therefore precede full P3 commissioning, while P2 service acceptance and P3 acceptance are jointly gated. The bootstrap record names these temporary dependencies and their transfer. Do not mark a cell available for tenant placement merely because installation completed.</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11"/>
        <w:gridCol w:w="4410"/>
        <w:gridCol w:w="3859"/>
      </w:tblGrid>
      <w:tr>
        <w:trPr>
          <w:tblHeader w:val="true"/>
          <w:cantSplit w:val="true"/>
        </w:trPr>
        <w:tc>
          <w:tcPr>
            <w:tcW w:w="181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Handoff field</w:t>
            </w:r>
          </w:p>
        </w:tc>
        <w:tc>
          <w:tcPr>
            <w:tcW w:w="441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Concrete content</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Why it matters</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Identity and version</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resource or service identity, owner and configuration/version reference.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Avoid a name pointing to a different gateway or endpoint after replacement.</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Offered scope</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tenant/domain/zone classes, address families and permitted operations.</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physical attachment or API is not permission for unrestricted use.</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Capacity</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Accepted available/reserved capacity, units, failure basis and expiry of a reservation.</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The next package cannot count the same capacity twice.</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Dependencies</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Management, trust, route, storage, naming and recovery prerequisites.</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Failure or withdrawal has an accountable affected-consumer list.</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Readiness evidence</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Observed configuration, test scope, unresolved conditions and acceptance authority.</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successful installer or Terraform process is not service acceptance.</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Lifecycle rules</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Who can change/delete, how consumption is withdrawn, and what retained/shared objects survive.</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Dependent cleanup cannot destroy the shared service.</w:t>
            </w:r>
          </w:p>
        </w:tc>
      </w:tr>
    </w:tbl>
    <w:p>
      <w:pPr>
        <w:pStyle w:val="Normal"/>
        <w:spacing w:lineRule="auto" w:line="240" w:before="0" w:after="40"/>
        <w:rPr/>
      </w:pPr>
      <w:r>
        <w:rPr/>
      </w:r>
    </w:p>
    <w:p>
      <w:pPr>
        <w:pStyle w:val="Normal"/>
        <w:rPr/>
      </w:pPr>
      <w:r>
        <w:rPr/>
        <w:t>One approved environment is a composition of scoped changes, not one all-powerful state file. For the reference fixture, the platform owner creates the native domain and endpoint resources, the edge owner creates Z01/Z02 and their approved routes/policy, the address/name owner assigns prefixes and records, and the protection/key owners supply their services. Exchange references and accepted readiness records rather than all underlying credentials or state.</w:t>
      </w:r>
    </w:p>
    <w:p>
      <w:pPr>
        <w:pStyle w:val="Navigation"/>
        <w:rPr/>
      </w:pPr>
      <w:r>
        <w:rPr/>
        <w:t xml:space="preserve">Related engineering: </w:t>
      </w:r>
      <w:r>
        <w:fldChar w:fldCharType="begin"/>
      </w:r>
      <w:r>
        <w:rPr>
          <w:rStyle w:val="Style"/>
          <w:u w:val="single"/>
          <w:color w:val="176B70"/>
        </w:rPr>
        <w:instrText xml:space="preserve"> HYPERLINK "00_Reference_Architecture_v1_4.docx" \l "RA_s_020"</w:instrText>
      </w:r>
      <w:r>
        <w:rPr>
          <w:rStyle w:val="Style"/>
          <w:u w:val="single"/>
          <w:color w:val="176B70"/>
        </w:rPr>
        <w:fldChar w:fldCharType="separate"/>
      </w:r>
      <w:r>
        <w:rPr>
          <w:rStyle w:val="Style"/>
          <w:color w:val="176B70"/>
          <w:u w:val="single"/>
        </w:rPr>
        <w:t>Parent work-package model</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"VND_s_001"</w:instrText>
      </w:r>
      <w:r>
        <w:rPr>
          <w:rStyle w:val="Style"/>
          <w:u w:val="single"/>
          <w:color w:val="176B70"/>
        </w:rPr>
        <w:fldChar w:fldCharType="separate"/>
      </w:r>
      <w:r>
        <w:rPr>
          <w:rStyle w:val="Style"/>
          <w:color w:val="176B70"/>
          <w:u w:val="single"/>
        </w:rPr>
        <w:t>Two-tenant fixture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"QUAL_s_007"</w:instrText>
      </w:r>
      <w:r>
        <w:rPr>
          <w:rStyle w:val="Style"/>
          <w:u w:val="single"/>
          <w:color w:val="176B70"/>
        </w:rPr>
        <w:fldChar w:fldCharType="separate"/>
      </w:r>
      <w:r>
        <w:rPr>
          <w:rStyle w:val="Style"/>
          <w:color w:val="176B70"/>
          <w:u w:val="single"/>
        </w:rPr>
        <w:t>Decision accountability</w:t>
      </w:r>
      <w:r>
        <w:rPr>
          <w:rStyle w:val="Style"/>
          <w:u w:val="single"/>
          <w:color w:val="176B70"/>
        </w:rPr>
        <w:fldChar w:fldCharType="end"/>
      </w:r>
    </w:p>
    <w:p>
      <w:pPr>
        <w:pStyle w:val="Heading1"/>
        <w:rPr/>
      </w:pPr>
      <w:bookmarkStart w:id="4" w:name="__RefHeading___Toc7814_1525915568"/>
      <w:bookmarkStart w:id="5" w:name="PROV_s_002"/>
      <w:bookmarkEnd w:id="4"/>
      <w:r>
        <w:rPr/>
        <w:t>2. Day-0 and steady-state commissioning without circular dependencies</w:t>
      </w:r>
      <w:bookmarkEnd w:id="5"/>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"RA_s_006"</w:instrText>
      </w:r>
      <w:r>
        <w:rPr>
          <w:rStyle w:val="Style"/>
          <w:u w:val="single"/>
          <w:color w:val="176B70"/>
        </w:rPr>
        <w:fldChar w:fldCharType="separate"/>
      </w:r>
      <w:r>
        <w:rPr>
          <w:rStyle w:val="Style"/>
          <w:color w:val="176B70"/>
          <w:u w:val="single"/>
        </w:rPr>
        <w:t>RA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"RA_s_021"</w:instrText>
      </w:r>
      <w:r>
        <w:rPr>
          <w:rStyle w:val="Style"/>
          <w:u w:val="single"/>
          <w:color w:val="176B70"/>
        </w:rPr>
        <w:fldChar w:fldCharType="separate"/>
      </w:r>
      <w:r>
        <w:rPr>
          <w:rStyle w:val="Style"/>
          <w:color w:val="176B70"/>
          <w:u w:val="single"/>
        </w:rPr>
        <w:t>RA §21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p>
    <w:p>
      <w:pPr>
        <w:pStyle w:val="Normal"/>
        <w:rPr/>
      </w:pPr>
      <w:r>
        <w:rPr/>
        <w:t>Day 0 creates the conditions that normal automation consumes. Start with a controlled console/OOB path, operator trust and verified artifacts. Identify the minimum name/time, identity or emergency identity, certificate trust, key access, configuration/state recovery and installation repositories needed while the new cell is unavailable. Their initial placement may be external to that cell, but it remains explicitly governed. [</w:t>
      </w:r>
      <w:hyperlink w:anchor="PROV_src_B2">
        <w:r>
          <w:rPr>
            <w:rStyle w:val="Style"/>
            <w:color w:val="176B70"/>
            <w:u w:val="single"/>
          </w:rPr>
          <w:t>B2</w:t>
        </w:r>
      </w:hyperlink>
      <w:r>
        <w:rPr/>
        <w:t xml:space="preserve"> §21]</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410"/>
        <w:gridCol w:w="3705"/>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Commissioning stage</w:t>
            </w:r>
          </w:p>
        </w:tc>
        <w:tc>
          <w:tcPr>
            <w:tcW w:w="441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Infrastructure action</w:t>
            </w:r>
          </w:p>
        </w:tc>
        <w:tc>
          <w:tcPr>
            <w:tcW w:w="37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Exit and safe pause point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 preparation</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Verify physical resource, fault-domain, port-role and support inventory; secure staging.</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default-access device is exposed outside the controlled commissioning path.</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Independent administration</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Establish approved console/OOB, scoped initial credentials and recovery custody.</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The intended primary fabric/platform failure does not remove the only administration path.</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Minimum dependencies</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 trusted name/time, identity or approved emergency path, certificates, artifacts and required key access.</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Their actual locations and dependency graph are known; no assumed service exists only inside the unbuilt platform.</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Protected execution</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Prepare scoped tooling and recoverable configuration/state records.</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Artifact integrity and endpoint trust checked; credentials are not embedded in source.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Transport and platform installation</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Commission P1, then supported P2 installation with required bootstrap dependencies.</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Routing, MTU, management and platform baseline observed before tenant allocation.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Common services and joint testing</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Commission P3 and complete representative P2/P3 integration/failure tests.</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Service envelope accepted with actual capacity, dependencies and owners.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Transfer to steady state</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Move temporary ownership/dependencies to agreed steady-state services and verify recovery again.</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Temporary grants revoked without deleting the sole emergency or recovery material.</w:t>
            </w:r>
          </w:p>
        </w:tc>
      </w:tr>
    </w:tbl>
    <w:p>
      <w:pPr>
        <w:pStyle w:val="Normal"/>
        <w:spacing w:lineRule="auto" w:line="240" w:before="0" w:after="40"/>
        <w:rPr/>
      </w:pPr>
      <w:r>
        <w:rPr/>
      </w:r>
    </w:p>
    <w:p>
      <w:pPr>
        <w:pStyle w:val="Normal"/>
        <w:rPr/>
      </w:pPr>
      <w:r>
        <w:rPr/>
        <w:t>Use a dependency-cut review: for every primary service, remove the resource or fault domain it is meant to recover from and ask whether the recovery plan still has an authorized path to the necessary keys, configuration and data. A backup on another datastore may still depend on the same failed identity provider or controller. Logical duplication does not demonstrate independence.</w:t>
      </w:r>
    </w:p>
    <w:p>
      <w:pPr>
        <w:pStyle w:val="Normal"/>
        <w:rPr/>
      </w:pPr>
      <w:r>
        <w:rPr/>
        <w:t>The transition record names each temporary endpoint, credential, route, artifact store and exception; its consuming package; its steady-state replacement; the verification performed after transfer; and the authority allowed to retire it. Bootstrap expiry must not automatically remove a still-required recovery dependency. Unresolved transitions remain an explicit operating restriction rather than hidden permanent defaults.</w:t>
      </w:r>
    </w:p>
    <w:p>
      <w:pPr>
        <w:pStyle w:val="Normal"/>
        <w:rPr/>
      </w:pPr>
      <w:r>
        <w:rPr/>
        <w:t>Subsequent capacity expansion reuses P1–P3 controls. Hosts, edge contexts, storage pools and attachment capacity enter service only after baseline, compatibility, surviving capacity and ownership checks. An expansion may be automated, but it remains a foundation operation with a different impact boundary from adding one workload.</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"SVC_s_003"</w:instrText>
      </w:r>
      <w:r>
        <w:rPr>
          <w:rStyle w:val="Style"/>
          <w:u w:val="single"/>
          <w:color w:val="176B70"/>
        </w:rPr>
        <w:fldChar w:fldCharType="separate"/>
      </w:r>
      <w:r>
        <w:rPr>
          <w:rStyle w:val="Style"/>
          <w:color w:val="176B70"/>
          <w:u w:val="single"/>
        </w:rPr>
        <w:t>Trust-service recovery</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"SVC_s_006"</w:instrText>
      </w:r>
      <w:r>
        <w:rPr>
          <w:rStyle w:val="Style"/>
          <w:u w:val="single"/>
          <w:color w:val="176B70"/>
        </w:rPr>
        <w:fldChar w:fldCharType="separate"/>
      </w:r>
      <w:r>
        <w:rPr>
          <w:rStyle w:val="Style"/>
          <w:color w:val="176B70"/>
          <w:u w:val="single"/>
        </w:rPr>
        <w:t>Recovery dependency order</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Fault-domain record</w:t>
      </w:r>
      <w:r>
        <w:rPr>
          <w:rStyle w:val="Style"/>
          <w:u w:val="single"/>
          <w:color w:val="176B70"/>
        </w:rPr>
        <w:fldChar w:fldCharType="end"/>
      </w:r>
    </w:p>
    <w:p>
      <w:pPr>
        <w:pStyle w:val="Heading1"/>
        <w:rPr/>
      </w:pPr>
      <w:bookmarkStart w:id="6" w:name="__RefHeading___Toc7816_1525915568"/>
      <w:bookmarkStart w:id="7" w:name="PROV_s_003"/>
      <w:bookmarkEnd w:id="6"/>
      <w:r>
        <w:rPr/>
        <w:t>3. Terraform, native tools and operation-level support</w:t>
      </w:r>
      <w:bookmarkEnd w:id="7"/>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"RA_s_016"</w:instrText>
      </w:r>
      <w:r>
        <w:rPr>
          <w:rStyle w:val="Style"/>
          <w:u w:val="single"/>
          <w:color w:val="176B70"/>
        </w:rPr>
        <w:fldChar w:fldCharType="separate"/>
      </w:r>
      <w:r>
        <w:rPr>
          <w:rStyle w:val="Style"/>
          <w:color w:val="176B70"/>
          <w:u w:val="single"/>
        </w:rPr>
        <w:t>RA §16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"RA_s_017"</w:instrText>
      </w:r>
      <w:r>
        <w:rPr>
          <w:rStyle w:val="Style"/>
          <w:u w:val="single"/>
          <w:color w:val="176B70"/>
        </w:rPr>
        <w:fldChar w:fldCharType="separate"/>
      </w:r>
      <w:r>
        <w:rPr>
          <w:rStyle w:val="Style"/>
          <w:color w:val="176B70"/>
          <w:u w:val="single"/>
        </w:rPr>
        <w:t>RA §17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"RA_s_018"</w:instrText>
      </w:r>
      <w:r>
        <w:rPr>
          <w:rStyle w:val="Style"/>
          <w:u w:val="single"/>
          <w:color w:val="176B70"/>
        </w:rPr>
        <w:fldChar w:fldCharType="separate"/>
      </w:r>
      <w:r>
        <w:rPr>
          <w:rStyle w:val="Style"/>
          <w:color w:val="176B70"/>
          <w:u w:val="single"/>
        </w:rPr>
        <w:t>RA §18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Normal"/>
        <w:rPr/>
      </w:pPr>
      <w:r>
        <w:rPr/>
        <w:t>Select execution mechanisms at the resource-operation boundary. Terraform is appropriate where the qualified provider exposes the required lifecycle through supported management interfaces. A platform or distribution installer remains authoritative for installation and upgrades it owns. Shared services remain under their own management tools and credentials. A command embedded in Terraform does not gain declarative observation, update or deletion support merely from being invoked during an apply. [</w:t>
      </w:r>
      <w:hyperlink w:anchor="PROV_src_B2">
        <w:r>
          <w:rPr>
            <w:rStyle w:val="Style"/>
            <w:color w:val="176B70"/>
            <w:u w:val="single"/>
          </w:rPr>
          <w:t>B2</w:t>
        </w:r>
      </w:hyperlink>
      <w:r>
        <w:rPr/>
        <w:t xml:space="preserve"> §§21, 24]</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3937"/>
        <w:gridCol w:w="3937"/>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Resource family</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Candidate execution owner/mechanism</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lifecycle evidence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Physical switches, OOB and attachment pools</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Foundation configuration tooling or a specifically qualified network provider.</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Read current config; safe changes; rollback/recovery; drift and withdrawal.</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Nutanix domain, subnet, VM and policy</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Qualified Nutanix API/provider for the selected AOS/Prism/Flow combination.</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Per-resource create/read/update/adopt/delete, asynchronous task and failure behaviour.</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VMware compute/storage and NSX networking</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Separately scoped vSphere and NSX integrations; selected platform lifecycle tools.</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Placement and disk changes; gateway/policy support; destructive replacement and release compatibility.</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OpenStack tenant/instance/volume/network</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Selected distribution lifecycle tools plus qualified service API/provider resources.</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 scope, backend-dependent policy, eventual consistency, cleanup and import limitations.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ZIP and external service policy</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Security-owner-approved management/provider integration.</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Context, routes, rules, sessions, HA state and safe revocation.</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IPAM/DNS, keys, identity and protection</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Authoritative service integrations, not recreated by every hosting adapter.</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Reservations, ownership, entitlement, version/expiry and compensating cleanup.</w:t>
            </w:r>
          </w:p>
        </w:tc>
      </w:tr>
    </w:tbl>
    <w:p>
      <w:pPr>
        <w:pStyle w:val="Normal"/>
        <w:spacing w:lineRule="auto" w:line="240" w:before="0" w:after="40"/>
        <w:rPr/>
      </w:pPr>
      <w:r>
        <w:rPr/>
      </w:r>
    </w:p>
    <w:p>
      <w:pPr>
        <w:pStyle w:val="Normal"/>
        <w:rPr/>
      </w:pPr>
      <w:r>
        <w:rPr/>
        <w:t>The operation-coverage register accompanies this release. Its rows begin as unqualified, because no target environment was supplied. For each exact native resource, mark every operation as supported and verified, supported but not tested, unsupported, not applicable with rationale, or owned externally with an accepted handoff. Attach the actual provider/API and release evidence; do not fill a whole row from a provider’s product name.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174"/>
        <w:gridCol w:w="3941"/>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Operation</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Question to resolve</w:t>
            </w:r>
          </w:p>
        </w:tc>
        <w:tc>
          <w:tcPr>
            <w:tcW w:w="394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Disqualifying ambiguity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Observe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Can the owner find actual resource/config/task state after losing a response?</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Only create is possible; no reliable reconciliation.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Create</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Is baseline policy present before the new endpoint becomes reachable?</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Native default connectivity exists until a later best-effort script.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Update / replace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Which changes are in-place, disruptive or destructive?</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resize/policy change unexpectedly recreates a live disk or gateway.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Adopt / import</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Can existing identity and ownership be preserved without replacement?</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Import is treated as permission to change every dependent live resource.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Delete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Are routes, ports, sessions, addresses and shared/retained dependencies reconciled?</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process reports success while active authority or owned resources remain.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Recover uncertain outcome</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Can an interrupted operation be safely resumed or compensated?</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Retry duplicates allocation or destroys data written after the first attempt.</w:t>
            </w:r>
          </w:p>
        </w:tc>
      </w:tr>
    </w:tbl>
    <w:p>
      <w:pPr>
        <w:pStyle w:val="Normal"/>
        <w:spacing w:lineRule="auto" w:line="240" w:before="0" w:after="40"/>
        <w:rPr/>
      </w:pPr>
      <w:r>
        <w:rPr/>
      </w:r>
    </w:p>
    <w:p>
      <w:pPr>
        <w:pStyle w:val="Normal"/>
        <w:rPr/>
      </w:pPr>
      <w:r>
        <w:rPr/>
        <w:t>Root Terraform configurations supply provider configuration to focused modules; provider requirements and aliases are handled explicitly. Protect plan/state artifacts and keep execution authority aligned with the work package. Provider dependency lockfiles record provider selections and checksums, not remote module versions; pin module and executor artifacts independently. These tool rules implement, rather than determine, the architectural ownership model. [</w:t>
      </w:r>
      <w:hyperlink w:anchor="PROV_src_S13">
        <w:r>
          <w:rPr>
            <w:rStyle w:val="Style"/>
            <w:color w:val="176B70"/>
            <w:u w:val="single"/>
          </w:rPr>
          <w:t>S13</w:t>
        </w:r>
      </w:hyperlink>
      <w:r>
        <w:rPr/>
        <w:t xml:space="preserve">; </w:t>
      </w:r>
      <w:hyperlink w:anchor="PROV_src_S14">
        <w:r>
          <w:rPr>
            <w:rStyle w:val="Style"/>
            <w:color w:val="176B70"/>
            <w:u w:val="single"/>
          </w:rPr>
          <w:t>S14</w:t>
        </w:r>
      </w:hyperlink>
      <w:r>
        <w:rPr/>
        <w:t>]</w:t>
      </w:r>
    </w:p>
    <w:p>
      <w:pPr>
        <w:pStyle w:val="Normal"/>
        <w:rPr/>
      </w:pPr>
      <w:r>
        <w:rPr/>
        <w:t>No particular firewall, IPAM, backup or key vendor is selected by this reference. Their integration owners must fill the missing operation rows before automation is offered. A supported external operation with a controlled handoff can be legitimate; an undocumented manual step or non-observable shell side effect cannot be reported as complete zero-touch coverage.</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"VND_s_007"</w:instrText>
      </w:r>
      <w:r>
        <w:rPr>
          <w:rStyle w:val="Style"/>
          <w:u w:val="single"/>
          <w:color w:val="176B70"/>
        </w:rPr>
        <w:fldChar w:fldCharType="separate"/>
      </w:r>
      <w:r>
        <w:rPr>
          <w:rStyle w:val="Style"/>
          <w:color w:val="176B70"/>
          <w:u w:val="single"/>
        </w:rPr>
        <w:t>Version and compatibility record</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Lifecycle qualification</w:t>
      </w:r>
      <w:r>
        <w:rPr>
          <w:rStyle w:val="Style"/>
          <w:u w:val="single"/>
          <w:color w:val="176B70"/>
        </w:rPr>
        <w:fldChar w:fldCharType="end"/>
      </w:r>
    </w:p>
    <w:p>
      <w:pPr>
        <w:pStyle w:val="Heading1"/>
        <w:rPr/>
      </w:pPr>
      <w:bookmarkStart w:id="8" w:name="__RefHeading___Toc7818_1525915568"/>
      <w:bookmarkStart w:id="9" w:name="PROV_s_004"/>
      <w:bookmarkEnd w:id="8"/>
      <w:r>
        <w:rPr/>
        <w:t>4. End-to-end fixture provisioning and safe activation</w:t>
      </w:r>
      <w:bookmarkEnd w:id="9"/>
    </w:p>
    <w:p>
      <w:pPr>
        <w:pStyle w:val="Normal"/>
        <w:spacing w:before="0" w:after="160"/>
        <w:rPr/>
      </w:pPr>
      <w:r>
        <w:rPr/>
        <w:t>Activation scope is explicit. A restricted non-production fixture can be built under its approved test authorization before platform qualification is complete, solely to produce the required evidence. Production activation requires accepted platform/service capability, current workload checks, applicable operational/recovery readiness and valid authority. The post-activation handover records the accepted as-built service; it does not defer selecting its owner, protection or recovery obligations.</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"RA_s_023"</w:instrText>
      </w:r>
      <w:r>
        <w:rPr>
          <w:rStyle w:val="Style"/>
          <w:u w:val="single"/>
          <w:color w:val="176B70"/>
        </w:rPr>
        <w:fldChar w:fldCharType="separate"/>
      </w:r>
      <w:r>
        <w:rPr>
          <w:rStyle w:val="Style"/>
          <w:color w:val="176B70"/>
          <w:u w:val="single"/>
        </w:rPr>
        <w:t>RA §23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Normal"/>
        <w:rPr/>
      </w:pPr>
      <w:r>
        <w:rPr/>
        <w:t>This sequence builds the VND §1 reference fixture on one chosen stack. It assumes P0–P3 are accepted for the offered class; it does not silently perform procurement or platform installation. Repeat the same outcome on a second stack for portability evidence. The native resources differ, while the domain ownership, service paths and activation conditions remain the same.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256"/>
        <w:gridCol w:w="3859"/>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Step</w:t>
            </w:r>
          </w:p>
        </w:tc>
        <w:tc>
          <w:tcPr>
            <w:tcW w:w="425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Actual infrastructure deliverable</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Gate and response to failure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1 · approve and place</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Two tenant scopes, WSD requirements and eligible cells/pools selected.</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Conflicting category, isolation, location or recovery requirement rejects before allocation.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2 · reserve</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Compute/data demand, four domain attachments and actual address allocations reserved under owner IDs.</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Any scarce dependency failure releases unused reservations or leaves a clearly owned pending allocation.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3 · establish native scope</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D01O/D01R/D02O/D02R and their networks/gateway contexts created or explicitly reused.</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Mandatory deny baseline effective; no endpoint activation yet.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4 · connect boundary</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A01O…A02R paired to accepted edge contexts; Z01/Z02 routes and narrow policies configured.</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Unknown/native bypass path prevents subsequent exposure.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5 · allocate endpoints/data</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processor/data test endpoints and owned storage attached within eligible pools.</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reassignment of another tenant’s disk or ineligible host on failure.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6 · attach necessary services</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Names, time, trust, logging and protection assignments established.</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Initialization allows only the approved endpoint/protocol/identity scope.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7 · verify under restriction</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Healthy positive controls, cross-tenant/management denials, permitted data service, route ownership and protection verified.</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Failed or missing evidence leaves service restricted; preserve test data for diagnosis.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8 · controlled activation</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Activate only the approved access and mode. Production requires applicable G4 readiness and operating authority; a qualification fixture remains restricted and non-production.</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Failed immediate live-path check withdraws new exposure and sessions according to policy.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9 · hand over</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As-built resources, service parameters, operating owner and required authorization recorded.</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The final record confirms already accepted ownership and authorization; neither may first be obtained after production exposure.</w:t>
            </w:r>
          </w:p>
        </w:tc>
      </w:tr>
    </w:tbl>
    <w:p>
      <w:pPr>
        <w:pStyle w:val="Normal"/>
        <w:spacing w:lineRule="auto" w:line="240" w:before="0" w:after="40"/>
        <w:rPr/>
      </w:pPr>
      <w:r>
        <w:rPr/>
      </w:r>
    </w:p>
    <w:p>
      <w:pPr>
        <w:pStyle w:val="Normal"/>
        <w:rPr/>
      </w:pPr>
      <w:r>
        <w:rPr/>
        <w:t>Treat network attachment and exposure as explicit activation boundaries. During assembly, endpoints may be absent, disconnected or held in a verified quarantine policy. A temporary bootstrap permit needs a named endpoint, reason, protocol set, owner and withdrawal condition. It must not permit arbitrary access to management or the whole shared-services network. Retain essential service access after activation only where it is part of the approved steady-state design.</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485"/>
        <w:gridCol w:w="3548"/>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Interrupted stage</w:t>
            </w:r>
          </w:p>
        </w:tc>
        <w:tc>
          <w:tcPr>
            <w:tcW w:w="448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Safe recovery action</w:t>
            </w:r>
          </w:p>
        </w:tc>
        <w:tc>
          <w:tcPr>
            <w:tcW w:w="354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 not do</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Before endpoint/data creation</w:t>
            </w:r>
          </w:p>
        </w:tc>
        <w:tc>
          <w:tcPr>
            <w:tcW w:w="448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Discover actual reservations and native network state; retry with original identities or remove unused owned objects.</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Allocate another prefix because a response was lost.</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After endpoint/data creation</w:t>
            </w:r>
          </w:p>
        </w:tc>
        <w:tc>
          <w:tcPr>
            <w:tcW w:w="448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Keep isolation, identify actual completed tasks and preserve owned data; resume or approve a data-safe removal.</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Blindly destroy the stack to force a clean rerun.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After exposure or writes</w:t>
            </w:r>
          </w:p>
        </w:tc>
        <w:tc>
          <w:tcPr>
            <w:tcW w:w="448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Withdraw affected access, retain evidence and choose forward repair or recovery with the data owner.</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Assume reverting Terraform state restores old infrastructure or old data.</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During shared-service change</w:t>
            </w:r>
          </w:p>
        </w:tc>
        <w:tc>
          <w:tcPr>
            <w:tcW w:w="448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Coordinate consumer impact and retain an accepted previous service path where safe.</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Delete shared domains or keys merely because one WSD failed.</w:t>
            </w:r>
          </w:p>
        </w:tc>
      </w:tr>
    </w:tbl>
    <w:p>
      <w:pPr>
        <w:pStyle w:val="Normal"/>
        <w:spacing w:lineRule="auto" w:line="240" w:before="0" w:after="40"/>
        <w:rPr/>
      </w:pPr>
      <w:r>
        <w:rPr/>
      </w:r>
    </w:p>
    <w:p>
      <w:pPr>
        <w:pStyle w:val="Normal"/>
        <w:rPr/>
      </w:pPr>
      <w:r>
        <w:rPr/>
        <w:t>Post-activation verification checks the actual entry and reply path, not only the pre-activation internal fixture. An exposure change can alter DNS, NAT, load-balancer health or routing. Where public ingress is offered, use a separately approved PAZ test path and scope before production; the base fixture does not acquire public access merely to simplify testing.</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"NET_s_003"</w:instrText>
      </w:r>
      <w:r>
        <w:rPr>
          <w:rStyle w:val="Style"/>
          <w:u w:val="single"/>
          <w:color w:val="176B70"/>
        </w:rPr>
        <w:fldChar w:fldCharType="separate"/>
      </w:r>
      <w:r>
        <w:rPr>
          <w:rStyle w:val="Style"/>
          <w:color w:val="176B70"/>
          <w:u w:val="single"/>
        </w:rPr>
        <w:t>Expected traffic outcomes</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"SVC_s_002"</w:instrText>
      </w:r>
      <w:r>
        <w:rPr>
          <w:rStyle w:val="Style"/>
          <w:u w:val="single"/>
          <w:color w:val="176B70"/>
        </w:rPr>
        <w:fldChar w:fldCharType="separate"/>
      </w:r>
      <w:r>
        <w:rPr>
          <w:rStyle w:val="Style"/>
          <w:color w:val="176B70"/>
          <w:u w:val="single"/>
        </w:rPr>
        <w:t>Narrow service protocols</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Activation evidence</w:t>
      </w:r>
      <w:r>
        <w:rPr>
          <w:rStyle w:val="Style"/>
          <w:u w:val="single"/>
          <w:color w:val="176B70"/>
        </w:rPr>
        <w:fldChar w:fldCharType="end"/>
      </w:r>
    </w:p>
    <w:p>
      <w:pPr>
        <w:pStyle w:val="Heading1"/>
        <w:rPr/>
      </w:pPr>
      <w:bookmarkStart w:id="10" w:name="__RefHeading___Toc7820_1525915568"/>
      <w:bookmarkStart w:id="11" w:name="PROV_s_005"/>
      <w:bookmarkEnd w:id="10"/>
      <w:r>
        <w:rPr/>
        <w:t>5. Concurrency, ownership and failed execution</w:t>
      </w:r>
      <w:bookmarkEnd w:id="11"/>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"RA_s_025"</w:instrText>
      </w:r>
      <w:r>
        <w:rPr>
          <w:rStyle w:val="Style"/>
          <w:u w:val="single"/>
          <w:color w:val="176B70"/>
        </w:rPr>
        <w:fldChar w:fldCharType="separate"/>
      </w:r>
      <w:r>
        <w:rPr>
          <w:rStyle w:val="Style"/>
          <w:color w:val="176B70"/>
          <w:u w:val="single"/>
        </w:rPr>
        <w:t>RA §25</w:t>
      </w:r>
      <w:r>
        <w:rPr>
          <w:rStyle w:val="Style"/>
          <w:u w:val="single"/>
          <w:color w:val="176B70"/>
        </w:rPr>
        <w:fldChar w:fldCharType="end"/>
      </w:r>
    </w:p>
    <w:p>
      <w:pPr>
        <w:pStyle w:val="Normal"/>
        <w:rPr/>
      </w:pPr>
      <w:r>
        <w:rPr/>
        <w:t>One authoritative tool/owner controls a native resource at a time. State boundaries help organize that ownership, but a lock on one state file is not a lock over every API, shared gateway or external address service involved in a delivery. Shared edge or service objects need an explicitly serialized owner where concurrent changes could conflict. Independent per-WSD resources can proceed concurrently only within accepted shared limits.</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60"/>
        <w:gridCol w:w="3939"/>
        <w:gridCol w:w="3780"/>
      </w:tblGrid>
      <w:tr>
        <w:trPr>
          <w:tblHeader w:val="true"/>
          <w:cantSplit w:val="true"/>
        </w:trPr>
        <w:tc>
          <w:tcPr>
            <w:tcW w:w="236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Failure or race</w:t>
            </w:r>
          </w:p>
        </w:tc>
        <w:tc>
          <w:tcPr>
            <w:tcW w:w="393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operational decision</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Evidence before resumption</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Two runs target one native object</w:t>
            </w:r>
          </w:p>
        </w:tc>
        <w:tc>
          <w:tcPr>
            <w:tcW w:w="393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Stop the competing writer; preserve authoritative desired state and current native state.</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Assigned owner, completed/active tasks and matching accepted plan.</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Executor loses network or lease</w:t>
            </w:r>
          </w:p>
        </w:tc>
        <w:tc>
          <w:tcPr>
            <w:tcW w:w="393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 not assume its native API task stopped. Discover task/resource outcome through the authorized owner.</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Task identity, eventual completion/failure and any late side effects.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Credential revoked mid-operation</w:t>
            </w:r>
          </w:p>
        </w:tc>
        <w:tc>
          <w:tcPr>
            <w:tcW w:w="393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Prevent new activity; account for already accepted work at the target.</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native task results and scope of still-valid sessions.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Old plan versus new policy/state</w:t>
            </w:r>
          </w:p>
        </w:tc>
        <w:tc>
          <w:tcPr>
            <w:tcW w:w="393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Re-evaluate against current approval, capacity, policy and configuration.</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fresh compatible change record, not a reused unrelated approval.</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State backend unavailable/corrupt</w:t>
            </w:r>
          </w:p>
        </w:tc>
        <w:tc>
          <w:tcPr>
            <w:tcW w:w="393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Pause untracked changes; recover protected state/configuration and reconcile real objects.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Known writer status, ownership and native resource comparison.</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Incident containment conflicts with normal desired state</w:t>
            </w:r>
          </w:p>
        </w:tc>
        <w:tc>
          <w:tcPr>
            <w:tcW w:w="393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Containment remains higher priority until the incident authority releases it.</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override/release and reconciled source, rules and sessions.</w:t>
            </w:r>
          </w:p>
        </w:tc>
      </w:tr>
    </w:tbl>
    <w:p>
      <w:pPr>
        <w:pStyle w:val="Normal"/>
        <w:spacing w:lineRule="auto" w:line="240" w:before="0" w:after="40"/>
        <w:rPr/>
      </w:pPr>
      <w:r>
        <w:rPr/>
      </w:r>
    </w:p>
    <w:p>
      <w:pPr>
        <w:pStyle w:val="Normal"/>
        <w:rPr/>
      </w:pPr>
      <w:r>
        <w:rPr/>
        <w:t>An ambiguous outcome is a controlled stop point, not permission to guess. Query by stable native identity and operation correlation, examine outstanding tasks, and determine whether the intended resource already exists. Where the target cannot provide adequate observation or cancellation, the supported recovery procedure and residual limitations are part of the service class. Do not claim exactly-once multi-system changes from a single successful pipeline run.</w:t>
      </w:r>
    </w:p>
    <w:p>
      <w:pPr>
        <w:pStyle w:val="Normal"/>
        <w:rPr/>
      </w:pPr>
      <w:r>
        <w:rPr/>
        <w:t>Compensation is resource-specific. Releasing an unused reservation can be safe; deleting a newly written volume may not be. Removing a failed tenant’s private policy object differs from removing a shared edge context. The accepted recovery record identifies data impact, shared dependencies, approval authority and the checks required before retries. This is an operational strategy; no particular transaction engine is mandated.</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"SVC_s_004"</w:instrText>
      </w:r>
      <w:r>
        <w:rPr>
          <w:rStyle w:val="Style"/>
          <w:u w:val="single"/>
          <w:color w:val="176B70"/>
        </w:rPr>
        <w:fldChar w:fldCharType="separate"/>
      </w:r>
      <w:r>
        <w:rPr>
          <w:rStyle w:val="Style"/>
          <w:color w:val="176B70"/>
          <w:u w:val="single"/>
        </w:rPr>
        <w:t>Copy ownership and retained data</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"QUAL_s_007"</w:instrText>
      </w:r>
      <w:r>
        <w:rPr>
          <w:rStyle w:val="Style"/>
          <w:u w:val="single"/>
          <w:color w:val="176B70"/>
        </w:rPr>
        <w:fldChar w:fldCharType="separate"/>
      </w:r>
      <w:r>
        <w:rPr>
          <w:rStyle w:val="Style"/>
          <w:color w:val="176B70"/>
          <w:u w:val="single"/>
        </w:rPr>
        <w:t>Incident and operational authority</w:t>
      </w:r>
      <w:r>
        <w:rPr>
          <w:rStyle w:val="Style"/>
          <w:u w:val="single"/>
          <w:color w:val="176B70"/>
        </w:rPr>
        <w:fldChar w:fldCharType="end"/>
      </w:r>
    </w:p>
    <w:p>
      <w:pPr>
        <w:pStyle w:val="Heading1"/>
        <w:rPr/>
      </w:pPr>
      <w:bookmarkStart w:id="12" w:name="__RefHeading___Toc7822_1525915568"/>
      <w:bookmarkStart w:id="13" w:name="PROV_s_006"/>
      <w:bookmarkEnd w:id="12"/>
      <w:r>
        <w:rPr/>
        <w:t>6. Brownfield adoption, growth and retirement</w:t>
      </w:r>
      <w:bookmarkEnd w:id="13"/>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"RA_s_025"</w:instrText>
      </w:r>
      <w:r>
        <w:rPr>
          <w:rStyle w:val="Style"/>
          <w:u w:val="single"/>
          <w:color w:val="176B70"/>
        </w:rPr>
        <w:fldChar w:fldCharType="separate"/>
      </w:r>
      <w:r>
        <w:rPr>
          <w:rStyle w:val="Style"/>
          <w:color w:val="176B70"/>
          <w:u w:val="single"/>
        </w:rPr>
        <w:t>RA §25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Adopt an existing environment without treating discovery as permission to mutate it. First record the actual physical/logical topology, native identifiers, routes, policy, data copies, management tools and operating owners. Compare it with the parent architecture and distinguish a supported legacy variation from an unexplained gap. An imported state record does not prove conformance. [</w:t>
      </w:r>
      <w:hyperlink w:anchor="PROV_src_B2">
        <w:r>
          <w:rPr>
            <w:rStyle w:val="Style"/>
            <w:color w:val="176B70"/>
            <w:u w:val="single"/>
          </w:rPr>
          <w:t>B2</w:t>
        </w:r>
      </w:hyperlink>
      <w:r>
        <w:rPr/>
        <w:t xml:space="preserve"> §25]</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493"/>
        <w:gridCol w:w="3465"/>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Adoption stage</w:t>
            </w:r>
          </w:p>
        </w:tc>
        <w:tc>
          <w:tcPr>
            <w:tcW w:w="449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artefact</w:t>
            </w:r>
          </w:p>
        </w:tc>
        <w:tc>
          <w:tcPr>
            <w:tcW w:w="34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Stop condition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Discover and protect</w:t>
            </w:r>
          </w:p>
        </w:tc>
        <w:tc>
          <w:tcPr>
            <w:tcW w:w="449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Inventory, dependency/owner map, backup/recovery and agreed change freeze scope.</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Unknown critical ownership or unverified recovery path.</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Select authoritative owner</w:t>
            </w:r>
          </w:p>
        </w:tc>
        <w:tc>
          <w:tcPr>
            <w:tcW w:w="449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Object-by-object assignment to existing tool, new tool or controlled handover.</w:t>
            </w:r>
          </w:p>
        </w:tc>
        <w:tc>
          <w:tcPr>
            <w:tcW w:w="34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Two controllers remain able to overwrite the same object.</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Model current accepted configuration</w:t>
            </w:r>
          </w:p>
        </w:tc>
        <w:tc>
          <w:tcPr>
            <w:tcW w:w="449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identifiers, current routes and approved variation recorded.</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New desired defaults would silently change live security or availability.</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Import/adopt using supported mechanism</w:t>
            </w:r>
          </w:p>
        </w:tc>
        <w:tc>
          <w:tcPr>
            <w:tcW w:w="449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Reviewed import operation and protected state; no implicit resource recreation.</w:t>
            </w:r>
          </w:p>
        </w:tc>
        <w:tc>
          <w:tcPr>
            <w:tcW w:w="34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Provider cannot represent required state without destructive replacement.</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Review no-op or explicit delta</w:t>
            </w:r>
          </w:p>
        </w:tc>
        <w:tc>
          <w:tcPr>
            <w:tcW w:w="449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Plan shows no unexpected replace/delete/exposure; peer review of unavoidable differences.</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Unexplained diff on a disk, network, gateway or shared service.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Canary change and observe</w:t>
            </w:r>
          </w:p>
        </w:tc>
        <w:tc>
          <w:tcPr>
            <w:tcW w:w="449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Small approved change, native observations and service/security checks.</w:t>
            </w:r>
          </w:p>
        </w:tc>
        <w:tc>
          <w:tcPr>
            <w:tcW w:w="34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Conformance or operating outcome differs from the accepted plan.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Transfer and operate</w:t>
            </w:r>
          </w:p>
        </w:tc>
        <w:tc>
          <w:tcPr>
            <w:tcW w:w="449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Old writer removed; owner, monitoring and recovery runbook accepted.</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Undocumented ongoing dual management or stranded credentials.</w:t>
            </w:r>
          </w:p>
        </w:tc>
      </w:tr>
    </w:tbl>
    <w:p>
      <w:pPr>
        <w:pStyle w:val="Normal"/>
        <w:spacing w:lineRule="auto" w:line="240" w:before="0" w:after="40"/>
        <w:rPr/>
      </w:pPr>
      <w:r>
        <w:rPr/>
      </w:r>
    </w:p>
    <w:p>
      <w:pPr>
        <w:pStyle w:val="Normal"/>
        <w:rPr/>
      </w:pPr>
      <w:r>
        <w:rPr/>
        <w:t>Capacity growth uses the same logic at a foundation boundary: admit hardware or new pools only after supported versions, physical dependency, routing/MTU, storage rebuild, inspection load and operating ownership checks. A tenant allocation consumes commissioned capacity; it does not silently expand a host-sharing domain or create a shared fallback network when capacity is exhausted.</w:t>
      </w:r>
    </w:p>
    <w:p>
      <w:pPr>
        <w:pStyle w:val="Normal"/>
        <w:rPr/>
      </w:pPr>
      <w:r>
        <w:rPr/>
        <w:t>Retirement starts with shared resources, required exports/backups and retention decisions. Preserve the paths and keys needed to meet those obligations; then withdraw optional exposure, remove endpoints and obsolete bindings, reconcile routes/names/addresses, revoke live authority and sanitize approved data. Retained copies keep a separate accountable recovery/retention scope. The final receipt states what remains and why instead of claiming complete destruction from a successful destroy command.</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"SVC_s_004"</w:instrText>
      </w:r>
      <w:r>
        <w:rPr>
          <w:rStyle w:val="Style"/>
          <w:u w:val="single"/>
          <w:color w:val="176B70"/>
        </w:rPr>
        <w:fldChar w:fldCharType="separate"/>
      </w:r>
      <w:r>
        <w:rPr>
          <w:rStyle w:val="Style"/>
          <w:color w:val="176B70"/>
          <w:u w:val="single"/>
        </w:rPr>
        <w:t>Data and retention ledger</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"SVC_s_006"</w:instrText>
      </w:r>
      <w:r>
        <w:rPr>
          <w:rStyle w:val="Style"/>
          <w:u w:val="single"/>
          <w:color w:val="176B70"/>
        </w:rPr>
        <w:fldChar w:fldCharType="separate"/>
      </w:r>
      <w:r>
        <w:rPr>
          <w:rStyle w:val="Style"/>
          <w:color w:val="176B70"/>
          <w:u w:val="single"/>
        </w:rPr>
        <w:t>Migration and failback</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"QUAL_s_007"</w:instrText>
      </w:r>
      <w:r>
        <w:rPr>
          <w:rStyle w:val="Style"/>
          <w:u w:val="single"/>
          <w:color w:val="176B70"/>
        </w:rPr>
        <w:fldChar w:fldCharType="separate"/>
      </w:r>
      <w:r>
        <w:rPr>
          <w:rStyle w:val="Style"/>
          <w:color w:val="176B70"/>
          <w:u w:val="single"/>
        </w:rPr>
        <w:t>Operational handover</w:t>
      </w:r>
      <w:r>
        <w:rPr>
          <w:rStyle w:val="Style"/>
          <w:u w:val="single"/>
          <w:color w:val="176B70"/>
        </w:rPr>
        <w:fldChar w:fldCharType="end"/>
      </w:r>
      <w:r>
        <w:br w:type="page"/>
      </w:r>
    </w:p>
    <w:p>
      <w:pPr>
        <w:pStyle w:val="Heading1"/>
        <w:spacing w:before="0" w:after="120"/>
        <w:rPr/>
      </w:pPr>
      <w:bookmarkStart w:id="14" w:name="__RefHeading___Toc7824_1525915568"/>
      <w:bookmarkStart w:id="15" w:name="PROV_app_References"/>
      <w:bookmarkEnd w:id="14"/>
      <w:r>
        <w:rPr/>
        <w:t>References — Parent basis and external context</w:t>
      </w:r>
      <w:bookmarkEnd w:id="15"/>
    </w:p>
    <w:p>
      <w:pPr>
        <w:pStyle w:val="Small"/>
        <w:rPr/>
      </w:pPr>
      <w:r>
        <w:rPr/>
        <w:t>Source IDs distinguish baseline-derived architecture from external context. References inform the stated design, not automatic adoption, installed compatibility or authorization. New engineering examples are local proposals. Review status below is specific to this release; inherited dates are not recertified merely by copying the source register.</w:t>
      </w:r>
    </w:p>
    <w:p>
      <w:pPr>
        <w:pStyle w:val="Heading2"/>
        <w:rPr/>
      </w:pPr>
      <w:bookmarkStart w:id="16" w:name="PROV_src_B2"/>
      <w:r>
        <w:rPr/>
        <w:t>B2 — Portable Secure Hosting — Infrastructure Reference Architecture and Cross-Platform Provisioning Strategy, Draft v1.2</w:t>
      </w:r>
      <w:bookmarkEnd w:id="16"/>
    </w:p>
    <w:p>
      <w:pPr>
        <w:pStyle w:val="Small"/>
        <w:rPr/>
      </w:pPr>
      <w:r>
        <w:rPr/>
        <w:t>16 September 2026; 55-page conversation baseline | Source baseline, not external authority</w:t>
      </w:r>
    </w:p>
    <w:p>
      <w:pPr>
        <w:pStyle w:val="Small"/>
        <w:rPr/>
      </w:pPr>
      <w:r>
        <w:rPr/>
        <w:t>Primary parent narrative, diagrams, 30 sections, 194 requirement IDs and referenced verification catalogues.</w:t>
      </w:r>
    </w:p>
    <w:p>
      <w:pPr>
        <w:pStyle w:val="Small"/>
        <w:rPr/>
      </w:pPr>
      <w:r>
        <w:rPr/>
        <w:t>Review status: Entire text read; three vendor diagram pages also inspected through Files; source bytes verified.</w:t>
      </w:r>
    </w:p>
    <w:p>
      <w:pPr>
        <w:pStyle w:val="Small"/>
        <w:rPr/>
      </w:pPr>
      <w:r>
        <w:rPr/>
        <w:t>Source file: Portable_Secure_Hosting_Infrastructure_Architecture_v1_2.docx. Complete baseline fingerprint is in registers/release_manifest.json.</w:t>
      </w:r>
    </w:p>
    <w:p>
      <w:pPr>
        <w:pStyle w:val="Heading2"/>
        <w:rPr/>
      </w:pPr>
      <w:bookmarkStart w:id="17" w:name="PROV_src_S13"/>
      <w:r>
        <w:rPr/>
        <w:t>S13 — Terraform - Providers within modules</w:t>
      </w:r>
      <w:bookmarkEnd w:id="17"/>
    </w:p>
    <w:p>
      <w:pPr>
        <w:pStyle w:val="Small"/>
        <w:rPr/>
      </w:pPr>
      <w:r>
        <w:rPr/>
        <w:t>Documentation snapshot 2026-09-16 | Implementation documentation</w:t>
      </w:r>
    </w:p>
    <w:p>
      <w:pPr>
        <w:pStyle w:val="Small"/>
        <w:rPr/>
      </w:pPr>
      <w:r>
        <w:rPr/>
        <w:t>Provider configuration in root modules; explicit provider passing and aliases where required.</w:t>
      </w:r>
    </w:p>
    <w:p>
      <w:pPr>
        <w:pStyle w:val="Small"/>
        <w:rPr/>
      </w:pPr>
      <w:r>
        <w:rPr/>
        <w:t>Review status: Full official page reviewed: root provider configuration and module passing.</w:t>
      </w:r>
    </w:p>
    <w:p>
      <w:pPr>
        <w:pStyle w:val="Small"/>
        <w:rPr/>
      </w:pPr>
      <w:hyperlink r:id="rId2">
        <w:r>
          <w:rPr>
            <w:rStyle w:val="Style"/>
            <w:color w:val="176B70"/>
            <w:u w:val="single"/>
          </w:rPr>
          <w:t>Open official source — Terraform - Providers within modules</w:t>
        </w:r>
      </w:hyperlink>
    </w:p>
    <w:p>
      <w:pPr>
        <w:pStyle w:val="Heading2"/>
        <w:rPr/>
      </w:pPr>
      <w:bookmarkStart w:id="18" w:name="PROV_src_S14"/>
      <w:r>
        <w:rPr/>
        <w:t>S14 — Terraform - Dependency lock file</w:t>
      </w:r>
      <w:bookmarkEnd w:id="18"/>
    </w:p>
    <w:p>
      <w:pPr>
        <w:pStyle w:val="Small"/>
        <w:rPr/>
      </w:pPr>
      <w:r>
        <w:rPr/>
        <w:t>Documentation snapshot 2026-09-16 | Implementation documentation</w:t>
      </w:r>
    </w:p>
    <w:p>
      <w:pPr>
        <w:pStyle w:val="Small"/>
        <w:rPr/>
      </w:pPr>
      <w:r>
        <w:rPr/>
        <w:t>Locks provider selections/checksums, not remote module selections; pin module versions or immutable revisions separately.</w:t>
      </w:r>
    </w:p>
    <w:p>
      <w:pPr>
        <w:pStyle w:val="Small"/>
        <w:rPr/>
      </w:pPr>
      <w:r>
        <w:rPr/>
        <w:t>Review status: Full official page reviewed: provider lockfile versus remote module versioning.</w:t>
      </w:r>
    </w:p>
    <w:p>
      <w:pPr>
        <w:pStyle w:val="Small"/>
        <w:widowControl/>
        <w:bidi w:val="0"/>
        <w:spacing w:lineRule="auto" w:line="245" w:before="0" w:after="100"/>
        <w:jc w:val="left"/>
        <w:rPr/>
      </w:pPr>
      <w:hyperlink r:id="rId3">
        <w:r>
          <w:rPr>
            <w:rStyle w:val="Style"/>
            <w:color w:val="176B70"/>
            <w:u w:val="single"/>
          </w:rPr>
          <w:t>Open official source — Terraform - Dependency lock file</w:t>
        </w:r>
      </w:hyperlink>
    </w:p>
    <w:p>
      <w:pPr>
        <w:pStyle w:val="Normal"/>
        <w:rPr/>
      </w:pPr>
      <w:r>
        <w:rPr/>
      </w:r>
      <w:r>
        <w:br w:type="page"/>
      </w:r>
    </w:p>
    <w:p>
      <w:pPr>
        <w:pStyle w:val="Heading1"/>
        <w:spacing w:before="0" w:after="120"/>
        <w:rPr/>
      </w:pPr>
      <w:bookmarkStart w:id="19" w:name="__RefHeading___Toc8261_1692646980"/>
      <w:bookmarkStart w:id="20" w:name="V14_PROV_REVISION"/>
      <w:bookmarkEnd w:id="19"/>
      <w:r>
        <w:rPr/>
        <w:t>v1.4 — Connected infrastructure design and acceptance</w:t>
      </w:r>
      <w:bookmarkEnd w:id="20"/>
    </w:p>
    <w:p>
      <w:pPr>
        <w:pStyle w:val="Heading2"/>
        <w:rPr/>
      </w:pPr>
      <w:r>
        <w:rPr/>
        <w:t>Activation prerequisite correction and connected build receipts</w:t>
      </w:r>
    </w:p>
    <w:p>
      <w:pPr>
        <w:pStyle w:val="Normal"/>
        <w:rPr/>
      </w:pPr>
      <w:r>
        <w:rPr/>
        <w:t>Use WD §§9–10 for the gate dependency and owned-resource build schedule. Installation of candidate infrastructure and restricted qualification fixtures does not equal G2 acceptance. Production G3 requires the applicable G4 readiness evidence before activation, including promised recovery capability, owners, custody, support and authority to operate. A later recurring G4 exercise does not replace that initial requirement. Final handover confirms the accepted as-built scope; it must not first discover a missing owner or protection obligation after production exposure.</w:t>
      </w:r>
    </w:p>
    <w:p>
      <w:pPr>
        <w:pStyle w:val="Normal"/>
        <w:rPr/>
      </w:pPr>
      <w:r>
        <w:rPr/>
        <w:t xml:space="preserve">Authoritative linked treatment: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Worked Infrastructure Design, Build Schedules and Acceptance</w:t>
      </w:r>
      <w:r>
        <w:rPr>
          <w:rStyle w:val="Hyperlink"/>
        </w:rPr>
        <w:fldChar w:fldCharType="end"/>
      </w:r>
    </w:p>
    <w:p>
      <w:pPr>
        <w:pStyle w:val="Normal"/>
        <w:widowControl/>
        <w:suppressAutoHyphens w:val="true"/>
        <w:bidi w:val="0"/>
        <w:spacing w:lineRule="auto" w:line="259" w:before="0" w:after="120"/>
        <w:jc w:val="left"/>
        <w:rPr/>
      </w:pPr>
      <w:r>
        <w:rPr/>
        <w:t>Read this clarification with the original chapter. It does not create an exemption to an adopted requirement, waive a mandatory control, select an unknown site value or report a live test as passed.</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80" w:right="1080" w:gutter="0" w:header="360" w:top="979" w:footer="403"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11</w:t>
    </w:r>
    <w:r>
      <w:rPr/>
      <w:fldChar w:fldCharType="end"/>
    </w:r>
    <w:r>
      <w:rPr/>
      <w:t xml:space="preserve"> /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11</w:t>
    </w:r>
    <w:r>
      <w:rPr/>
      <w:fldChar w:fldCharType="end"/>
    </w:r>
    <w:r>
      <w:rPr/>
      <w:t xml:space="preserve"> /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PROV</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PROV</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Calibri" w:hAnsi="Calibri" w:eastAsia="" w:cs="" w:cstheme="minorBidi" w:eastAsiaTheme="minorEastAsia"/>
      <w:color w:val="auto"/>
      <w:kern w:val="0"/>
      <w:sz w:val="22"/>
      <w:szCs w:val="22"/>
      <w:lang w:val="en-CA"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 w:cs="" w:asciiTheme="majorHAnsi" w:cstheme="majorBidi" w:eastAsiaTheme="majorEastAsia" w:hAnsiTheme="majorHAnsi"/>
      <w:b/>
      <w:bCs/>
      <w:color w:val="203C50"/>
      <w:sz w:val="36"/>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 w:cs="" w:asciiTheme="majorHAnsi" w:cstheme="majorBidi" w:eastAsiaTheme="majorEastAsia" w:hAnsiTheme="majorHAnsi"/>
      <w:b/>
      <w:bCs/>
      <w:color w:val="176B70"/>
      <w:sz w:val="25"/>
      <w:szCs w:val="26"/>
    </w:rPr>
  </w:style>
  <w:style w:type="paragraph" w:styleId="Heading3">
    <w:name w:val="heading 3"/>
    <w:basedOn w:val="Normal"/>
    <w:next w:val="Normal"/>
    <w:link w:val="Heading3Char"/>
    <w:uiPriority w:val="9"/>
    <w:unhideWhenUsed/>
    <w:qFormat/>
    <w:rsid w:val="00fc693f"/>
    <w:pPr>
      <w:keepNext w:val="true"/>
      <w:keepLines/>
      <w:spacing w:before="180" w:after="120"/>
      <w:outlineLvl w:val="2"/>
    </w:pPr>
    <w:rPr>
      <w:rFonts w:ascii="Calibri" w:hAnsi="Calibri" w:eastAsia="" w:cs="" w:asciiTheme="majorHAnsi" w:cstheme="majorBidi" w:eastAsiaTheme="majorEastAsia" w:hAnsiTheme="majorHAnsi"/>
      <w:b/>
      <w:bCs/>
      <w:color w:val="203C5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59" w:before="0" w:after="120"/>
    </w:pPr>
    <w:rPr>
      <w:rFonts w:ascii="Calibri" w:hAnsi="Calibri"/>
      <w:sz w:val="22"/>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keepNext w:val="false"/>
      <w:widowControl/>
      <w:spacing w:lineRule="auto" w:line="245" w:before="0" w:after="100"/>
    </w:pPr>
    <w:rPr>
      <w:rFonts w:ascii="Calibri" w:hAnsi="Calibri"/>
      <w:b/>
      <w:bCs/>
      <w:color w:val="586874"/>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180" w:after="120"/>
      <w:contextualSpacing/>
    </w:pPr>
    <w:rPr>
      <w:rFonts w:ascii="Calibri" w:hAnsi="Calibri" w:eastAsia="" w:cs="" w:asciiTheme="majorHAnsi" w:cstheme="majorBidi" w:eastAsiaTheme="majorEastAsia" w:hAnsiTheme="majorHAnsi"/>
      <w:b/>
      <w:color w:val="203C50"/>
      <w:spacing w:val="5"/>
      <w:kern w:val="2"/>
      <w:sz w:val="58"/>
      <w:szCs w:val="52"/>
    </w:rPr>
  </w:style>
  <w:style w:type="paragraph" w:styleId="Subtitle">
    <w:name w:val="Subtitle"/>
    <w:basedOn w:val="Normal"/>
    <w:next w:val="Normal"/>
    <w:link w:val="SubtitleChar"/>
    <w:uiPriority w:val="11"/>
    <w:qFormat/>
    <w:rsid w:val="00fc693f"/>
    <w:pPr>
      <w:keepNext w:val="true"/>
      <w:spacing w:before="180" w:after="120"/>
    </w:pPr>
    <w:rPr>
      <w:rFonts w:ascii="Calibri" w:hAnsi="Calibri" w:eastAsia="" w:cs="" w:asciiTheme="majorHAnsi" w:cstheme="majorBidi" w:eastAsiaTheme="majorEastAsia" w:hAnsiTheme="majorHAnsi"/>
      <w:b w:val="false"/>
      <w:i/>
      <w:iCs/>
      <w:color w:val="176B70"/>
      <w:spacing w:val="15"/>
      <w:sz w:val="32"/>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paragraph" w:styleId="Navigation" w:customStyle="1">
    <w:name w:val="Navigation"/>
    <w:qFormat/>
    <w:pPr>
      <w:widowControl/>
      <w:suppressAutoHyphens w:val="true"/>
      <w:bidi w:val="0"/>
      <w:spacing w:lineRule="auto" w:line="245" w:before="60" w:after="100"/>
      <w:jc w:val="left"/>
    </w:pPr>
    <w:rPr>
      <w:rFonts w:ascii="Calibri" w:hAnsi="Calibri" w:eastAsia="ＭＳ 明朝" w:cs=""/>
      <w:color w:val="176B70"/>
      <w:kern w:val="0"/>
      <w:sz w:val="18"/>
      <w:szCs w:val="22"/>
      <w:lang w:val="en-US" w:eastAsia="en-US" w:bidi="ar-SA"/>
    </w:rPr>
  </w:style>
  <w:style w:type="paragraph" w:styleId="TableText" w:customStyle="1">
    <w:name w:val="Table Text"/>
    <w:qFormat/>
    <w:pPr>
      <w:widowControl/>
      <w:suppressAutoHyphens w:val="true"/>
      <w:bidi w:val="0"/>
      <w:spacing w:lineRule="auto" w:line="245" w:before="0" w:after="60"/>
      <w:jc w:val="left"/>
    </w:pPr>
    <w:rPr>
      <w:rFonts w:ascii="Calibri" w:hAnsi="Calibri" w:eastAsia="ＭＳ 明朝" w:cs=""/>
      <w:color w:val="203C50"/>
      <w:kern w:val="0"/>
      <w:sz w:val="20"/>
      <w:szCs w:val="22"/>
      <w:lang w:val="en-US" w:eastAsia="en-US" w:bidi="ar-SA"/>
    </w:rPr>
  </w:style>
  <w:style w:type="paragraph" w:styleId="TOC1" w:customStyle="1">
    <w:name w:val="toc 1"/>
    <w:pPr>
      <w:widowControl/>
      <w:tabs>
        <w:tab w:val="clear" w:pos="720"/>
        <w:tab w:val="right" w:pos="9965" w:leader="none"/>
      </w:tabs>
      <w:suppressAutoHyphens w:val="true"/>
      <w:bidi w:val="0"/>
      <w:spacing w:lineRule="auto" w:line="245" w:before="0" w:after="100"/>
      <w:jc w:val="left"/>
    </w:pPr>
    <w:rPr>
      <w:rFonts w:ascii="Calibri" w:hAnsi="Calibri" w:eastAsia="ＭＳ 明朝" w:cs=""/>
      <w:color w:val="203C50"/>
      <w:kern w:val="0"/>
      <w:sz w:val="20"/>
      <w:szCs w:val="22"/>
      <w:lang w:val="en-US" w:eastAsia="en-US" w:bidi="ar-SA"/>
    </w:rPr>
  </w:style>
  <w:style w:type="paragraph" w:styleId="Eyebrow" w:customStyle="1">
    <w:name w:val="Eyebrow"/>
    <w:qFormat/>
    <w:pPr>
      <w:widowControl/>
      <w:suppressAutoHyphens w:val="true"/>
      <w:bidi w:val="0"/>
      <w:spacing w:lineRule="auto" w:line="245" w:before="0" w:after="100"/>
      <w:jc w:val="left"/>
    </w:pPr>
    <w:rPr>
      <w:rFonts w:ascii="Calibri" w:hAnsi="Calibri" w:eastAsia="ＭＳ 明朝" w:cs=""/>
      <w:color w:val="176B70"/>
      <w:kern w:val="0"/>
      <w:sz w:val="20"/>
      <w:szCs w:val="22"/>
      <w:lang w:val="en-US" w:eastAsia="en-US" w:bidi="ar-SA"/>
    </w:rPr>
  </w:style>
  <w:style w:type="paragraph" w:styleId="GapMeta" w:customStyle="1">
    <w:name w:val="Gap Meta"/>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hashicorp.com/terraform/language/modules/develop/providers" TargetMode="External"/><Relationship Id="rId3" Type="http://schemas.openxmlformats.org/officeDocument/2006/relationships/hyperlink" Target="https://developer.hashicorp.com/terraform/language/files/dependency-lock"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11</Pages>
  <Words>3524</Words>
  <Characters>23189</Characters>
  <CharactersWithSpaces>26482</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2026-09-16T23:24:38Z</dcterms:modified>
  <cp:revision>2</cp:revision>
  <dc:subject/>
  <dc:title>Word Document</dc:title>
  <cp:version>1.4</cp:version>
</cp:coreProperties>
</file>

<file path=docProps/custom.xml><?xml version="1.0" encoding="utf-8"?>
<Properties xmlns="http://schemas.openxmlformats.org/officeDocument/2006/custom-properties" xmlns:vt="http://schemas.openxmlformats.org/officeDocument/2006/docPropsVTypes"/>
</file>