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DESIGN DEVELOPMENT  /  DEL</w:t>
      </w:r>
    </w:p>
    <w:p>
      <w:pPr>
        <w:pStyle w:val="Title"/>
      </w:pPr>
      <w:r>
        <w:t>Delivery Map and Acceptance Gates</w:t>
      </w:r>
    </w:p>
    <w:p>
      <w:pPr>
        <w:pStyle w:val="Subtitle"/>
      </w:pPr>
      <w:r>
        <w:t>Architecture decisions → detailed engineering → controlled implementation → accepted operations.</w:t>
      </w:r>
    </w:p>
    <w:p>
      <w:r>
        <w:t>Kit release v1.1 • 17 September 2026 • Parent architecture v1.4 retained</w:t>
      </w:r>
    </w:p>
    <w:p>
      <w:pPr>
        <w:keepLines/>
        <w:spacing w:before="120"/>
        <w:shd w:fill="EEF5F7" w:val="clear"/>
        <w:pBdr>
          <w:left w:val="single" w:sz="12" w:space="8" w:color="0B6B70"/>
        </w:pBdr>
      </w:pPr>
      <w:r>
        <w:rPr>
          <w:b/>
        </w:rPr>
        <w:t>Proposed engineering development. Reference examples, site decisions, actual observations and approval remain separate.</w:t>
      </w:r>
    </w:p>
    <w:p>
      <w:r>
        <w:t>This v1.1 delivery release adds five developed specifications to the existing architecture, engineering and implementation kits. The eight parent v1.4 documents, existing role guides/templates, workbooks and inherited requirement/test catalogues remain unchanged. This map is the current entry point; the retained documents keep their own version labels.</w:t>
      </w:r>
    </w:p>
    <w:p>
      <w:pPr>
        <w:pStyle w:val="Heading2"/>
      </w:pPr>
      <w:r>
        <w:t>Section navigation</w:t>
      </w:r>
    </w:p>
    <w:p>
      <w:pPr>
        <w:spacing w:after="60"/>
      </w:pPr>
      <w:hyperlink w:anchor="DEL_01">
        <w:r>
          <w:rPr>
            <w:color w:val="0B6B70"/>
            <w:u w:val="single"/>
          </w:rPr>
          <w:t>1. Three kits, one architecture-led delivery</w:t>
        </w:r>
      </w:hyperlink>
    </w:p>
    <w:p>
      <w:pPr>
        <w:spacing w:after="60"/>
      </w:pPr>
      <w:hyperlink w:anchor="DEL_02">
        <w:r>
          <w:rPr>
            <w:color w:val="0B6B70"/>
            <w:u w:val="single"/>
          </w:rPr>
          <w:t>2. Preserve stable deliverables and explicit handoffs</w:t>
        </w:r>
      </w:hyperlink>
    </w:p>
    <w:p>
      <w:pPr>
        <w:spacing w:after="60"/>
      </w:pPr>
      <w:hyperlink w:anchor="DEL_03">
        <w:r>
          <w:rPr>
            <w:color w:val="0B6B70"/>
            <w:u w:val="single"/>
          </w:rPr>
          <w:t>3. Apply gate dependencies rather than numerical order</w:t>
        </w:r>
      </w:hyperlink>
    </w:p>
    <w:p>
      <w:pPr>
        <w:spacing w:after="60"/>
      </w:pPr>
      <w:hyperlink w:anchor="DEL_04">
        <w:r>
          <w:rPr>
            <w:color w:val="0B6B70"/>
            <w:u w:val="single"/>
          </w:rPr>
          <w:t>4. Use working records without creating duplicate truth</w:t>
        </w:r>
      </w:hyperlink>
    </w:p>
    <w:p>
      <w:pPr>
        <w:spacing w:after="60"/>
      </w:pPr>
      <w:hyperlink w:anchor="DEL_05">
        <w:r>
          <w:rPr>
            <w:color w:val="0B6B70"/>
            <w:u w:val="single"/>
          </w:rPr>
          <w:t>5. Review the design through realistic change and failure</w:t>
        </w:r>
      </w:hyperlink>
    </w:p>
    <w:p>
      <w:pPr>
        <w:spacing w:after="60"/>
      </w:pPr>
      <w:hyperlink w:anchor="DEL_06">
        <w:r>
          <w:rPr>
            <w:color w:val="0B6B70"/>
            <w:u w:val="single"/>
          </w:rPr>
          <w:t>6. Resolve the actual inputs before execution</w:t>
        </w:r>
      </w:hyperlink>
    </w:p>
    <w:p>
      <w:pPr>
        <w:spacing w:after="60"/>
      </w:pPr>
      <w:hyperlink w:anchor="DEL_07">
        <w:r>
          <w:rPr>
            <w:color w:val="0B6B70"/>
            <w:u w:val="single"/>
          </w:rPr>
          <w:t>7. Navigate the developed document family</w:t>
        </w:r>
      </w:hyperlink>
    </w:p>
    <w:p>
      <w:pPr>
        <w:spacing w:after="60"/>
      </w:pPr>
      <w:hyperlink w:anchor="DEL_08">
        <w:r>
          <w:rPr>
            <w:color w:val="0B6B70"/>
            <w:u w:val="single"/>
          </w:rPr>
          <w:t>8. Understand release scope and residual work</w:t>
        </w:r>
      </w:hyperlink>
    </w:p>
    <w:p>
      <w:pPr>
        <w:pStyle w:val="Caption"/>
      </w:pPr>
      <w:r>
        <w:t>Basis: linked RA/WD and role-kit sections retain their original authority. The elaborations, record formats and calculations in this supplement are local proposals, not new government requirements. D-source references identify freshly checked public mechanisms, not installed compatibility. Exact source locators are in 04_Shared/development/source_reviews.csv.</w:t>
      </w:r>
    </w:p>
    <w:p>
      <w:r>
        <w:br w:type="page"/>
      </w:r>
    </w:p>
    <w:p>
      <w:pPr>
        <w:pStyle w:val="Heading1"/>
      </w:pPr>
      <w:r>
        <w:t>1. Three kits, one architecture-led delivery</w:t>
      </w:r>
      <w:bookmarkStart w:id="138" w:name="DEL_01"/>
      <w:bookmarkEnd w:id="138"/>
    </w:p>
    <w:p>
      <w:r>
        <w:t>The architecture defines what exists and why. Engineering makes it buildable. Implementation provides actual observations and an accountable operating handoff.</w:t>
      </w:r>
    </w:p>
    <w:p>
      <w:pPr>
        <w:pStyle w:val="Caption"/>
      </w:pPr>
      <w:r>
        <w:t xml:space="preserve">Design basis and related records: </w:t>
      </w:r>
      <w:hyperlink r:id="rId11">
        <w:r>
          <w:rPr>
            <w:color w:val="0B6B70"/>
            <w:u w:val="single"/>
          </w:rPr>
          <w:t>RA §1</w:t>
        </w:r>
      </w:hyperlink>
      <w:r>
        <w:t xml:space="preserve">  •  </w:t>
      </w:r>
      <w:hyperlink r:id="rId12">
        <w:r>
          <w:rPr>
            <w:color w:val="0B6B70"/>
            <w:u w:val="single"/>
          </w:rPr>
          <w:t>RA §30</w:t>
        </w:r>
      </w:hyperlink>
      <w:r>
        <w:t xml:space="preserve">  •  </w:t>
      </w:r>
      <w:hyperlink r:id="rId13">
        <w:r>
          <w:rPr>
            <w:color w:val="0B6B70"/>
            <w:u w:val="single"/>
          </w:rPr>
          <w:t>AK §1</w:t>
        </w:r>
      </w:hyperlink>
      <w:r>
        <w:t xml:space="preserve">  •  </w:t>
      </w:r>
      <w:hyperlink r:id="rId14">
        <w:r>
          <w:rPr>
            <w:color w:val="0B6B70"/>
            <w:u w:val="single"/>
          </w:rPr>
          <w:t>EK §1</w:t>
        </w:r>
      </w:hyperlink>
      <w:r>
        <w:t xml:space="preserve">  •  </w:t>
      </w:r>
      <w:hyperlink r:id="rId15">
        <w:r>
          <w:rPr>
            <w:color w:val="0B6B70"/>
            <w:u w:val="single"/>
          </w:rPr>
          <w:t>IK §1</w:t>
        </w:r>
      </w:hyperlink>
    </w:p>
    <w:tbl>
      <w:tblPr>
        <w:tblW w:type="auto" w:w="0"/>
        <w:jc w:val="center"/>
        <w:tblLayout w:type="fixed"/>
        <w:tblLook w:firstColumn="1" w:firstRow="1" w:lastColumn="0" w:lastRow="0" w:noHBand="0" w:noVBand="1" w:val="04A0"/>
      </w:tblPr>
      <w:tblGrid>
        <w:gridCol w:w="1944"/>
        <w:gridCol w:w="4378"/>
        <w:gridCol w:w="3960"/>
      </w:tblGrid>
      <w:tr>
        <w:trPr>
          <w:tblHeader/>
        </w:trPr>
        <w:tc>
          <w:tcPr>
            <w:tcW w:type="dxa" w:w="1944"/>
            <w:tcMar>
              <w:top w:w="85" w:type="dxa"/>
              <w:bottom w:w="85" w:type="dxa"/>
              <w:start w:w="90" w:type="dxa"/>
              <w:end w:w="90" w:type="dxa"/>
            </w:tcMar>
            <w:vAlign w:val="top"/>
            <w:shd w:fill="15384A" w:val="clear"/>
          </w:tcPr>
          <w:p>
            <w:pPr>
              <w:spacing w:after="30" w:line="247" w:lineRule="auto"/>
            </w:pPr>
            <w:r>
              <w:rPr>
                <w:b/>
                <w:color w:val="FFFFFF"/>
                <w:sz w:val="18"/>
              </w:rPr>
              <w:t>Work</w:t>
            </w:r>
          </w:p>
        </w:tc>
        <w:tc>
          <w:tcPr>
            <w:tcW w:type="dxa" w:w="4378"/>
            <w:tcMar>
              <w:top w:w="85" w:type="dxa"/>
              <w:bottom w:w="85" w:type="dxa"/>
              <w:start w:w="90" w:type="dxa"/>
              <w:end w:w="90" w:type="dxa"/>
            </w:tcMar>
            <w:vAlign w:val="top"/>
            <w:shd w:fill="15384A" w:val="clear"/>
          </w:tcPr>
          <w:p>
            <w:pPr>
              <w:spacing w:after="30" w:line="247" w:lineRule="auto"/>
            </w:pPr>
            <w:r>
              <w:rPr>
                <w:b/>
                <w:color w:val="FFFFFF"/>
                <w:sz w:val="18"/>
              </w:rPr>
              <w:t>Primary question</w:t>
            </w:r>
          </w:p>
        </w:tc>
        <w:tc>
          <w:tcPr>
            <w:tcW w:type="dxa" w:w="3960"/>
            <w:tcMar>
              <w:top w:w="85" w:type="dxa"/>
              <w:bottom w:w="85" w:type="dxa"/>
              <w:start w:w="90" w:type="dxa"/>
              <w:end w:w="90" w:type="dxa"/>
            </w:tcMar>
            <w:vAlign w:val="top"/>
            <w:shd w:fill="15384A" w:val="clear"/>
          </w:tcPr>
          <w:p>
            <w:pPr>
              <w:spacing w:after="30" w:line="247" w:lineRule="auto"/>
            </w:pPr>
            <w:r>
              <w:rPr>
                <w:b/>
                <w:color w:val="FFFFFF"/>
                <w:sz w:val="18"/>
              </w:rPr>
              <w:t>Current developed companion</w:t>
            </w:r>
          </w:p>
        </w:tc>
      </w:tr>
      <w:tr>
        <w:trPr>
          <w:cantSplit/>
        </w:trPr>
        <w:tc>
          <w:tcPr>
            <w:tcW w:type="dxa" w:w="1944"/>
            <w:tcMar>
              <w:top w:w="85" w:type="dxa"/>
              <w:bottom w:w="85" w:type="dxa"/>
              <w:start w:w="90" w:type="dxa"/>
              <w:end w:w="90" w:type="dxa"/>
            </w:tcMar>
            <w:vAlign w:val="top"/>
          </w:tcPr>
          <w:p>
            <w:pPr>
              <w:spacing w:after="30" w:line="247" w:lineRule="auto"/>
            </w:pPr>
            <w:r>
              <w:rPr>
                <w:b w:val="0"/>
                <w:sz w:val="18"/>
              </w:rPr>
              <w:t>Architecture</w:t>
            </w:r>
          </w:p>
        </w:tc>
        <w:tc>
          <w:tcPr>
            <w:tcW w:type="dxa" w:w="4378"/>
            <w:tcMar>
              <w:top w:w="85" w:type="dxa"/>
              <w:bottom w:w="85" w:type="dxa"/>
              <w:start w:w="90" w:type="dxa"/>
              <w:end w:w="90" w:type="dxa"/>
            </w:tcMar>
            <w:vAlign w:val="top"/>
          </w:tcPr>
          <w:p>
            <w:pPr>
              <w:spacing w:after="30" w:line="247" w:lineRule="auto"/>
            </w:pPr>
            <w:r>
              <w:rPr>
                <w:b w:val="0"/>
                <w:sz w:val="18"/>
              </w:rPr>
              <w:t>What service is offered, which boundaries and sharing are accepted, and what must survive or recover?</w:t>
            </w:r>
          </w:p>
        </w:tc>
        <w:tc>
          <w:tcPr>
            <w:tcW w:type="dxa" w:w="3960"/>
            <w:tcMar>
              <w:top w:w="85" w:type="dxa"/>
              <w:bottom w:w="85" w:type="dxa"/>
              <w:start w:w="90" w:type="dxa"/>
              <w:end w:w="90" w:type="dxa"/>
            </w:tcMar>
            <w:vAlign w:val="top"/>
          </w:tcPr>
          <w:p>
            <w:pPr>
              <w:spacing w:after="30" w:line="247" w:lineRule="auto"/>
            </w:pPr>
            <w:r>
              <w:rPr>
                <w:b w:val="0"/>
                <w:sz w:val="18"/>
              </w:rPr>
              <w:t>SDP develops service envelopes, alternatives, dependencies and the engineering decision contract.</w:t>
            </w:r>
          </w:p>
        </w:tc>
      </w:tr>
      <w:tr>
        <w:trPr>
          <w:cantSplit/>
        </w:trPr>
        <w:tc>
          <w:tcPr>
            <w:tcW w:type="dxa" w:w="1944"/>
            <w:tcMar>
              <w:top w:w="85" w:type="dxa"/>
              <w:bottom w:w="85" w:type="dxa"/>
              <w:start w:w="90" w:type="dxa"/>
              <w:end w:w="90" w:type="dxa"/>
            </w:tcMar>
            <w:vAlign w:val="top"/>
            <w:shd w:fill="EEF5F7" w:val="clear"/>
          </w:tcPr>
          <w:p>
            <w:pPr>
              <w:spacing w:after="30" w:line="247" w:lineRule="auto"/>
            </w:pPr>
            <w:r>
              <w:rPr>
                <w:b w:val="0"/>
                <w:sz w:val="18"/>
              </w:rPr>
              <w:t>Engineering</w:t>
            </w:r>
          </w:p>
        </w:tc>
        <w:tc>
          <w:tcPr>
            <w:tcW w:type="dxa" w:w="4378"/>
            <w:tcMar>
              <w:top w:w="85" w:type="dxa"/>
              <w:bottom w:w="85" w:type="dxa"/>
              <w:start w:w="90" w:type="dxa"/>
              <w:end w:w="90" w:type="dxa"/>
            </w:tcMar>
            <w:vAlign w:val="top"/>
            <w:shd w:fill="EEF5F7" w:val="clear"/>
          </w:tcPr>
          <w:p>
            <w:pPr>
              <w:spacing w:after="30" w:line="247" w:lineRule="auto"/>
            </w:pPr>
            <w:r>
              <w:rPr>
                <w:b w:val="0"/>
                <w:sz w:val="18"/>
              </w:rPr>
              <w:t>Which exact components, routes, policies, pools, supported mechanisms and failure budgets realize the design?</w:t>
            </w:r>
          </w:p>
        </w:tc>
        <w:tc>
          <w:tcPr>
            <w:tcW w:type="dxa" w:w="3960"/>
            <w:tcMar>
              <w:top w:w="85" w:type="dxa"/>
              <w:bottom w:w="85" w:type="dxa"/>
              <w:start w:w="90" w:type="dxa"/>
              <w:end w:w="90" w:type="dxa"/>
            </w:tcMar>
            <w:vAlign w:val="top"/>
            <w:shd w:fill="EEF5F7" w:val="clear"/>
          </w:tcPr>
          <w:p>
            <w:pPr>
              <w:spacing w:after="30" w:line="247" w:lineRule="auto"/>
            </w:pPr>
            <w:r>
              <w:rPr>
                <w:b w:val="0"/>
                <w:sz w:val="18"/>
              </w:rPr>
              <w:t>NBD develops network/boundary schedules; PBS develops native platform builds and shared handoffs.</w:t>
            </w:r>
          </w:p>
        </w:tc>
      </w:tr>
      <w:tr>
        <w:trPr>
          <w:cantSplit/>
        </w:trPr>
        <w:tc>
          <w:tcPr>
            <w:tcW w:type="dxa" w:w="1944"/>
            <w:tcMar>
              <w:top w:w="85" w:type="dxa"/>
              <w:bottom w:w="85" w:type="dxa"/>
              <w:start w:w="90" w:type="dxa"/>
              <w:end w:w="90" w:type="dxa"/>
            </w:tcMar>
            <w:vAlign w:val="top"/>
          </w:tcPr>
          <w:p>
            <w:pPr>
              <w:spacing w:after="30" w:line="247" w:lineRule="auto"/>
            </w:pPr>
            <w:r>
              <w:rPr>
                <w:b w:val="0"/>
                <w:sz w:val="18"/>
              </w:rPr>
              <w:t>Implementation</w:t>
            </w:r>
          </w:p>
        </w:tc>
        <w:tc>
          <w:tcPr>
            <w:tcW w:type="dxa" w:w="4378"/>
            <w:tcMar>
              <w:top w:w="85" w:type="dxa"/>
              <w:bottom w:w="85" w:type="dxa"/>
              <w:start w:w="90" w:type="dxa"/>
              <w:end w:w="90" w:type="dxa"/>
            </w:tcMar>
            <w:vAlign w:val="top"/>
          </w:tcPr>
          <w:p>
            <w:pPr>
              <w:spacing w:after="30" w:line="247" w:lineRule="auto"/>
            </w:pPr>
            <w:r>
              <w:rPr>
                <w:b w:val="0"/>
                <w:sz w:val="18"/>
              </w:rPr>
              <w:t>How is the accepted design commissioned, qualified, activated, maintained and retired?</w:t>
            </w:r>
          </w:p>
        </w:tc>
        <w:tc>
          <w:tcPr>
            <w:tcW w:type="dxa" w:w="3960"/>
            <w:tcMar>
              <w:top w:w="85" w:type="dxa"/>
              <w:bottom w:w="85" w:type="dxa"/>
              <w:start w:w="90" w:type="dxa"/>
              <w:end w:w="90" w:type="dxa"/>
            </w:tcMar>
            <w:vAlign w:val="top"/>
          </w:tcPr>
          <w:p>
            <w:pPr>
              <w:spacing w:after="30" w:line="247" w:lineRule="auto"/>
            </w:pPr>
            <w:r>
              <w:rPr>
                <w:b w:val="0"/>
                <w:sz w:val="18"/>
              </w:rPr>
              <w:t>QCP develops campaign observations; OPS develops dependency loss, recovery, transition and operating acceptance.</w:t>
            </w:r>
          </w:p>
        </w:tc>
      </w:tr>
    </w:tbl>
    <w:p>
      <w:pPr>
        <w:spacing w:after="0" w:before="0" w:line="120"/>
      </w:pPr>
    </w:p>
    <w:p>
      <w:r>
        <w:t>Start with the service and physical/logical design, then choose native realizations and provisioning packages. Terraform manages supported infrastructure operations alongside native installers, lifecycle and service tooling. No custom controller, schema registry or new application architecture is required by this release.</w:t>
      </w:r>
    </w:p>
    <w:p>
      <w:r>
        <w:t>Use one selected stack and the necessary shared foundations for first qualification. Repeat the required service outcomes on a second stack for deployment comparison, then rehearse representative data/image recovery for the separate portability claim. A simultaneous multi-stack service is an explicit additional design.</w:t>
      </w:r>
    </w:p>
    <w:p>
      <w:pPr>
        <w:keepLines/>
        <w:spacing w:before="120"/>
        <w:shd w:fill="EEF5F7" w:val="clear"/>
        <w:pBdr>
          <w:left w:val="single" w:sz="12" w:space="8" w:color="0B6B70"/>
        </w:pBdr>
      </w:pPr>
      <w:r>
        <w:rPr>
          <w:b/>
        </w:rPr>
        <w:t>This is a reusable reference and delivery-development package. It does not contain actual site allocations, native deployment modules, executed qualification evidence or authority to operate.</w:t>
      </w:r>
    </w:p>
    <w:p>
      <w:pPr>
        <w:pStyle w:val="Caption"/>
      </w:pPr>
      <w:r>
        <w:t xml:space="preserve">Continue with: </w:t>
      </w:r>
      <w:hyperlink r:id="rId16">
        <w:r>
          <w:rPr>
            <w:color w:val="0B6B70"/>
            <w:u w:val="single"/>
          </w:rPr>
          <w:t>SDP §1</w:t>
        </w:r>
      </w:hyperlink>
      <w:r>
        <w:t xml:space="preserve">  •  </w:t>
      </w:r>
      <w:hyperlink r:id="rId17">
        <w:r>
          <w:rPr>
            <w:color w:val="0B6B70"/>
            <w:u w:val="single"/>
          </w:rPr>
          <w:t>PBS §1</w:t>
        </w:r>
      </w:hyperlink>
    </w:p>
    <w:p>
      <w:r>
        <w:br w:type="page"/>
      </w:r>
    </w:p>
    <w:p>
      <w:pPr>
        <w:pStyle w:val="Heading1"/>
      </w:pPr>
      <w:r>
        <w:t>2. Preserve stable deliverables and explicit handoffs</w:t>
      </w:r>
      <w:bookmarkStart w:id="139" w:name="DEL_02"/>
      <w:bookmarkEnd w:id="139"/>
    </w:p>
    <w:p>
      <w:r>
        <w:t>The 27 AK/EK/IK output IDs and 194 inherited requirement records are not renumbered. New development records provide detail and navigation, not replacement requirements.</w:t>
      </w:r>
    </w:p>
    <w:p>
      <w:pPr>
        <w:pStyle w:val="Caption"/>
      </w:pPr>
      <w:r>
        <w:t xml:space="preserve">Design basis and related records: </w:t>
      </w:r>
      <w:hyperlink r:id="rId18">
        <w:r>
          <w:rPr>
            <w:color w:val="0B6B70"/>
            <w:u w:val="single"/>
          </w:rPr>
          <w:t>AK §8</w:t>
        </w:r>
      </w:hyperlink>
      <w:r>
        <w:t xml:space="preserve">  •  </w:t>
      </w:r>
      <w:hyperlink r:id="rId19">
        <w:r>
          <w:rPr>
            <w:color w:val="0B6B70"/>
            <w:u w:val="single"/>
          </w:rPr>
          <w:t>EK §8</w:t>
        </w:r>
      </w:hyperlink>
      <w:r>
        <w:t xml:space="preserve">  •  </w:t>
      </w:r>
      <w:hyperlink r:id="rId15">
        <w:r>
          <w:rPr>
            <w:color w:val="0B6B70"/>
            <w:u w:val="single"/>
          </w:rPr>
          <w:t>IK §1</w:t>
        </w:r>
      </w:hyperlink>
    </w:p>
    <w:tbl>
      <w:tblPr>
        <w:tblW w:type="auto" w:w="0"/>
        <w:jc w:val="center"/>
        <w:tblLayout w:type="fixed"/>
        <w:tblLook w:firstColumn="1" w:firstRow="1" w:lastColumn="0" w:lastRow="0" w:noHBand="0" w:noVBand="1" w:val="04A0"/>
      </w:tblPr>
      <w:tblGrid>
        <w:gridCol w:w="2376"/>
        <w:gridCol w:w="4090"/>
        <w:gridCol w:w="3816"/>
      </w:tblGrid>
      <w:tr>
        <w:trPr>
          <w:tblHeader/>
        </w:trPr>
        <w:tc>
          <w:tcPr>
            <w:tcW w:type="dxa" w:w="2376"/>
            <w:tcMar>
              <w:top w:w="85" w:type="dxa"/>
              <w:bottom w:w="85" w:type="dxa"/>
              <w:start w:w="90" w:type="dxa"/>
              <w:end w:w="90" w:type="dxa"/>
            </w:tcMar>
            <w:vAlign w:val="top"/>
            <w:shd w:fill="15384A" w:val="clear"/>
          </w:tcPr>
          <w:p>
            <w:pPr>
              <w:spacing w:after="30" w:line="247" w:lineRule="auto"/>
            </w:pPr>
            <w:r>
              <w:rPr>
                <w:b/>
                <w:color w:val="FFFFFF"/>
                <w:sz w:val="18"/>
              </w:rPr>
              <w:t>Handoff</w:t>
            </w:r>
          </w:p>
        </w:tc>
        <w:tc>
          <w:tcPr>
            <w:tcW w:type="dxa" w:w="4090"/>
            <w:tcMar>
              <w:top w:w="85" w:type="dxa"/>
              <w:bottom w:w="85" w:type="dxa"/>
              <w:start w:w="90" w:type="dxa"/>
              <w:end w:w="90" w:type="dxa"/>
            </w:tcMar>
            <w:vAlign w:val="top"/>
            <w:shd w:fill="15384A" w:val="clear"/>
          </w:tcPr>
          <w:p>
            <w:pPr>
              <w:spacing w:after="30" w:line="247" w:lineRule="auto"/>
            </w:pPr>
            <w:r>
              <w:rPr>
                <w:b/>
                <w:color w:val="FFFFFF"/>
                <w:sz w:val="18"/>
              </w:rPr>
              <w:t>Sender supplies</w:t>
            </w:r>
          </w:p>
        </w:tc>
        <w:tc>
          <w:tcPr>
            <w:tcW w:type="dxa" w:w="3816"/>
            <w:tcMar>
              <w:top w:w="85" w:type="dxa"/>
              <w:bottom w:w="85" w:type="dxa"/>
              <w:start w:w="90" w:type="dxa"/>
              <w:end w:w="90" w:type="dxa"/>
            </w:tcMar>
            <w:vAlign w:val="top"/>
            <w:shd w:fill="15384A" w:val="clear"/>
          </w:tcPr>
          <w:p>
            <w:pPr>
              <w:spacing w:after="30" w:line="247" w:lineRule="auto"/>
            </w:pPr>
            <w:r>
              <w:rPr>
                <w:b/>
                <w:color w:val="FFFFFF"/>
                <w:sz w:val="18"/>
              </w:rPr>
              <w:t>Receiver verifies</w:t>
            </w:r>
          </w:p>
        </w:tc>
      </w:tr>
      <w:tr>
        <w:trPr>
          <w:cantSplit/>
        </w:trPr>
        <w:tc>
          <w:tcPr>
            <w:tcW w:type="dxa" w:w="2376"/>
            <w:tcMar>
              <w:top w:w="85" w:type="dxa"/>
              <w:bottom w:w="85" w:type="dxa"/>
              <w:start w:w="90" w:type="dxa"/>
              <w:end w:w="90" w:type="dxa"/>
            </w:tcMar>
            <w:vAlign w:val="top"/>
          </w:tcPr>
          <w:p>
            <w:pPr>
              <w:spacing w:after="30" w:line="247" w:lineRule="auto"/>
            </w:pPr>
            <w:r>
              <w:rPr>
                <w:b w:val="0"/>
                <w:sz w:val="18"/>
              </w:rPr>
              <w:t>Architecture → engineering</w:t>
            </w:r>
          </w:p>
        </w:tc>
        <w:tc>
          <w:tcPr>
            <w:tcW w:type="dxa" w:w="4090"/>
            <w:tcMar>
              <w:top w:w="85" w:type="dxa"/>
              <w:bottom w:w="85" w:type="dxa"/>
              <w:start w:w="90" w:type="dxa"/>
              <w:end w:w="90" w:type="dxa"/>
            </w:tcMar>
            <w:vAlign w:val="top"/>
          </w:tcPr>
          <w:p>
            <w:pPr>
              <w:spacing w:after="30" w:line="247" w:lineRule="auto"/>
            </w:pPr>
            <w:r>
              <w:rPr>
                <w:b w:val="0"/>
                <w:sz w:val="18"/>
              </w:rPr>
              <w:t>Service envelope, linked views, accepted sharing/boundary decisions, obligations and unresolved scope.</w:t>
            </w:r>
          </w:p>
        </w:tc>
        <w:tc>
          <w:tcPr>
            <w:tcW w:type="dxa" w:w="3816"/>
            <w:tcMar>
              <w:top w:w="85" w:type="dxa"/>
              <w:bottom w:w="85" w:type="dxa"/>
              <w:start w:w="90" w:type="dxa"/>
              <w:end w:w="90" w:type="dxa"/>
            </w:tcMar>
            <w:vAlign w:val="top"/>
          </w:tcPr>
          <w:p>
            <w:pPr>
              <w:spacing w:after="30" w:line="247" w:lineRule="auto"/>
            </w:pPr>
            <w:r>
              <w:rPr>
                <w:b w:val="0"/>
                <w:sz w:val="18"/>
              </w:rPr>
              <w:t>No contradiction or missing decision affects the intended build; each delegated engineering choice has a bounded outcome.</w:t>
            </w:r>
          </w:p>
        </w:tc>
      </w:tr>
      <w:tr>
        <w:trPr>
          <w:cantSplit/>
        </w:trPr>
        <w:tc>
          <w:tcPr>
            <w:tcW w:type="dxa" w:w="2376"/>
            <w:tcMar>
              <w:top w:w="85" w:type="dxa"/>
              <w:bottom w:w="85" w:type="dxa"/>
              <w:start w:w="90" w:type="dxa"/>
              <w:end w:w="90" w:type="dxa"/>
            </w:tcMar>
            <w:vAlign w:val="top"/>
            <w:shd w:fill="EEF5F7" w:val="clear"/>
          </w:tcPr>
          <w:p>
            <w:pPr>
              <w:spacing w:after="30" w:line="247" w:lineRule="auto"/>
            </w:pPr>
            <w:r>
              <w:rPr>
                <w:b w:val="0"/>
                <w:sz w:val="18"/>
              </w:rPr>
              <w:t>Engineering → implementation</w:t>
            </w:r>
          </w:p>
        </w:tc>
        <w:tc>
          <w:tcPr>
            <w:tcW w:type="dxa" w:w="4090"/>
            <w:tcMar>
              <w:top w:w="85" w:type="dxa"/>
              <w:bottom w:w="85" w:type="dxa"/>
              <w:start w:w="90" w:type="dxa"/>
              <w:end w:w="90" w:type="dxa"/>
            </w:tcMar>
            <w:vAlign w:val="top"/>
            <w:shd w:fill="EEF5F7" w:val="clear"/>
          </w:tcPr>
          <w:p>
            <w:pPr>
              <w:spacing w:after="30" w:line="247" w:lineRule="auto"/>
            </w:pPr>
            <w:r>
              <w:rPr>
                <w:b w:val="0"/>
                <w:sz w:val="18"/>
              </w:rPr>
              <w:t>Actual LLD, native mapping, supported tuple, configuration artifacts, interface receipts, MOP and observation plan.</w:t>
            </w:r>
          </w:p>
        </w:tc>
        <w:tc>
          <w:tcPr>
            <w:tcW w:type="dxa" w:w="3816"/>
            <w:tcMar>
              <w:top w:w="85" w:type="dxa"/>
              <w:bottom w:w="85" w:type="dxa"/>
              <w:start w:w="90" w:type="dxa"/>
              <w:end w:w="90" w:type="dxa"/>
            </w:tcMar>
            <w:vAlign w:val="top"/>
            <w:shd w:fill="EEF5F7" w:val="clear"/>
          </w:tcPr>
          <w:p>
            <w:pPr>
              <w:spacing w:after="30" w:line="247" w:lineRule="auto"/>
            </w:pPr>
            <w:r>
              <w:rPr>
                <w:b w:val="0"/>
                <w:sz w:val="18"/>
              </w:rPr>
              <w:t>No guessed address, competing writer, unsafe replacement or unsupported required operation.</w:t>
            </w:r>
          </w:p>
        </w:tc>
      </w:tr>
      <w:tr>
        <w:trPr>
          <w:cantSplit/>
        </w:trPr>
        <w:tc>
          <w:tcPr>
            <w:tcW w:type="dxa" w:w="2376"/>
            <w:tcMar>
              <w:top w:w="85" w:type="dxa"/>
              <w:bottom w:w="85" w:type="dxa"/>
              <w:start w:w="90" w:type="dxa"/>
              <w:end w:w="90" w:type="dxa"/>
            </w:tcMar>
            <w:vAlign w:val="top"/>
          </w:tcPr>
          <w:p>
            <w:pPr>
              <w:spacing w:after="30" w:line="247" w:lineRule="auto"/>
            </w:pPr>
            <w:r>
              <w:rPr>
                <w:b w:val="0"/>
                <w:sz w:val="18"/>
              </w:rPr>
              <w:t>Implementation → operations</w:t>
            </w:r>
          </w:p>
        </w:tc>
        <w:tc>
          <w:tcPr>
            <w:tcW w:type="dxa" w:w="4090"/>
            <w:tcMar>
              <w:top w:w="85" w:type="dxa"/>
              <w:bottom w:w="85" w:type="dxa"/>
              <w:start w:w="90" w:type="dxa"/>
              <w:end w:w="90" w:type="dxa"/>
            </w:tcMar>
            <w:vAlign w:val="top"/>
          </w:tcPr>
          <w:p>
            <w:pPr>
              <w:spacing w:after="30" w:line="247" w:lineRule="auto"/>
            </w:pPr>
            <w:r>
              <w:rPr>
                <w:b w:val="0"/>
                <w:sz w:val="18"/>
              </w:rPr>
              <w:t>As-built identities, actual tests, supported limits, current protection/recovery and retained obligations.</w:t>
            </w:r>
          </w:p>
        </w:tc>
        <w:tc>
          <w:tcPr>
            <w:tcW w:type="dxa" w:w="3816"/>
            <w:tcMar>
              <w:top w:w="85" w:type="dxa"/>
              <w:bottom w:w="85" w:type="dxa"/>
              <w:start w:w="90" w:type="dxa"/>
              <w:end w:w="90" w:type="dxa"/>
            </w:tcMar>
            <w:vAlign w:val="top"/>
          </w:tcPr>
          <w:p>
            <w:pPr>
              <w:spacing w:after="30" w:line="247" w:lineRule="auto"/>
            </w:pPr>
            <w:r>
              <w:rPr>
                <w:b w:val="0"/>
                <w:sz w:val="18"/>
              </w:rPr>
              <w:t>The service is supportable and recoverable; initial readiness existed before production activation.</w:t>
            </w:r>
          </w:p>
        </w:tc>
      </w:tr>
    </w:tbl>
    <w:p>
      <w:pPr>
        <w:spacing w:after="0" w:before="0" w:line="120"/>
      </w:pPr>
    </w:p>
    <w:p>
      <w:r>
        <w:t>Carry a decision ID into its engineering schedule, native build package, assertion and evidence record. Diagrams use the same component/interface identities. Use the existing deliverables catalogue and role workbooks as working records; the new development register points to the supporting detail.</w:t>
      </w:r>
    </w:p>
    <w:p>
      <w:r>
        <w:t>A handoff passes the minimum facts needed to consume a service: identities, permitted use, limits, support, acceptance revision and remaining restrictions. It does not transfer unrestricted credentials or change configuration ownership. Both producer and consumer must acknowledge the dependency.</w:t>
      </w:r>
    </w:p>
    <w:p>
      <w:pPr>
        <w:pStyle w:val="Caption"/>
      </w:pPr>
      <w:r>
        <w:t xml:space="preserve">Continue with: </w:t>
      </w:r>
      <w:hyperlink r:id="rId20">
        <w:r>
          <w:rPr>
            <w:color w:val="0B6B70"/>
            <w:u w:val="single"/>
          </w:rPr>
          <w:t>SDP §6</w:t>
        </w:r>
      </w:hyperlink>
      <w:r>
        <w:t xml:space="preserve">  •  </w:t>
      </w:r>
      <w:hyperlink r:id="rId21">
        <w:r>
          <w:rPr>
            <w:color w:val="0B6B70"/>
            <w:u w:val="single"/>
          </w:rPr>
          <w:t>NBD §6</w:t>
        </w:r>
      </w:hyperlink>
      <w:r>
        <w:t xml:space="preserve">  •  </w:t>
      </w:r>
      <w:hyperlink r:id="rId22">
        <w:r>
          <w:rPr>
            <w:color w:val="0B6B70"/>
            <w:u w:val="single"/>
          </w:rPr>
          <w:t>PBS §8</w:t>
        </w:r>
      </w:hyperlink>
      <w:r>
        <w:t xml:space="preserve">  •  </w:t>
      </w:r>
      <w:hyperlink r:id="rId23">
        <w:r>
          <w:rPr>
            <w:color w:val="0B6B70"/>
            <w:u w:val="single"/>
          </w:rPr>
          <w:t>PBS §9</w:t>
        </w:r>
      </w:hyperlink>
    </w:p>
    <w:p>
      <w:r>
        <w:br w:type="page"/>
      </w:r>
    </w:p>
    <w:p>
      <w:pPr>
        <w:pStyle w:val="Heading1"/>
      </w:pPr>
      <w:r>
        <w:t>3. Apply gate dependencies rather than numerical order</w:t>
      </w:r>
      <w:bookmarkStart w:id="140" w:name="DEL_03"/>
      <w:bookmarkEnd w:id="140"/>
    </w:p>
    <w:p>
      <w:r>
        <w:t>G0–G4 remain the parent’s acceptance identifiers. They are not a simple chronological ladder: applicable G4 initial readiness precedes G3 production activation.</w:t>
      </w:r>
    </w:p>
    <w:p>
      <w:pPr>
        <w:pStyle w:val="Caption"/>
      </w:pPr>
      <w:r>
        <w:t xml:space="preserve">Design basis and related records: </w:t>
      </w:r>
      <w:hyperlink r:id="rId24">
        <w:r>
          <w:rPr>
            <w:color w:val="0B6B70"/>
            <w:u w:val="single"/>
          </w:rPr>
          <w:t>WD §9</w:t>
        </w:r>
      </w:hyperlink>
      <w:r>
        <w:t xml:space="preserve">  •  </w:t>
      </w:r>
      <w:hyperlink r:id="rId25">
        <w:r>
          <w:rPr>
            <w:color w:val="0B6B70"/>
            <w:u w:val="single"/>
          </w:rPr>
          <w:t>QUAL §5</w:t>
        </w:r>
      </w:hyperlink>
    </w:p>
    <w:tbl>
      <w:tblPr>
        <w:tblW w:type="auto" w:w="0"/>
        <w:jc w:val="center"/>
        <w:tblLayout w:type="fixed"/>
        <w:tblLook w:firstColumn="1" w:firstRow="1" w:lastColumn="0" w:lastRow="0" w:noHBand="0" w:noVBand="1" w:val="04A0"/>
      </w:tblPr>
      <w:tblGrid>
        <w:gridCol w:w="2578"/>
        <w:gridCol w:w="4435"/>
        <w:gridCol w:w="3269"/>
      </w:tblGrid>
      <w:tr>
        <w:trPr>
          <w:tblHeader/>
        </w:trPr>
        <w:tc>
          <w:tcPr>
            <w:tcW w:type="dxa" w:w="2578"/>
            <w:tcMar>
              <w:top w:w="85" w:type="dxa"/>
              <w:bottom w:w="85" w:type="dxa"/>
              <w:start w:w="90" w:type="dxa"/>
              <w:end w:w="90" w:type="dxa"/>
            </w:tcMar>
            <w:vAlign w:val="top"/>
            <w:shd w:fill="15384A" w:val="clear"/>
          </w:tcPr>
          <w:p>
            <w:pPr>
              <w:spacing w:after="30" w:line="247" w:lineRule="auto"/>
            </w:pPr>
            <w:r>
              <w:rPr>
                <w:b/>
                <w:color w:val="FFFFFF"/>
                <w:sz w:val="18"/>
              </w:rPr>
              <w:t>Decision</w:t>
            </w:r>
          </w:p>
        </w:tc>
        <w:tc>
          <w:tcPr>
            <w:tcW w:type="dxa" w:w="4435"/>
            <w:tcMar>
              <w:top w:w="85" w:type="dxa"/>
              <w:bottom w:w="85" w:type="dxa"/>
              <w:start w:w="90" w:type="dxa"/>
              <w:end w:w="90" w:type="dxa"/>
            </w:tcMar>
            <w:vAlign w:val="top"/>
            <w:shd w:fill="15384A" w:val="clear"/>
          </w:tcPr>
          <w:p>
            <w:pPr>
              <w:spacing w:after="30" w:line="247" w:lineRule="auto"/>
            </w:pPr>
            <w:r>
              <w:rPr>
                <w:b/>
                <w:color w:val="FFFFFF"/>
                <w:sz w:val="18"/>
              </w:rPr>
              <w:t>Required preceding condition</w:t>
            </w:r>
          </w:p>
        </w:tc>
        <w:tc>
          <w:tcPr>
            <w:tcW w:type="dxa" w:w="3269"/>
            <w:tcMar>
              <w:top w:w="85" w:type="dxa"/>
              <w:bottom w:w="85" w:type="dxa"/>
              <w:start w:w="90" w:type="dxa"/>
              <w:end w:w="90" w:type="dxa"/>
            </w:tcMar>
            <w:vAlign w:val="top"/>
            <w:shd w:fill="15384A" w:val="clear"/>
          </w:tcPr>
          <w:p>
            <w:pPr>
              <w:spacing w:after="30" w:line="247" w:lineRule="auto"/>
            </w:pPr>
            <w:r>
              <w:rPr>
                <w:b/>
                <w:color w:val="FFFFFF"/>
                <w:sz w:val="18"/>
              </w:rPr>
              <w:t>What it does not authorize</w:t>
            </w:r>
          </w:p>
        </w:tc>
      </w:tr>
      <w:tr>
        <w:trPr>
          <w:cantSplit/>
        </w:trPr>
        <w:tc>
          <w:tcPr>
            <w:tcW w:type="dxa" w:w="2578"/>
            <w:tcMar>
              <w:top w:w="85" w:type="dxa"/>
              <w:bottom w:w="85" w:type="dxa"/>
              <w:start w:w="90" w:type="dxa"/>
              <w:end w:w="90" w:type="dxa"/>
            </w:tcMar>
            <w:vAlign w:val="top"/>
          </w:tcPr>
          <w:p>
            <w:pPr>
              <w:spacing w:after="30" w:line="247" w:lineRule="auto"/>
            </w:pPr>
            <w:r>
              <w:rPr>
                <w:b w:val="0"/>
                <w:sz w:val="18"/>
              </w:rPr>
              <w:t>G0: design adoption</w:t>
            </w:r>
          </w:p>
        </w:tc>
        <w:tc>
          <w:tcPr>
            <w:tcW w:type="dxa" w:w="4435"/>
            <w:tcMar>
              <w:top w:w="85" w:type="dxa"/>
              <w:bottom w:w="85" w:type="dxa"/>
              <w:start w:w="90" w:type="dxa"/>
              <w:end w:w="90" w:type="dxa"/>
            </w:tcMar>
            <w:vAlign w:val="top"/>
          </w:tcPr>
          <w:p>
            <w:pPr>
              <w:spacing w:after="30" w:line="247" w:lineRule="auto"/>
            </w:pPr>
            <w:r>
              <w:rPr>
                <w:b w:val="0"/>
                <w:sz w:val="18"/>
              </w:rPr>
              <w:t>Accepted scope and design decisions.</w:t>
            </w:r>
          </w:p>
        </w:tc>
        <w:tc>
          <w:tcPr>
            <w:tcW w:type="dxa" w:w="3269"/>
            <w:tcMar>
              <w:top w:w="85" w:type="dxa"/>
              <w:bottom w:w="85" w:type="dxa"/>
              <w:start w:w="90" w:type="dxa"/>
              <w:end w:w="90" w:type="dxa"/>
            </w:tcMar>
            <w:vAlign w:val="top"/>
          </w:tcPr>
          <w:p>
            <w:pPr>
              <w:spacing w:after="30" w:line="247" w:lineRule="auto"/>
            </w:pPr>
            <w:r>
              <w:rPr>
                <w:b w:val="0"/>
                <w:sz w:val="18"/>
              </w:rPr>
              <w:t>Does not itself authorize a build or production operation.</w:t>
            </w:r>
          </w:p>
        </w:tc>
      </w:tr>
      <w:tr>
        <w:trPr>
          <w:cantSplit/>
        </w:trPr>
        <w:tc>
          <w:tcPr>
            <w:tcW w:type="dxa" w:w="2578"/>
            <w:tcMar>
              <w:top w:w="85" w:type="dxa"/>
              <w:bottom w:w="85" w:type="dxa"/>
              <w:start w:w="90" w:type="dxa"/>
              <w:end w:w="90" w:type="dxa"/>
            </w:tcMar>
            <w:vAlign w:val="top"/>
            <w:shd w:fill="EEF5F7" w:val="clear"/>
          </w:tcPr>
          <w:p>
            <w:pPr>
              <w:spacing w:after="30" w:line="247" w:lineRule="auto"/>
            </w:pPr>
            <w:r>
              <w:rPr>
                <w:b w:val="0"/>
                <w:sz w:val="18"/>
              </w:rPr>
              <w:t>G1: foundation acceptance</w:t>
            </w:r>
          </w:p>
        </w:tc>
        <w:tc>
          <w:tcPr>
            <w:tcW w:type="dxa" w:w="4435"/>
            <w:tcMar>
              <w:top w:w="85" w:type="dxa"/>
              <w:bottom w:w="85" w:type="dxa"/>
              <w:start w:w="90" w:type="dxa"/>
              <w:end w:w="90" w:type="dxa"/>
            </w:tcMar>
            <w:vAlign w:val="top"/>
            <w:shd w:fill="EEF5F7" w:val="clear"/>
          </w:tcPr>
          <w:p>
            <w:pPr>
              <w:spacing w:after="30" w:line="247" w:lineRule="auto"/>
            </w:pPr>
            <w:r>
              <w:rPr>
                <w:b w:val="0"/>
                <w:sz w:val="18"/>
              </w:rPr>
              <w:t>G0 for affected scope; actual trusted access and transport evidence.</w:t>
            </w:r>
          </w:p>
        </w:tc>
        <w:tc>
          <w:tcPr>
            <w:tcW w:type="dxa" w:w="3269"/>
            <w:tcMar>
              <w:top w:w="85" w:type="dxa"/>
              <w:bottom w:w="85" w:type="dxa"/>
              <w:start w:w="90" w:type="dxa"/>
              <w:end w:w="90" w:type="dxa"/>
            </w:tcMar>
            <w:vAlign w:val="top"/>
            <w:shd w:fill="EEF5F7" w:val="clear"/>
          </w:tcPr>
          <w:p>
            <w:pPr>
              <w:spacing w:after="30" w:line="247" w:lineRule="auto"/>
            </w:pPr>
            <w:r>
              <w:rPr>
                <w:b w:val="0"/>
                <w:sz w:val="18"/>
              </w:rPr>
              <w:t>API reachability is not complete commissioning.</w:t>
            </w:r>
          </w:p>
        </w:tc>
      </w:tr>
      <w:tr>
        <w:trPr>
          <w:cantSplit/>
        </w:trPr>
        <w:tc>
          <w:tcPr>
            <w:tcW w:type="dxa" w:w="2578"/>
            <w:tcMar>
              <w:top w:w="85" w:type="dxa"/>
              <w:bottom w:w="85" w:type="dxa"/>
              <w:start w:w="90" w:type="dxa"/>
              <w:end w:w="90" w:type="dxa"/>
            </w:tcMar>
            <w:vAlign w:val="top"/>
          </w:tcPr>
          <w:p>
            <w:pPr>
              <w:spacing w:after="30" w:line="247" w:lineRule="auto"/>
            </w:pPr>
            <w:r>
              <w:rPr>
                <w:b w:val="0"/>
                <w:sz w:val="18"/>
              </w:rPr>
              <w:t>Restricted fixture permission</w:t>
            </w:r>
          </w:p>
        </w:tc>
        <w:tc>
          <w:tcPr>
            <w:tcW w:type="dxa" w:w="4435"/>
            <w:tcMar>
              <w:top w:w="85" w:type="dxa"/>
              <w:bottom w:w="85" w:type="dxa"/>
              <w:start w:w="90" w:type="dxa"/>
              <w:end w:w="90" w:type="dxa"/>
            </w:tcMar>
            <w:vAlign w:val="top"/>
          </w:tcPr>
          <w:p>
            <w:pPr>
              <w:spacing w:after="30" w:line="247" w:lineRule="auto"/>
            </w:pPr>
            <w:r>
              <w:rPr>
                <w:b w:val="0"/>
                <w:sz w:val="18"/>
              </w:rPr>
              <w:t>G1 and safeguarded installed candidate resources; authorized test scope.</w:t>
            </w:r>
          </w:p>
        </w:tc>
        <w:tc>
          <w:tcPr>
            <w:tcW w:type="dxa" w:w="3269"/>
            <w:tcMar>
              <w:top w:w="85" w:type="dxa"/>
              <w:bottom w:w="85" w:type="dxa"/>
              <w:start w:w="90" w:type="dxa"/>
              <w:end w:w="90" w:type="dxa"/>
            </w:tcMar>
            <w:vAlign w:val="top"/>
          </w:tcPr>
          <w:p>
            <w:pPr>
              <w:spacing w:after="30" w:line="247" w:lineRule="auto"/>
            </w:pPr>
            <w:r>
              <w:rPr>
                <w:b w:val="0"/>
                <w:sz w:val="18"/>
              </w:rPr>
              <w:t>Does not permit production data or claim platform qualification.</w:t>
            </w:r>
          </w:p>
        </w:tc>
      </w:tr>
      <w:tr>
        <w:trPr>
          <w:cantSplit/>
        </w:trPr>
        <w:tc>
          <w:tcPr>
            <w:tcW w:type="dxa" w:w="2578"/>
            <w:tcMar>
              <w:top w:w="85" w:type="dxa"/>
              <w:bottom w:w="85" w:type="dxa"/>
              <w:start w:w="90" w:type="dxa"/>
              <w:end w:w="90" w:type="dxa"/>
            </w:tcMar>
            <w:vAlign w:val="top"/>
            <w:shd w:fill="EEF5F7" w:val="clear"/>
          </w:tcPr>
          <w:p>
            <w:pPr>
              <w:spacing w:after="30" w:line="247" w:lineRule="auto"/>
            </w:pPr>
            <w:r>
              <w:rPr>
                <w:b w:val="0"/>
                <w:sz w:val="18"/>
              </w:rPr>
              <w:t>G2: platform/service qualification</w:t>
            </w:r>
          </w:p>
        </w:tc>
        <w:tc>
          <w:tcPr>
            <w:tcW w:type="dxa" w:w="4435"/>
            <w:tcMar>
              <w:top w:w="85" w:type="dxa"/>
              <w:bottom w:w="85" w:type="dxa"/>
              <w:start w:w="90" w:type="dxa"/>
              <w:end w:w="90" w:type="dxa"/>
            </w:tcMar>
            <w:vAlign w:val="top"/>
            <w:shd w:fill="EEF5F7" w:val="clear"/>
          </w:tcPr>
          <w:p>
            <w:pPr>
              <w:spacing w:after="30" w:line="247" w:lineRule="auto"/>
            </w:pPr>
            <w:r>
              <w:rPr>
                <w:b w:val="0"/>
                <w:sz w:val="18"/>
              </w:rPr>
              <w:t>Applicable single-stack observations, supported tuple and actual limits.</w:t>
            </w:r>
          </w:p>
        </w:tc>
        <w:tc>
          <w:tcPr>
            <w:tcW w:type="dxa" w:w="3269"/>
            <w:tcMar>
              <w:top w:w="85" w:type="dxa"/>
              <w:bottom w:w="85" w:type="dxa"/>
              <w:start w:w="90" w:type="dxa"/>
              <w:end w:w="90" w:type="dxa"/>
            </w:tcMar>
            <w:vAlign w:val="top"/>
            <w:shd w:fill="EEF5F7" w:val="clear"/>
          </w:tcPr>
          <w:p>
            <w:pPr>
              <w:spacing w:after="30" w:line="247" w:lineRule="auto"/>
            </w:pPr>
            <w:r>
              <w:rPr>
                <w:b w:val="0"/>
                <w:sz w:val="18"/>
              </w:rPr>
              <w:t>Does not automatically grant operational or security authorization.</w:t>
            </w:r>
          </w:p>
        </w:tc>
      </w:tr>
      <w:tr>
        <w:trPr>
          <w:cantSplit/>
        </w:trPr>
        <w:tc>
          <w:tcPr>
            <w:tcW w:type="dxa" w:w="2578"/>
            <w:tcMar>
              <w:top w:w="85" w:type="dxa"/>
              <w:bottom w:w="85" w:type="dxa"/>
              <w:start w:w="90" w:type="dxa"/>
              <w:end w:w="90" w:type="dxa"/>
            </w:tcMar>
            <w:vAlign w:val="top"/>
          </w:tcPr>
          <w:p>
            <w:pPr>
              <w:spacing w:after="30" w:line="247" w:lineRule="auto"/>
            </w:pPr>
            <w:r>
              <w:rPr>
                <w:b w:val="0"/>
                <w:sz w:val="18"/>
              </w:rPr>
              <w:t>G4 initial: readiness</w:t>
            </w:r>
          </w:p>
        </w:tc>
        <w:tc>
          <w:tcPr>
            <w:tcW w:type="dxa" w:w="4435"/>
            <w:tcMar>
              <w:top w:w="85" w:type="dxa"/>
              <w:bottom w:w="85" w:type="dxa"/>
              <w:start w:w="90" w:type="dxa"/>
              <w:end w:w="90" w:type="dxa"/>
            </w:tcMar>
            <w:vAlign w:val="top"/>
          </w:tcPr>
          <w:p>
            <w:pPr>
              <w:spacing w:after="30" w:line="247" w:lineRule="auto"/>
            </w:pPr>
            <w:r>
              <w:rPr>
                <w:b w:val="0"/>
                <w:sz w:val="18"/>
              </w:rPr>
              <w:t>Relevant qualified service; required owners, protection and recovery evidence.</w:t>
            </w:r>
          </w:p>
        </w:tc>
        <w:tc>
          <w:tcPr>
            <w:tcW w:type="dxa" w:w="3269"/>
            <w:tcMar>
              <w:top w:w="85" w:type="dxa"/>
              <w:bottom w:w="85" w:type="dxa"/>
              <w:start w:w="90" w:type="dxa"/>
              <w:end w:w="90" w:type="dxa"/>
            </w:tcMar>
            <w:vAlign w:val="top"/>
          </w:tcPr>
          <w:p>
            <w:pPr>
              <w:spacing w:after="30" w:line="247" w:lineRule="auto"/>
            </w:pPr>
            <w:r>
              <w:rPr>
                <w:b w:val="0"/>
                <w:sz w:val="18"/>
              </w:rPr>
              <w:t>Cannot be deferred until after the service promise is activated.</w:t>
            </w:r>
          </w:p>
        </w:tc>
      </w:tr>
      <w:tr>
        <w:trPr>
          <w:cantSplit/>
        </w:trPr>
        <w:tc>
          <w:tcPr>
            <w:tcW w:type="dxa" w:w="2578"/>
            <w:tcMar>
              <w:top w:w="85" w:type="dxa"/>
              <w:bottom w:w="85" w:type="dxa"/>
              <w:start w:w="90" w:type="dxa"/>
              <w:end w:w="90" w:type="dxa"/>
            </w:tcMar>
            <w:vAlign w:val="top"/>
            <w:shd w:fill="EEF5F7" w:val="clear"/>
          </w:tcPr>
          <w:p>
            <w:pPr>
              <w:spacing w:after="30" w:line="247" w:lineRule="auto"/>
            </w:pPr>
            <w:r>
              <w:rPr>
                <w:b w:val="0"/>
                <w:sz w:val="18"/>
              </w:rPr>
              <w:t>G3: production activation</w:t>
            </w:r>
          </w:p>
        </w:tc>
        <w:tc>
          <w:tcPr>
            <w:tcW w:type="dxa" w:w="4435"/>
            <w:tcMar>
              <w:top w:w="85" w:type="dxa"/>
              <w:bottom w:w="85" w:type="dxa"/>
              <w:start w:w="90" w:type="dxa"/>
              <w:end w:w="90" w:type="dxa"/>
            </w:tcMar>
            <w:vAlign w:val="top"/>
            <w:shd w:fill="EEF5F7" w:val="clear"/>
          </w:tcPr>
          <w:p>
            <w:pPr>
              <w:spacing w:after="30" w:line="247" w:lineRule="auto"/>
            </w:pPr>
            <w:r>
              <w:rPr>
                <w:b w:val="0"/>
                <w:sz w:val="18"/>
              </w:rPr>
              <w:t>G0/G1/G2, applicable G4 initial, current tenant evidence and valid authority.</w:t>
            </w:r>
          </w:p>
        </w:tc>
        <w:tc>
          <w:tcPr>
            <w:tcW w:type="dxa" w:w="3269"/>
            <w:tcMar>
              <w:top w:w="85" w:type="dxa"/>
              <w:bottom w:w="85" w:type="dxa"/>
              <w:start w:w="90" w:type="dxa"/>
              <w:end w:w="90" w:type="dxa"/>
            </w:tcMar>
            <w:vAlign w:val="top"/>
            <w:shd w:fill="EEF5F7" w:val="clear"/>
          </w:tcPr>
          <w:p>
            <w:pPr>
              <w:spacing w:after="30" w:line="247" w:lineRule="auto"/>
            </w:pPr>
            <w:r>
              <w:rPr>
                <w:b w:val="0"/>
                <w:sz w:val="18"/>
              </w:rPr>
              <w:t>Neither a workbook nor tool exit code grants this decision.</w:t>
            </w:r>
          </w:p>
        </w:tc>
      </w:tr>
      <w:tr>
        <w:trPr>
          <w:cantSplit/>
        </w:trPr>
        <w:tc>
          <w:tcPr>
            <w:tcW w:type="dxa" w:w="2578"/>
            <w:tcMar>
              <w:top w:w="85" w:type="dxa"/>
              <w:bottom w:w="85" w:type="dxa"/>
              <w:start w:w="90" w:type="dxa"/>
              <w:end w:w="90" w:type="dxa"/>
            </w:tcMar>
            <w:vAlign w:val="top"/>
          </w:tcPr>
          <w:p>
            <w:pPr>
              <w:spacing w:after="30" w:line="247" w:lineRule="auto"/>
            </w:pPr>
            <w:r>
              <w:rPr>
                <w:b w:val="0"/>
                <w:sz w:val="18"/>
              </w:rPr>
              <w:t>G4 continuing: reacceptance</w:t>
            </w:r>
          </w:p>
        </w:tc>
        <w:tc>
          <w:tcPr>
            <w:tcW w:type="dxa" w:w="4435"/>
            <w:tcMar>
              <w:top w:w="85" w:type="dxa"/>
              <w:bottom w:w="85" w:type="dxa"/>
              <w:start w:w="90" w:type="dxa"/>
              <w:end w:w="90" w:type="dxa"/>
            </w:tcMar>
            <w:vAlign w:val="top"/>
          </w:tcPr>
          <w:p>
            <w:pPr>
              <w:spacing w:after="30" w:line="247" w:lineRule="auto"/>
            </w:pPr>
            <w:r>
              <w:rPr>
                <w:b w:val="0"/>
                <w:sz w:val="18"/>
              </w:rPr>
              <w:t>Activated scope, approved cadence and material-change triggers.</w:t>
            </w:r>
          </w:p>
        </w:tc>
        <w:tc>
          <w:tcPr>
            <w:tcW w:type="dxa" w:w="3269"/>
            <w:tcMar>
              <w:top w:w="85" w:type="dxa"/>
              <w:bottom w:w="85" w:type="dxa"/>
              <w:start w:w="90" w:type="dxa"/>
              <w:end w:w="90" w:type="dxa"/>
            </w:tcMar>
            <w:vAlign w:val="top"/>
          </w:tcPr>
          <w:p>
            <w:pPr>
              <w:spacing w:after="30" w:line="247" w:lineRule="auto"/>
            </w:pPr>
            <w:r>
              <w:rPr>
                <w:b w:val="0"/>
                <w:sz w:val="18"/>
              </w:rPr>
              <w:t>Historical evidence does not validate a changed topology.</w:t>
            </w:r>
          </w:p>
        </w:tc>
      </w:tr>
    </w:tbl>
    <w:p>
      <w:pPr>
        <w:spacing w:after="0" w:before="0" w:line="120"/>
      </w:pPr>
    </w:p>
    <w:p>
      <w:r>
        <w:t>Resolve service-level qualification and workload-specific acceptance at their actual scopes. Controlled preproduction validation can build the evidence needed for readiness without creating a circular requirement for an already active production service. Record that permission separately and restrict the fixture accordingly.</w:t>
      </w:r>
    </w:p>
    <w:p>
      <w:r>
        <w:t>The gate record identifies the actual approver, scope, evidence and conditions. Missing or blocked evidence remains visible; changing a cell status cannot create the authority or control it references.</w:t>
      </w:r>
    </w:p>
    <w:p>
      <w:pPr>
        <w:pStyle w:val="Caption"/>
      </w:pPr>
      <w:r>
        <w:t xml:space="preserve">Continue with: </w:t>
      </w:r>
      <w:hyperlink r:id="rId26">
        <w:r>
          <w:rPr>
            <w:color w:val="0B6B70"/>
            <w:u w:val="single"/>
          </w:rPr>
          <w:t>QCP §1</w:t>
        </w:r>
      </w:hyperlink>
      <w:r>
        <w:t xml:space="preserve">  •  </w:t>
      </w:r>
      <w:hyperlink r:id="rId27">
        <w:r>
          <w:rPr>
            <w:color w:val="0B6B70"/>
            <w:u w:val="single"/>
          </w:rPr>
          <w:t>QCP §8</w:t>
        </w:r>
      </w:hyperlink>
      <w:r>
        <w:t xml:space="preserve">  •  </w:t>
      </w:r>
      <w:hyperlink r:id="rId28">
        <w:r>
          <w:rPr>
            <w:color w:val="0B6B70"/>
            <w:u w:val="single"/>
          </w:rPr>
          <w:t>OPS §8</w:t>
        </w:r>
      </w:hyperlink>
    </w:p>
    <w:p>
      <w:r>
        <w:br w:type="page"/>
      </w:r>
    </w:p>
    <w:p>
      <w:pPr>
        <w:pStyle w:val="Heading1"/>
      </w:pPr>
      <w:r>
        <w:t>4. Use working records without creating duplicate truth</w:t>
      </w:r>
      <w:bookmarkStart w:id="141" w:name="DEL_04"/>
      <w:bookmarkEnd w:id="141"/>
    </w:p>
    <w:p>
      <w:r>
        <w:t>Reference documents, examples, live site records and observed evidence serve different purposes. Keep their ownership clear.</w:t>
      </w:r>
    </w:p>
    <w:p>
      <w:pPr>
        <w:pStyle w:val="Caption"/>
      </w:pPr>
      <w:r>
        <w:t xml:space="preserve">Design basis and related records: </w:t>
      </w:r>
      <w:hyperlink r:id="rId29">
        <w:r>
          <w:rPr>
            <w:color w:val="0B6B70"/>
            <w:u w:val="single"/>
          </w:rPr>
          <w:t>RA §28</w:t>
        </w:r>
      </w:hyperlink>
      <w:r>
        <w:t xml:space="preserve">  •  </w:t>
      </w:r>
      <w:hyperlink r:id="rId30">
        <w:r>
          <w:rPr>
            <w:color w:val="0B6B70"/>
            <w:u w:val="single"/>
          </w:rPr>
          <w:t>WD §13</w:t>
        </w:r>
      </w:hyperlink>
      <w:r>
        <w:t xml:space="preserve">  •  </w:t>
      </w:r>
      <w:hyperlink r:id="rId31">
        <w:r>
          <w:rPr>
            <w:color w:val="0B6B70"/>
            <w:u w:val="single"/>
          </w:rPr>
          <w:t>IT §4</w:t>
        </w:r>
      </w:hyperlink>
    </w:p>
    <w:tbl>
      <w:tblPr>
        <w:tblW w:type="auto" w:w="0"/>
        <w:jc w:val="center"/>
        <w:tblLayout w:type="fixed"/>
        <w:tblLook w:firstColumn="1" w:firstRow="1" w:lastColumn="0" w:lastRow="0" w:noHBand="0" w:noVBand="1" w:val="04A0"/>
      </w:tblPr>
      <w:tblGrid>
        <w:gridCol w:w="2390"/>
        <w:gridCol w:w="3643"/>
        <w:gridCol w:w="4248"/>
      </w:tblGrid>
      <w:tr>
        <w:trPr>
          <w:tblHeader/>
        </w:trPr>
        <w:tc>
          <w:tcPr>
            <w:tcW w:type="dxa" w:w="2390"/>
            <w:tcMar>
              <w:top w:w="85" w:type="dxa"/>
              <w:bottom w:w="85" w:type="dxa"/>
              <w:start w:w="90" w:type="dxa"/>
              <w:end w:w="90" w:type="dxa"/>
            </w:tcMar>
            <w:vAlign w:val="top"/>
            <w:shd w:fill="15384A" w:val="clear"/>
          </w:tcPr>
          <w:p>
            <w:pPr>
              <w:spacing w:after="30" w:line="247" w:lineRule="auto"/>
            </w:pPr>
            <w:r>
              <w:rPr>
                <w:b/>
                <w:color w:val="FFFFFF"/>
                <w:sz w:val="18"/>
              </w:rPr>
              <w:t>Material</w:t>
            </w:r>
          </w:p>
        </w:tc>
        <w:tc>
          <w:tcPr>
            <w:tcW w:type="dxa" w:w="3643"/>
            <w:tcMar>
              <w:top w:w="85" w:type="dxa"/>
              <w:bottom w:w="85" w:type="dxa"/>
              <w:start w:w="90" w:type="dxa"/>
              <w:end w:w="90" w:type="dxa"/>
            </w:tcMar>
            <w:vAlign w:val="top"/>
            <w:shd w:fill="15384A" w:val="clear"/>
          </w:tcPr>
          <w:p>
            <w:pPr>
              <w:spacing w:after="30" w:line="247" w:lineRule="auto"/>
            </w:pPr>
            <w:r>
              <w:rPr>
                <w:b/>
                <w:color w:val="FFFFFF"/>
                <w:sz w:val="18"/>
              </w:rPr>
              <w:t>Version / role</w:t>
            </w:r>
          </w:p>
        </w:tc>
        <w:tc>
          <w:tcPr>
            <w:tcW w:type="dxa" w:w="4248"/>
            <w:tcMar>
              <w:top w:w="85" w:type="dxa"/>
              <w:bottom w:w="85" w:type="dxa"/>
              <w:start w:w="90" w:type="dxa"/>
              <w:end w:w="90" w:type="dxa"/>
            </w:tcMar>
            <w:vAlign w:val="top"/>
            <w:shd w:fill="15384A" w:val="clear"/>
          </w:tcPr>
          <w:p>
            <w:pPr>
              <w:spacing w:after="30" w:line="247" w:lineRule="auto"/>
            </w:pPr>
            <w:r>
              <w:rPr>
                <w:b/>
                <w:color w:val="FFFFFF"/>
                <w:sz w:val="18"/>
              </w:rPr>
              <w:t>How to use it</w:t>
            </w:r>
          </w:p>
        </w:tc>
      </w:tr>
      <w:tr>
        <w:trPr>
          <w:cantSplit/>
        </w:trPr>
        <w:tc>
          <w:tcPr>
            <w:tcW w:type="dxa" w:w="2390"/>
            <w:tcMar>
              <w:top w:w="85" w:type="dxa"/>
              <w:bottom w:w="85" w:type="dxa"/>
              <w:start w:w="90" w:type="dxa"/>
              <w:end w:w="90" w:type="dxa"/>
            </w:tcMar>
            <w:vAlign w:val="top"/>
          </w:tcPr>
          <w:p>
            <w:pPr>
              <w:spacing w:after="30" w:line="247" w:lineRule="auto"/>
            </w:pPr>
            <w:r>
              <w:rPr>
                <w:b w:val="0"/>
                <w:sz w:val="18"/>
              </w:rPr>
              <w:t>05_Reference_v1_4</w:t>
            </w:r>
          </w:p>
        </w:tc>
        <w:tc>
          <w:tcPr>
            <w:tcW w:type="dxa" w:w="3643"/>
            <w:tcMar>
              <w:top w:w="85" w:type="dxa"/>
              <w:bottom w:w="85" w:type="dxa"/>
              <w:start w:w="90" w:type="dxa"/>
              <w:end w:w="90" w:type="dxa"/>
            </w:tcMar>
            <w:vAlign w:val="top"/>
          </w:tcPr>
          <w:p>
            <w:pPr>
              <w:spacing w:after="30" w:line="247" w:lineRule="auto"/>
            </w:pPr>
            <w:r>
              <w:rPr>
                <w:b w:val="0"/>
                <w:sz w:val="18"/>
              </w:rPr>
              <w:t>Eight frozen parent documents and reference registers.</w:t>
            </w:r>
          </w:p>
        </w:tc>
        <w:tc>
          <w:tcPr>
            <w:tcW w:type="dxa" w:w="4248"/>
            <w:tcMar>
              <w:top w:w="85" w:type="dxa"/>
              <w:bottom w:w="85" w:type="dxa"/>
              <w:start w:w="90" w:type="dxa"/>
              <w:end w:w="90" w:type="dxa"/>
            </w:tcMar>
            <w:vAlign w:val="top"/>
          </w:tcPr>
          <w:p>
            <w:pPr>
              <w:spacing w:after="30" w:line="247" w:lineRule="auto"/>
            </w:pPr>
            <w:r>
              <w:rPr>
                <w:b w:val="0"/>
                <w:sz w:val="18"/>
              </w:rPr>
              <w:t>Read and cite; record variations separately.</w:t>
            </w:r>
          </w:p>
        </w:tc>
      </w:tr>
      <w:tr>
        <w:trPr>
          <w:cantSplit/>
        </w:trPr>
        <w:tc>
          <w:tcPr>
            <w:tcW w:type="dxa" w:w="2390"/>
            <w:tcMar>
              <w:top w:w="85" w:type="dxa"/>
              <w:bottom w:w="85" w:type="dxa"/>
              <w:start w:w="90" w:type="dxa"/>
              <w:end w:w="90" w:type="dxa"/>
            </w:tcMar>
            <w:vAlign w:val="top"/>
            <w:shd w:fill="EEF5F7" w:val="clear"/>
          </w:tcPr>
          <w:p>
            <w:pPr>
              <w:spacing w:after="30" w:line="247" w:lineRule="auto"/>
            </w:pPr>
            <w:r>
              <w:rPr>
                <w:b w:val="0"/>
                <w:sz w:val="18"/>
              </w:rPr>
              <w:t>Original role guides and templates</w:t>
            </w:r>
          </w:p>
        </w:tc>
        <w:tc>
          <w:tcPr>
            <w:tcW w:type="dxa" w:w="3643"/>
            <w:tcMar>
              <w:top w:w="85" w:type="dxa"/>
              <w:bottom w:w="85" w:type="dxa"/>
              <w:start w:w="90" w:type="dxa"/>
              <w:end w:w="90" w:type="dxa"/>
            </w:tcMar>
            <w:vAlign w:val="top"/>
            <w:shd w:fill="EEF5F7" w:val="clear"/>
          </w:tcPr>
          <w:p>
            <w:pPr>
              <w:spacing w:after="30" w:line="247" w:lineRule="auto"/>
            </w:pPr>
            <w:r>
              <w:rPr>
                <w:b w:val="0"/>
                <w:sz w:val="18"/>
              </w:rPr>
              <w:t>Retained v1.0 material; active within this v1.1 kit.</w:t>
            </w:r>
          </w:p>
        </w:tc>
        <w:tc>
          <w:tcPr>
            <w:tcW w:type="dxa" w:w="4248"/>
            <w:tcMar>
              <w:top w:w="85" w:type="dxa"/>
              <w:bottom w:w="85" w:type="dxa"/>
              <w:start w:w="90" w:type="dxa"/>
              <w:end w:w="90" w:type="dxa"/>
            </w:tcMar>
            <w:vAlign w:val="top"/>
            <w:shd w:fill="EEF5F7" w:val="clear"/>
          </w:tcPr>
          <w:p>
            <w:pPr>
              <w:spacing w:after="30" w:line="247" w:lineRule="auto"/>
            </w:pPr>
            <w:r>
              <w:rPr>
                <w:b w:val="0"/>
                <w:sz w:val="18"/>
              </w:rPr>
              <w:t>Complete HLD, LLD and MOP/test/handover records for a named project.</w:t>
            </w:r>
          </w:p>
        </w:tc>
      </w:tr>
      <w:tr>
        <w:trPr>
          <w:cantSplit/>
        </w:trPr>
        <w:tc>
          <w:tcPr>
            <w:tcW w:type="dxa" w:w="2390"/>
            <w:tcMar>
              <w:top w:w="85" w:type="dxa"/>
              <w:bottom w:w="85" w:type="dxa"/>
              <w:start w:w="90" w:type="dxa"/>
              <w:end w:w="90" w:type="dxa"/>
            </w:tcMar>
            <w:vAlign w:val="top"/>
          </w:tcPr>
          <w:p>
            <w:pPr>
              <w:spacing w:after="30" w:line="247" w:lineRule="auto"/>
            </w:pPr>
            <w:r>
              <w:rPr>
                <w:b w:val="0"/>
                <w:sz w:val="18"/>
              </w:rPr>
              <w:t>Three workbooks</w:t>
            </w:r>
          </w:p>
        </w:tc>
        <w:tc>
          <w:tcPr>
            <w:tcW w:type="dxa" w:w="3643"/>
            <w:tcMar>
              <w:top w:w="85" w:type="dxa"/>
              <w:bottom w:w="85" w:type="dxa"/>
              <w:start w:w="90" w:type="dxa"/>
              <w:end w:w="90" w:type="dxa"/>
            </w:tcMar>
            <w:vAlign w:val="top"/>
          </w:tcPr>
          <w:p>
            <w:pPr>
              <w:spacing w:after="30" w:line="247" w:lineRule="auto"/>
            </w:pPr>
            <w:r>
              <w:rPr>
                <w:b w:val="0"/>
                <w:sz w:val="18"/>
              </w:rPr>
              <w:t>Retained unchanged; project registers/calculators with labelled examples.</w:t>
            </w:r>
          </w:p>
        </w:tc>
        <w:tc>
          <w:tcPr>
            <w:tcW w:type="dxa" w:w="4248"/>
            <w:tcMar>
              <w:top w:w="85" w:type="dxa"/>
              <w:bottom w:w="85" w:type="dxa"/>
              <w:start w:w="90" w:type="dxa"/>
              <w:end w:w="90" w:type="dxa"/>
            </w:tcMar>
            <w:vAlign w:val="top"/>
          </w:tcPr>
          <w:p>
            <w:pPr>
              <w:spacing w:after="30" w:line="247" w:lineRule="auto"/>
            </w:pPr>
            <w:r>
              <w:rPr>
                <w:b w:val="0"/>
                <w:sz w:val="18"/>
              </w:rPr>
              <w:t>Enter actual values/evidence; no new formula or measurement validation is claimed in this release.</w:t>
            </w:r>
          </w:p>
        </w:tc>
      </w:tr>
      <w:tr>
        <w:trPr>
          <w:cantSplit/>
        </w:trPr>
        <w:tc>
          <w:tcPr>
            <w:tcW w:type="dxa" w:w="2390"/>
            <w:tcMar>
              <w:top w:w="85" w:type="dxa"/>
              <w:bottom w:w="85" w:type="dxa"/>
              <w:start w:w="90" w:type="dxa"/>
              <w:end w:w="90" w:type="dxa"/>
            </w:tcMar>
            <w:vAlign w:val="top"/>
            <w:shd w:fill="EEF5F7" w:val="clear"/>
          </w:tcPr>
          <w:p>
            <w:pPr>
              <w:spacing w:after="30" w:line="247" w:lineRule="auto"/>
            </w:pPr>
            <w:r>
              <w:rPr>
                <w:b w:val="0"/>
                <w:sz w:val="18"/>
              </w:rPr>
              <w:t>Five developed specifications</w:t>
            </w:r>
          </w:p>
        </w:tc>
        <w:tc>
          <w:tcPr>
            <w:tcW w:type="dxa" w:w="3643"/>
            <w:tcMar>
              <w:top w:w="85" w:type="dxa"/>
              <w:bottom w:w="85" w:type="dxa"/>
              <w:start w:w="90" w:type="dxa"/>
              <w:end w:w="90" w:type="dxa"/>
            </w:tcMar>
            <w:vAlign w:val="top"/>
            <w:shd w:fill="EEF5F7" w:val="clear"/>
          </w:tcPr>
          <w:p>
            <w:pPr>
              <w:spacing w:after="30" w:line="247" w:lineRule="auto"/>
            </w:pPr>
            <w:r>
              <w:rPr>
                <w:b w:val="0"/>
                <w:sz w:val="18"/>
              </w:rPr>
              <w:t>New v1.1 SDP, NBD, PBS, QCP and OPS.</w:t>
            </w:r>
          </w:p>
        </w:tc>
        <w:tc>
          <w:tcPr>
            <w:tcW w:type="dxa" w:w="4248"/>
            <w:tcMar>
              <w:top w:w="85" w:type="dxa"/>
              <w:bottom w:w="85" w:type="dxa"/>
              <w:start w:w="90" w:type="dxa"/>
              <w:end w:w="90" w:type="dxa"/>
            </w:tcMar>
            <w:vAlign w:val="top"/>
            <w:shd w:fill="EEF5F7" w:val="clear"/>
          </w:tcPr>
          <w:p>
            <w:pPr>
              <w:spacing w:after="30" w:line="247" w:lineRule="auto"/>
            </w:pPr>
            <w:r>
              <w:rPr>
                <w:b w:val="0"/>
                <w:sz w:val="18"/>
              </w:rPr>
              <w:t>Use worked reasoning, native build specifications and observation/operating records to complete the role outputs.</w:t>
            </w:r>
          </w:p>
        </w:tc>
      </w:tr>
      <w:tr>
        <w:trPr>
          <w:cantSplit/>
        </w:trPr>
        <w:tc>
          <w:tcPr>
            <w:tcW w:type="dxa" w:w="2390"/>
            <w:tcMar>
              <w:top w:w="85" w:type="dxa"/>
              <w:bottom w:w="85" w:type="dxa"/>
              <w:start w:w="90" w:type="dxa"/>
              <w:end w:w="90" w:type="dxa"/>
            </w:tcMar>
            <w:vAlign w:val="top"/>
          </w:tcPr>
          <w:p>
            <w:pPr>
              <w:spacing w:after="30" w:line="247" w:lineRule="auto"/>
            </w:pPr>
            <w:r>
              <w:rPr>
                <w:b w:val="0"/>
                <w:sz w:val="18"/>
              </w:rPr>
              <w:t>Development CSVs</w:t>
            </w:r>
          </w:p>
        </w:tc>
        <w:tc>
          <w:tcPr>
            <w:tcW w:type="dxa" w:w="3643"/>
            <w:tcMar>
              <w:top w:w="85" w:type="dxa"/>
              <w:bottom w:w="85" w:type="dxa"/>
              <w:start w:w="90" w:type="dxa"/>
              <w:end w:w="90" w:type="dxa"/>
            </w:tcMar>
            <w:vAlign w:val="top"/>
          </w:tcPr>
          <w:p>
            <w:pPr>
              <w:spacing w:after="30" w:line="247" w:lineRule="auto"/>
            </w:pPr>
            <w:r>
              <w:rPr>
                <w:b w:val="0"/>
                <w:sz w:val="18"/>
              </w:rPr>
              <w:t>New navigation, proposed treatment, observation and calculation records.</w:t>
            </w:r>
          </w:p>
        </w:tc>
        <w:tc>
          <w:tcPr>
            <w:tcW w:type="dxa" w:w="4248"/>
            <w:tcMar>
              <w:top w:w="85" w:type="dxa"/>
              <w:bottom w:w="85" w:type="dxa"/>
              <w:start w:w="90" w:type="dxa"/>
              <w:end w:w="90" w:type="dxa"/>
            </w:tcMar>
            <w:vAlign w:val="top"/>
          </w:tcPr>
          <w:p>
            <w:pPr>
              <w:spacing w:after="30" w:line="247" w:lineRule="auto"/>
            </w:pPr>
            <w:r>
              <w:rPr>
                <w:b w:val="0"/>
                <w:sz w:val="18"/>
              </w:rPr>
              <w:t>Reference snapshots; do not treat expected results or open decisions as actual evidence.</w:t>
            </w:r>
          </w:p>
        </w:tc>
      </w:tr>
      <w:tr>
        <w:trPr>
          <w:cantSplit/>
        </w:trPr>
        <w:tc>
          <w:tcPr>
            <w:tcW w:type="dxa" w:w="2390"/>
            <w:tcMar>
              <w:top w:w="85" w:type="dxa"/>
              <w:bottom w:w="85" w:type="dxa"/>
              <w:start w:w="90" w:type="dxa"/>
              <w:end w:w="90" w:type="dxa"/>
            </w:tcMar>
            <w:vAlign w:val="top"/>
            <w:shd w:fill="EEF5F7" w:val="clear"/>
          </w:tcPr>
          <w:p>
            <w:pPr>
              <w:spacing w:after="30" w:line="247" w:lineRule="auto"/>
            </w:pPr>
            <w:r>
              <w:rPr>
                <w:b w:val="0"/>
                <w:sz w:val="18"/>
              </w:rPr>
              <w:t>Quality and build source</w:t>
            </w:r>
          </w:p>
        </w:tc>
        <w:tc>
          <w:tcPr>
            <w:tcW w:type="dxa" w:w="3643"/>
            <w:tcMar>
              <w:top w:w="85" w:type="dxa"/>
              <w:bottom w:w="85" w:type="dxa"/>
              <w:start w:w="90" w:type="dxa"/>
              <w:end w:w="90" w:type="dxa"/>
            </w:tcMar>
            <w:vAlign w:val="top"/>
            <w:shd w:fill="EEF5F7" w:val="clear"/>
          </w:tcPr>
          <w:p>
            <w:pPr>
              <w:spacing w:after="30" w:line="247" w:lineRule="auto"/>
            </w:pPr>
            <w:r>
              <w:rPr>
                <w:b w:val="0"/>
                <w:sz w:val="18"/>
              </w:rPr>
              <w:t>Prior v1.0 checks separated from current v1.1 document checks.</w:t>
            </w:r>
          </w:p>
        </w:tc>
        <w:tc>
          <w:tcPr>
            <w:tcW w:type="dxa" w:w="4248"/>
            <w:tcMar>
              <w:top w:w="85" w:type="dxa"/>
              <w:bottom w:w="85" w:type="dxa"/>
              <w:start w:w="90" w:type="dxa"/>
              <w:end w:w="90" w:type="dxa"/>
            </w:tcMar>
            <w:vAlign w:val="top"/>
            <w:shd w:fill="EEF5F7" w:val="clear"/>
          </w:tcPr>
          <w:p>
            <w:pPr>
              <w:spacing w:after="30" w:line="247" w:lineRule="auto"/>
            </w:pPr>
            <w:r>
              <w:rPr>
                <w:b w:val="0"/>
                <w:sz w:val="18"/>
              </w:rPr>
              <w:t>Rebuild developed documents and run current structural checks; neither set qualifies infrastructure.</w:t>
            </w:r>
          </w:p>
        </w:tc>
      </w:tr>
    </w:tbl>
    <w:p>
      <w:pPr>
        <w:spacing w:after="0" w:before="0" w:line="120"/>
      </w:pPr>
    </w:p>
    <w:p>
      <w:r>
        <w:t>The existing workbook and project change system remain the chosen sources for real implementation status. New record fields identify what must be entered; they are not an automated approval mechanism. Preserve actual observation, not-run, blocked and approved not-applicable as distinct dispositions.</w:t>
      </w:r>
    </w:p>
    <w:p>
      <w:pPr>
        <w:keepLines/>
        <w:spacing w:before="120"/>
        <w:shd w:fill="EEF5F7" w:val="clear"/>
        <w:pBdr>
          <w:left w:val="single" w:sz="12" w:space="8" w:color="0B6B70"/>
        </w:pBdr>
      </w:pPr>
      <w:r>
        <w:rPr>
          <w:b/>
        </w:rPr>
        <w:t>Source handling: parent-derived architecture is linked by document/section. New worked elaborations are local proposals. D01–D08 identify mechanism references checked for this release, not a selected product tuple.</w:t>
      </w:r>
    </w:p>
    <w:p>
      <w:pPr>
        <w:pStyle w:val="Caption"/>
      </w:pPr>
      <w:r>
        <w:t xml:space="preserve">Continue with: </w:t>
      </w:r>
      <w:hyperlink r:id="rId32">
        <w:r>
          <w:rPr>
            <w:color w:val="0B6B70"/>
            <w:u w:val="single"/>
          </w:rPr>
          <w:t>QCP §6</w:t>
        </w:r>
      </w:hyperlink>
    </w:p>
    <w:p>
      <w:r>
        <w:br w:type="page"/>
      </w:r>
    </w:p>
    <w:p>
      <w:pPr>
        <w:pStyle w:val="Heading1"/>
      </w:pPr>
      <w:r>
        <w:t>5. Review the design through realistic change and failure</w:t>
      </w:r>
      <w:bookmarkStart w:id="142" w:name="DEL_05"/>
      <w:bookmarkEnd w:id="142"/>
    </w:p>
    <w:p>
      <w:r>
        <w:t>Cross-discipline review should expose the assumptions a build would otherwise discover late.</w:t>
      </w:r>
    </w:p>
    <w:p>
      <w:pPr>
        <w:pStyle w:val="Caption"/>
      </w:pPr>
      <w:r>
        <w:t xml:space="preserve">Design basis and related records: </w:t>
      </w:r>
      <w:hyperlink r:id="rId33">
        <w:r>
          <w:rPr>
            <w:color w:val="0B6B70"/>
            <w:u w:val="single"/>
          </w:rPr>
          <w:t>AK §7</w:t>
        </w:r>
      </w:hyperlink>
      <w:r>
        <w:t xml:space="preserve">  •  </w:t>
      </w:r>
      <w:hyperlink r:id="rId19">
        <w:r>
          <w:rPr>
            <w:color w:val="0B6B70"/>
            <w:u w:val="single"/>
          </w:rPr>
          <w:t>EK §8</w:t>
        </w:r>
      </w:hyperlink>
      <w:r>
        <w:t xml:space="preserve">  •  </w:t>
      </w:r>
      <w:hyperlink r:id="rId34">
        <w:r>
          <w:rPr>
            <w:color w:val="0B6B70"/>
            <w:u w:val="single"/>
          </w:rPr>
          <w:t>IK §8</w:t>
        </w:r>
      </w:hyperlink>
    </w:p>
    <w:tbl>
      <w:tblPr>
        <w:tblW w:type="auto" w:w="0"/>
        <w:jc w:val="center"/>
        <w:tblLayout w:type="fixed"/>
        <w:tblLook w:firstColumn="1" w:firstRow="1" w:lastColumn="0" w:lastRow="0" w:noHBand="0" w:noVBand="1" w:val="04A0"/>
      </w:tblPr>
      <w:tblGrid>
        <w:gridCol w:w="2059"/>
        <w:gridCol w:w="4954"/>
        <w:gridCol w:w="3269"/>
      </w:tblGrid>
      <w:tr>
        <w:trPr>
          <w:tblHeader/>
        </w:trPr>
        <w:tc>
          <w:tcPr>
            <w:tcW w:type="dxa" w:w="2059"/>
            <w:tcMar>
              <w:top w:w="85" w:type="dxa"/>
              <w:bottom w:w="85" w:type="dxa"/>
              <w:start w:w="90" w:type="dxa"/>
              <w:end w:w="90" w:type="dxa"/>
            </w:tcMar>
            <w:vAlign w:val="top"/>
            <w:shd w:fill="15384A" w:val="clear"/>
          </w:tcPr>
          <w:p>
            <w:pPr>
              <w:spacing w:after="30" w:line="247" w:lineRule="auto"/>
            </w:pPr>
            <w:r>
              <w:rPr>
                <w:b/>
                <w:color w:val="FFFFFF"/>
                <w:sz w:val="18"/>
              </w:rPr>
              <w:t>Walkthrough</w:t>
            </w:r>
          </w:p>
        </w:tc>
        <w:tc>
          <w:tcPr>
            <w:tcW w:type="dxa" w:w="4954"/>
            <w:tcMar>
              <w:top w:w="85" w:type="dxa"/>
              <w:bottom w:w="85" w:type="dxa"/>
              <w:start w:w="90" w:type="dxa"/>
              <w:end w:w="90" w:type="dxa"/>
            </w:tcMar>
            <w:vAlign w:val="top"/>
            <w:shd w:fill="15384A" w:val="clear"/>
          </w:tcPr>
          <w:p>
            <w:pPr>
              <w:spacing w:after="30" w:line="247" w:lineRule="auto"/>
            </w:pPr>
            <w:r>
              <w:rPr>
                <w:b/>
                <w:color w:val="FFFFFF"/>
                <w:sz w:val="18"/>
              </w:rPr>
              <w:t>Challenge to demonstrate</w:t>
            </w:r>
          </w:p>
        </w:tc>
        <w:tc>
          <w:tcPr>
            <w:tcW w:type="dxa" w:w="3269"/>
            <w:tcMar>
              <w:top w:w="85" w:type="dxa"/>
              <w:bottom w:w="85" w:type="dxa"/>
              <w:start w:w="90" w:type="dxa"/>
              <w:end w:w="90" w:type="dxa"/>
            </w:tcMar>
            <w:vAlign w:val="top"/>
            <w:shd w:fill="15384A" w:val="clear"/>
          </w:tcPr>
          <w:p>
            <w:pPr>
              <w:spacing w:after="30" w:line="247" w:lineRule="auto"/>
            </w:pPr>
            <w:r>
              <w:rPr>
                <w:b/>
                <w:color w:val="FFFFFF"/>
                <w:sz w:val="18"/>
              </w:rPr>
              <w:t>Resulting record</w:t>
            </w:r>
          </w:p>
        </w:tc>
      </w:tr>
      <w:tr>
        <w:trPr>
          <w:cantSplit/>
        </w:trPr>
        <w:tc>
          <w:tcPr>
            <w:tcW w:type="dxa" w:w="2059"/>
            <w:tcMar>
              <w:top w:w="85" w:type="dxa"/>
              <w:bottom w:w="85" w:type="dxa"/>
              <w:start w:w="90" w:type="dxa"/>
              <w:end w:w="90" w:type="dxa"/>
            </w:tcMar>
            <w:vAlign w:val="top"/>
          </w:tcPr>
          <w:p>
            <w:pPr>
              <w:spacing w:after="30" w:line="247" w:lineRule="auto"/>
            </w:pPr>
            <w:r>
              <w:rPr>
                <w:b w:val="0"/>
                <w:sz w:val="18"/>
              </w:rPr>
              <w:t>Service and sharing</w:t>
            </w:r>
          </w:p>
        </w:tc>
        <w:tc>
          <w:tcPr>
            <w:tcW w:type="dxa" w:w="4954"/>
            <w:tcMar>
              <w:top w:w="85" w:type="dxa"/>
              <w:bottom w:w="85" w:type="dxa"/>
              <w:start w:w="90" w:type="dxa"/>
              <w:end w:w="90" w:type="dxa"/>
            </w:tcMar>
            <w:vAlign w:val="top"/>
          </w:tcPr>
          <w:p>
            <w:pPr>
              <w:spacing w:after="30" w:line="247" w:lineRule="auto"/>
            </w:pPr>
            <w:r>
              <w:rPr>
                <w:b w:val="0"/>
                <w:sz w:val="18"/>
              </w:rPr>
              <w:t>Explain the offer, excluded capabilities and the consequences of one unavailable shared dependency.</w:t>
            </w:r>
          </w:p>
        </w:tc>
        <w:tc>
          <w:tcPr>
            <w:tcW w:type="dxa" w:w="3269"/>
            <w:tcMar>
              <w:top w:w="85" w:type="dxa"/>
              <w:bottom w:w="85" w:type="dxa"/>
              <w:start w:w="90" w:type="dxa"/>
              <w:end w:w="90" w:type="dxa"/>
            </w:tcMar>
            <w:vAlign w:val="top"/>
          </w:tcPr>
          <w:p>
            <w:pPr>
              <w:spacing w:after="30" w:line="247" w:lineRule="auto"/>
            </w:pPr>
            <w:r>
              <w:rPr>
                <w:b w:val="0"/>
                <w:sz w:val="18"/>
              </w:rPr>
              <w:t>HLD decision and service-envelope disposition.</w:t>
            </w:r>
          </w:p>
        </w:tc>
      </w:tr>
      <w:tr>
        <w:trPr>
          <w:cantSplit/>
        </w:trPr>
        <w:tc>
          <w:tcPr>
            <w:tcW w:type="dxa" w:w="2059"/>
            <w:tcMar>
              <w:top w:w="85" w:type="dxa"/>
              <w:bottom w:w="85" w:type="dxa"/>
              <w:start w:w="90" w:type="dxa"/>
              <w:end w:w="90" w:type="dxa"/>
            </w:tcMar>
            <w:vAlign w:val="top"/>
            <w:shd w:fill="EEF5F7" w:val="clear"/>
          </w:tcPr>
          <w:p>
            <w:pPr>
              <w:spacing w:after="30" w:line="247" w:lineRule="auto"/>
            </w:pPr>
            <w:r>
              <w:rPr>
                <w:b w:val="0"/>
                <w:sz w:val="18"/>
              </w:rPr>
              <w:t>Network and data</w:t>
            </w:r>
          </w:p>
        </w:tc>
        <w:tc>
          <w:tcPr>
            <w:tcW w:type="dxa" w:w="4954"/>
            <w:tcMar>
              <w:top w:w="85" w:type="dxa"/>
              <w:bottom w:w="85" w:type="dxa"/>
              <w:start w:w="90" w:type="dxa"/>
              <w:end w:w="90" w:type="dxa"/>
            </w:tcMar>
            <w:vAlign w:val="top"/>
            <w:shd w:fill="EEF5F7" w:val="clear"/>
          </w:tcPr>
          <w:p>
            <w:pPr>
              <w:spacing w:after="30" w:line="247" w:lineRule="auto"/>
            </w:pPr>
            <w:r>
              <w:rPr>
                <w:b w:val="0"/>
                <w:sz w:val="18"/>
              </w:rPr>
              <w:t>Walk F14-01 forward/reply, shared DNS replies, one denied route and one virtual-disk access.</w:t>
            </w:r>
          </w:p>
        </w:tc>
        <w:tc>
          <w:tcPr>
            <w:tcW w:type="dxa" w:w="3269"/>
            <w:tcMar>
              <w:top w:w="85" w:type="dxa"/>
              <w:bottom w:w="85" w:type="dxa"/>
              <w:start w:w="90" w:type="dxa"/>
              <w:end w:w="90" w:type="dxa"/>
            </w:tcMar>
            <w:vAlign w:val="top"/>
            <w:shd w:fill="EEF5F7" w:val="clear"/>
          </w:tcPr>
          <w:p>
            <w:pPr>
              <w:spacing w:after="30" w:line="247" w:lineRule="auto"/>
            </w:pPr>
            <w:r>
              <w:rPr>
                <w:b w:val="0"/>
                <w:sz w:val="18"/>
              </w:rPr>
              <w:t>Native mapping, route/policy schedule and control-location evidence plan.</w:t>
            </w:r>
          </w:p>
        </w:tc>
      </w:tr>
      <w:tr>
        <w:trPr>
          <w:cantSplit/>
        </w:trPr>
        <w:tc>
          <w:tcPr>
            <w:tcW w:type="dxa" w:w="2059"/>
            <w:tcMar>
              <w:top w:w="85" w:type="dxa"/>
              <w:bottom w:w="85" w:type="dxa"/>
              <w:start w:w="90" w:type="dxa"/>
              <w:end w:w="90" w:type="dxa"/>
            </w:tcMar>
            <w:vAlign w:val="top"/>
          </w:tcPr>
          <w:p>
            <w:pPr>
              <w:spacing w:after="30" w:line="247" w:lineRule="auto"/>
            </w:pPr>
            <w:r>
              <w:rPr>
                <w:b w:val="0"/>
                <w:sz w:val="18"/>
              </w:rPr>
              <w:t>Build and interruption</w:t>
            </w:r>
          </w:p>
        </w:tc>
        <w:tc>
          <w:tcPr>
            <w:tcW w:type="dxa" w:w="4954"/>
            <w:tcMar>
              <w:top w:w="85" w:type="dxa"/>
              <w:bottom w:w="85" w:type="dxa"/>
              <w:start w:w="90" w:type="dxa"/>
              <w:end w:w="90" w:type="dxa"/>
            </w:tcMar>
            <w:vAlign w:val="top"/>
          </w:tcPr>
          <w:p>
            <w:pPr>
              <w:spacing w:after="30" w:line="247" w:lineRule="auto"/>
            </w:pPr>
            <w:r>
              <w:rPr>
                <w:b w:val="0"/>
                <w:sz w:val="18"/>
              </w:rPr>
              <w:t>Explain which owner can create, update, adopt, replace or retire each resource, including a late native task.</w:t>
            </w:r>
          </w:p>
        </w:tc>
        <w:tc>
          <w:tcPr>
            <w:tcW w:type="dxa" w:w="3269"/>
            <w:tcMar>
              <w:top w:w="85" w:type="dxa"/>
              <w:bottom w:w="85" w:type="dxa"/>
              <w:start w:w="90" w:type="dxa"/>
              <w:end w:w="90" w:type="dxa"/>
            </w:tcMar>
            <w:vAlign w:val="top"/>
          </w:tcPr>
          <w:p>
            <w:pPr>
              <w:spacing w:after="30" w:line="247" w:lineRule="auto"/>
            </w:pPr>
            <w:r>
              <w:rPr>
                <w:b w:val="0"/>
                <w:sz w:val="18"/>
              </w:rPr>
              <w:t>Operation matrix, MOP stopping points and data-safe recovery.</w:t>
            </w:r>
          </w:p>
        </w:tc>
      </w:tr>
      <w:tr>
        <w:trPr>
          <w:cantSplit/>
        </w:trPr>
        <w:tc>
          <w:tcPr>
            <w:tcW w:type="dxa" w:w="2059"/>
            <w:tcMar>
              <w:top w:w="85" w:type="dxa"/>
              <w:bottom w:w="85" w:type="dxa"/>
              <w:start w:w="90" w:type="dxa"/>
              <w:end w:w="90" w:type="dxa"/>
            </w:tcMar>
            <w:vAlign w:val="top"/>
            <w:shd w:fill="EEF5F7" w:val="clear"/>
          </w:tcPr>
          <w:p>
            <w:pPr>
              <w:spacing w:after="30" w:line="247" w:lineRule="auto"/>
            </w:pPr>
            <w:r>
              <w:rPr>
                <w:b w:val="0"/>
                <w:sz w:val="18"/>
              </w:rPr>
              <w:t>Qualification</w:t>
            </w:r>
          </w:p>
        </w:tc>
        <w:tc>
          <w:tcPr>
            <w:tcW w:type="dxa" w:w="4954"/>
            <w:tcMar>
              <w:top w:w="85" w:type="dxa"/>
              <w:bottom w:w="85" w:type="dxa"/>
              <w:start w:w="90" w:type="dxa"/>
              <w:end w:w="90" w:type="dxa"/>
            </w:tcMar>
            <w:vAlign w:val="top"/>
            <w:shd w:fill="EEF5F7" w:val="clear"/>
          </w:tcPr>
          <w:p>
            <w:pPr>
              <w:spacing w:after="30" w:line="247" w:lineRule="auto"/>
            </w:pPr>
            <w:r>
              <w:rPr>
                <w:b w:val="0"/>
                <w:sz w:val="18"/>
              </w:rPr>
              <w:t>Show a healthy control, one meaningful failure and an independently reviewable artifact.</w:t>
            </w:r>
          </w:p>
        </w:tc>
        <w:tc>
          <w:tcPr>
            <w:tcW w:type="dxa" w:w="3269"/>
            <w:tcMar>
              <w:top w:w="85" w:type="dxa"/>
              <w:bottom w:w="85" w:type="dxa"/>
              <w:start w:w="90" w:type="dxa"/>
              <w:end w:w="90" w:type="dxa"/>
            </w:tcMar>
            <w:vAlign w:val="top"/>
            <w:shd w:fill="EEF5F7" w:val="clear"/>
          </w:tcPr>
          <w:p>
            <w:pPr>
              <w:spacing w:after="30" w:line="247" w:lineRule="auto"/>
            </w:pPr>
            <w:r>
              <w:rPr>
                <w:b w:val="0"/>
                <w:sz w:val="18"/>
              </w:rPr>
              <w:t>Campaign scope, assertion coverage, defect and retest plan.</w:t>
            </w:r>
          </w:p>
        </w:tc>
      </w:tr>
      <w:tr>
        <w:trPr>
          <w:cantSplit/>
        </w:trPr>
        <w:tc>
          <w:tcPr>
            <w:tcW w:type="dxa" w:w="2059"/>
            <w:tcMar>
              <w:top w:w="85" w:type="dxa"/>
              <w:bottom w:w="85" w:type="dxa"/>
              <w:start w:w="90" w:type="dxa"/>
              <w:end w:w="90" w:type="dxa"/>
            </w:tcMar>
            <w:vAlign w:val="top"/>
          </w:tcPr>
          <w:p>
            <w:pPr>
              <w:spacing w:after="30" w:line="247" w:lineRule="auto"/>
            </w:pPr>
            <w:r>
              <w:rPr>
                <w:b w:val="0"/>
                <w:sz w:val="18"/>
              </w:rPr>
              <w:t>Readiness and lifecycle</w:t>
            </w:r>
          </w:p>
        </w:tc>
        <w:tc>
          <w:tcPr>
            <w:tcW w:type="dxa" w:w="4954"/>
            <w:tcMar>
              <w:top w:w="85" w:type="dxa"/>
              <w:bottom w:w="85" w:type="dxa"/>
              <w:start w:w="90" w:type="dxa"/>
              <w:end w:w="90" w:type="dxa"/>
            </w:tcMar>
            <w:vAlign w:val="top"/>
          </w:tcPr>
          <w:p>
            <w:pPr>
              <w:spacing w:after="30" w:line="247" w:lineRule="auto"/>
            </w:pPr>
            <w:r>
              <w:rPr>
                <w:b w:val="0"/>
                <w:sz w:val="18"/>
              </w:rPr>
              <w:t>Recover a known dataset and explain cutover, return after new writes and retained-copy disposal.</w:t>
            </w:r>
          </w:p>
        </w:tc>
        <w:tc>
          <w:tcPr>
            <w:tcW w:type="dxa" w:w="3269"/>
            <w:tcMar>
              <w:top w:w="85" w:type="dxa"/>
              <w:bottom w:w="85" w:type="dxa"/>
              <w:start w:w="90" w:type="dxa"/>
              <w:end w:w="90" w:type="dxa"/>
            </w:tcMar>
            <w:vAlign w:val="top"/>
          </w:tcPr>
          <w:p>
            <w:pPr>
              <w:spacing w:after="30" w:line="247" w:lineRule="auto"/>
            </w:pPr>
            <w:r>
              <w:rPr>
                <w:b w:val="0"/>
                <w:sz w:val="18"/>
              </w:rPr>
              <w:t>Initial readiness, operating acceptance and P6 obligations.</w:t>
            </w:r>
          </w:p>
        </w:tc>
      </w:tr>
    </w:tbl>
    <w:p>
      <w:pPr>
        <w:spacing w:after="0" w:before="0" w:line="120"/>
      </w:pPr>
    </w:p>
    <w:p>
      <w:r>
        <w:t>A design change needs impact review across linked views, schedules, native artifacts, test observations, service promises and deployed scopes. Reuse prior evidence only when its scope and freshness remain valid. A change to the source document alone does not alter a running environment.</w:t>
      </w:r>
    </w:p>
    <w:p>
      <w:r>
        <w:t>Each review yields an accepted disposition or an assigned blocker with owner, gate and evidence needed for closure. Do not use document length, test counts or the absence of schema errors as proof of architectural completeness.</w:t>
      </w:r>
    </w:p>
    <w:p>
      <w:pPr>
        <w:pStyle w:val="Caption"/>
      </w:pPr>
      <w:r>
        <w:t xml:space="preserve">Continue with: </w:t>
      </w:r>
      <w:hyperlink r:id="rId35">
        <w:r>
          <w:rPr>
            <w:color w:val="0B6B70"/>
            <w:u w:val="single"/>
          </w:rPr>
          <w:t>SDP §3</w:t>
        </w:r>
      </w:hyperlink>
      <w:r>
        <w:t xml:space="preserve">  •  </w:t>
      </w:r>
      <w:hyperlink r:id="rId32">
        <w:r>
          <w:rPr>
            <w:color w:val="0B6B70"/>
            <w:u w:val="single"/>
          </w:rPr>
          <w:t>QCP §6</w:t>
        </w:r>
      </w:hyperlink>
      <w:r>
        <w:t xml:space="preserve">  •  </w:t>
      </w:r>
      <w:hyperlink r:id="rId36">
        <w:r>
          <w:rPr>
            <w:color w:val="0B6B70"/>
            <w:u w:val="single"/>
          </w:rPr>
          <w:t>OPS §3</w:t>
        </w:r>
      </w:hyperlink>
    </w:p>
    <w:p>
      <w:r>
        <w:br w:type="page"/>
      </w:r>
    </w:p>
    <w:p>
      <w:pPr>
        <w:pStyle w:val="Heading1"/>
      </w:pPr>
      <w:r>
        <w:t>6. Resolve the actual inputs before execution</w:t>
      </w:r>
      <w:bookmarkStart w:id="143" w:name="DEL_06"/>
      <w:bookmarkEnd w:id="143"/>
    </w:p>
    <w:p>
      <w:r>
        <w:t>The kit develops the method and expected infrastructure outcomes. Actual site facts remain the responsibility of the named project and infrastructure owners.</w:t>
      </w:r>
    </w:p>
    <w:p>
      <w:pPr>
        <w:pStyle w:val="Caption"/>
      </w:pPr>
      <w:r>
        <w:t xml:space="preserve">Design basis and related records: </w:t>
      </w:r>
      <w:hyperlink r:id="rId37">
        <w:r>
          <w:rPr>
            <w:color w:val="0B6B70"/>
            <w:u w:val="single"/>
          </w:rPr>
          <w:t>GM §4</w:t>
        </w:r>
      </w:hyperlink>
      <w:r>
        <w:t xml:space="preserve">  •  </w:t>
      </w:r>
      <w:hyperlink r:id="rId38">
        <w:r>
          <w:rPr>
            <w:color w:val="0B6B70"/>
            <w:u w:val="single"/>
          </w:rPr>
          <w:t>WD §14</w:t>
        </w:r>
      </w:hyperlink>
      <w:r>
        <w:t xml:space="preserve">  •  </w:t>
      </w:r>
      <w:hyperlink r:id="rId39">
        <w:r>
          <w:rPr>
            <w:color w:val="0B6B70"/>
            <w:u w:val="single"/>
          </w:rPr>
          <w:t>ET §1</w:t>
        </w:r>
      </w:hyperlink>
    </w:p>
    <w:tbl>
      <w:tblPr>
        <w:tblW w:type="auto" w:w="0"/>
        <w:jc w:val="center"/>
        <w:tblLayout w:type="fixed"/>
        <w:tblLook w:firstColumn="1" w:firstRow="1" w:lastColumn="0" w:lastRow="0" w:noHBand="0" w:noVBand="1" w:val="04A0"/>
      </w:tblPr>
      <w:tblGrid>
        <w:gridCol w:w="3053"/>
        <w:gridCol w:w="3139"/>
        <w:gridCol w:w="4090"/>
      </w:tblGrid>
      <w:tr>
        <w:trPr>
          <w:tblHeader/>
        </w:trPr>
        <w:tc>
          <w:tcPr>
            <w:tcW w:type="dxa" w:w="3053"/>
            <w:tcMar>
              <w:top w:w="85" w:type="dxa"/>
              <w:bottom w:w="85" w:type="dxa"/>
              <w:start w:w="90" w:type="dxa"/>
              <w:end w:w="90" w:type="dxa"/>
            </w:tcMar>
            <w:vAlign w:val="top"/>
            <w:shd w:fill="15384A" w:val="clear"/>
          </w:tcPr>
          <w:p>
            <w:pPr>
              <w:spacing w:after="30" w:line="247" w:lineRule="auto"/>
            </w:pPr>
            <w:r>
              <w:rPr>
                <w:b/>
                <w:color w:val="FFFFFF"/>
                <w:sz w:val="18"/>
              </w:rPr>
              <w:t>Required input</w:t>
            </w:r>
          </w:p>
        </w:tc>
        <w:tc>
          <w:tcPr>
            <w:tcW w:type="dxa" w:w="3139"/>
            <w:tcMar>
              <w:top w:w="85" w:type="dxa"/>
              <w:bottom w:w="85" w:type="dxa"/>
              <w:start w:w="90" w:type="dxa"/>
              <w:end w:w="90" w:type="dxa"/>
            </w:tcMar>
            <w:vAlign w:val="top"/>
            <w:shd w:fill="15384A" w:val="clear"/>
          </w:tcPr>
          <w:p>
            <w:pPr>
              <w:spacing w:after="30" w:line="247" w:lineRule="auto"/>
            </w:pPr>
            <w:r>
              <w:rPr>
                <w:b/>
                <w:color w:val="FFFFFF"/>
                <w:sz w:val="18"/>
              </w:rPr>
              <w:t>Responsible role</w:t>
            </w:r>
          </w:p>
        </w:tc>
        <w:tc>
          <w:tcPr>
            <w:tcW w:type="dxa" w:w="4090"/>
            <w:tcMar>
              <w:top w:w="85" w:type="dxa"/>
              <w:bottom w:w="85" w:type="dxa"/>
              <w:start w:w="90" w:type="dxa"/>
              <w:end w:w="90" w:type="dxa"/>
            </w:tcMar>
            <w:vAlign w:val="top"/>
            <w:shd w:fill="15384A" w:val="clear"/>
          </w:tcPr>
          <w:p>
            <w:pPr>
              <w:spacing w:after="30" w:line="247" w:lineRule="auto"/>
            </w:pPr>
            <w:r>
              <w:rPr>
                <w:b/>
                <w:color w:val="FFFFFF"/>
                <w:sz w:val="18"/>
              </w:rPr>
              <w:t>Dependent decision</w:t>
            </w:r>
          </w:p>
        </w:tc>
      </w:tr>
      <w:tr>
        <w:trPr>
          <w:cantSplit/>
        </w:trPr>
        <w:tc>
          <w:tcPr>
            <w:tcW w:type="dxa" w:w="3053"/>
            <w:tcMar>
              <w:top w:w="85" w:type="dxa"/>
              <w:bottom w:w="85" w:type="dxa"/>
              <w:start w:w="90" w:type="dxa"/>
              <w:end w:w="90" w:type="dxa"/>
            </w:tcMar>
            <w:vAlign w:val="top"/>
          </w:tcPr>
          <w:p>
            <w:pPr>
              <w:spacing w:after="30" w:line="247" w:lineRule="auto"/>
            </w:pPr>
            <w:r>
              <w:rPr>
                <w:b w:val="0"/>
                <w:sz w:val="18"/>
              </w:rPr>
              <w:t>Site, cells and physical dependencies</w:t>
            </w:r>
          </w:p>
        </w:tc>
        <w:tc>
          <w:tcPr>
            <w:tcW w:type="dxa" w:w="3139"/>
            <w:tcMar>
              <w:top w:w="85" w:type="dxa"/>
              <w:bottom w:w="85" w:type="dxa"/>
              <w:start w:w="90" w:type="dxa"/>
              <w:end w:w="90" w:type="dxa"/>
            </w:tcMar>
            <w:vAlign w:val="top"/>
          </w:tcPr>
          <w:p>
            <w:pPr>
              <w:spacing w:after="30" w:line="247" w:lineRule="auto"/>
            </w:pPr>
            <w:r>
              <w:rPr>
                <w:b w:val="0"/>
                <w:sz w:val="18"/>
              </w:rPr>
              <w:t>Site/facility/platform owners.</w:t>
            </w:r>
          </w:p>
        </w:tc>
        <w:tc>
          <w:tcPr>
            <w:tcW w:type="dxa" w:w="4090"/>
            <w:tcMar>
              <w:top w:w="85" w:type="dxa"/>
              <w:bottom w:w="85" w:type="dxa"/>
              <w:start w:w="90" w:type="dxa"/>
              <w:end w:w="90" w:type="dxa"/>
            </w:tcMar>
            <w:vAlign w:val="top"/>
          </w:tcPr>
          <w:p>
            <w:pPr>
              <w:spacing w:after="30" w:line="247" w:lineRule="auto"/>
            </w:pPr>
            <w:r>
              <w:rPr>
                <w:b w:val="0"/>
                <w:sz w:val="18"/>
              </w:rPr>
              <w:t>Actual inventory, power/rack/link groups and accepted commissioning.</w:t>
            </w:r>
          </w:p>
        </w:tc>
      </w:tr>
      <w:tr>
        <w:trPr>
          <w:cantSplit/>
        </w:trPr>
        <w:tc>
          <w:tcPr>
            <w:tcW w:type="dxa" w:w="3053"/>
            <w:tcMar>
              <w:top w:w="85" w:type="dxa"/>
              <w:bottom w:w="85" w:type="dxa"/>
              <w:start w:w="90" w:type="dxa"/>
              <w:end w:w="90" w:type="dxa"/>
            </w:tcMar>
            <w:vAlign w:val="top"/>
            <w:shd w:fill="EEF5F7" w:val="clear"/>
          </w:tcPr>
          <w:p>
            <w:pPr>
              <w:spacing w:after="30" w:line="247" w:lineRule="auto"/>
            </w:pPr>
            <w:r>
              <w:rPr>
                <w:b w:val="0"/>
                <w:sz w:val="18"/>
              </w:rPr>
              <w:t>Sharing, management and selected obligations</w:t>
            </w:r>
          </w:p>
        </w:tc>
        <w:tc>
          <w:tcPr>
            <w:tcW w:type="dxa" w:w="3139"/>
            <w:tcMar>
              <w:top w:w="85" w:type="dxa"/>
              <w:bottom w:w="85" w:type="dxa"/>
              <w:start w:w="90" w:type="dxa"/>
              <w:end w:w="90" w:type="dxa"/>
            </w:tcMar>
            <w:vAlign w:val="top"/>
            <w:shd w:fill="EEF5F7" w:val="clear"/>
          </w:tcPr>
          <w:p>
            <w:pPr>
              <w:spacing w:after="30" w:line="247" w:lineRule="auto"/>
            </w:pPr>
            <w:r>
              <w:rPr>
                <w:b w:val="0"/>
                <w:sz w:val="18"/>
              </w:rPr>
              <w:t>Architecture and security authorities.</w:t>
            </w:r>
          </w:p>
        </w:tc>
        <w:tc>
          <w:tcPr>
            <w:tcW w:type="dxa" w:w="4090"/>
            <w:tcMar>
              <w:top w:w="85" w:type="dxa"/>
              <w:bottom w:w="85" w:type="dxa"/>
              <w:start w:w="90" w:type="dxa"/>
              <w:end w:w="90" w:type="dxa"/>
            </w:tcMar>
            <w:vAlign w:val="top"/>
            <w:shd w:fill="EEF5F7" w:val="clear"/>
          </w:tcPr>
          <w:p>
            <w:pPr>
              <w:spacing w:after="30" w:line="247" w:lineRule="auto"/>
            </w:pPr>
            <w:r>
              <w:rPr>
                <w:b w:val="0"/>
                <w:sz w:val="18"/>
              </w:rPr>
              <w:t>Eligible compute/storage/control and recovery boundaries.</w:t>
            </w:r>
          </w:p>
        </w:tc>
      </w:tr>
      <w:tr>
        <w:trPr>
          <w:cantSplit/>
        </w:trPr>
        <w:tc>
          <w:tcPr>
            <w:tcW w:type="dxa" w:w="3053"/>
            <w:tcMar>
              <w:top w:w="85" w:type="dxa"/>
              <w:bottom w:w="85" w:type="dxa"/>
              <w:start w:w="90" w:type="dxa"/>
              <w:end w:w="90" w:type="dxa"/>
            </w:tcMar>
            <w:vAlign w:val="top"/>
          </w:tcPr>
          <w:p>
            <w:pPr>
              <w:spacing w:after="30" w:line="247" w:lineRule="auto"/>
            </w:pPr>
            <w:r>
              <w:rPr>
                <w:b w:val="0"/>
                <w:sz w:val="18"/>
              </w:rPr>
              <w:t>Exact supported implementation</w:t>
            </w:r>
          </w:p>
        </w:tc>
        <w:tc>
          <w:tcPr>
            <w:tcW w:type="dxa" w:w="3139"/>
            <w:tcMar>
              <w:top w:w="85" w:type="dxa"/>
              <w:bottom w:w="85" w:type="dxa"/>
              <w:start w:w="90" w:type="dxa"/>
              <w:end w:w="90" w:type="dxa"/>
            </w:tcMar>
            <w:vAlign w:val="top"/>
          </w:tcPr>
          <w:p>
            <w:pPr>
              <w:spacing w:after="30" w:line="247" w:lineRule="auto"/>
            </w:pPr>
            <w:r>
              <w:rPr>
                <w:b w:val="0"/>
                <w:sz w:val="18"/>
              </w:rPr>
              <w:t>Platform/network/service engineering.</w:t>
            </w:r>
          </w:p>
        </w:tc>
        <w:tc>
          <w:tcPr>
            <w:tcW w:type="dxa" w:w="4090"/>
            <w:tcMar>
              <w:top w:w="85" w:type="dxa"/>
              <w:bottom w:w="85" w:type="dxa"/>
              <w:start w:w="90" w:type="dxa"/>
              <w:end w:w="90" w:type="dxa"/>
            </w:tcMar>
            <w:vAlign w:val="top"/>
          </w:tcPr>
          <w:p>
            <w:pPr>
              <w:spacing w:after="30" w:line="247" w:lineRule="auto"/>
            </w:pPr>
            <w:r>
              <w:rPr>
                <w:b w:val="0"/>
                <w:sz w:val="18"/>
              </w:rPr>
              <w:t>Hardware, firmware, releases, features, licences and native operation support.</w:t>
            </w:r>
          </w:p>
        </w:tc>
      </w:tr>
      <w:tr>
        <w:trPr>
          <w:cantSplit/>
        </w:trPr>
        <w:tc>
          <w:tcPr>
            <w:tcW w:type="dxa" w:w="3053"/>
            <w:tcMar>
              <w:top w:w="85" w:type="dxa"/>
              <w:bottom w:w="85" w:type="dxa"/>
              <w:start w:w="90" w:type="dxa"/>
              <w:end w:w="90" w:type="dxa"/>
            </w:tcMar>
            <w:vAlign w:val="top"/>
            <w:shd w:fill="EEF5F7" w:val="clear"/>
          </w:tcPr>
          <w:p>
            <w:pPr>
              <w:spacing w:after="30" w:line="247" w:lineRule="auto"/>
            </w:pPr>
            <w:r>
              <w:rPr>
                <w:b w:val="0"/>
                <w:sz w:val="18"/>
              </w:rPr>
              <w:t>Actual addressing and interfaces</w:t>
            </w:r>
          </w:p>
        </w:tc>
        <w:tc>
          <w:tcPr>
            <w:tcW w:type="dxa" w:w="3139"/>
            <w:tcMar>
              <w:top w:w="85" w:type="dxa"/>
              <w:bottom w:w="85" w:type="dxa"/>
              <w:start w:w="90" w:type="dxa"/>
              <w:end w:w="90" w:type="dxa"/>
            </w:tcMar>
            <w:vAlign w:val="top"/>
            <w:shd w:fill="EEF5F7" w:val="clear"/>
          </w:tcPr>
          <w:p>
            <w:pPr>
              <w:spacing w:after="30" w:line="247" w:lineRule="auto"/>
            </w:pPr>
            <w:r>
              <w:rPr>
                <w:b w:val="0"/>
                <w:sz w:val="18"/>
              </w:rPr>
              <w:t>Network/edge/service owners.</w:t>
            </w:r>
          </w:p>
        </w:tc>
        <w:tc>
          <w:tcPr>
            <w:tcW w:type="dxa" w:w="4090"/>
            <w:tcMar>
              <w:top w:w="85" w:type="dxa"/>
              <w:bottom w:w="85" w:type="dxa"/>
              <w:start w:w="90" w:type="dxa"/>
              <w:end w:w="90" w:type="dxa"/>
            </w:tcMar>
            <w:vAlign w:val="top"/>
            <w:shd w:fill="EEF5F7" w:val="clear"/>
          </w:tcPr>
          <w:p>
            <w:pPr>
              <w:spacing w:after="30" w:line="247" w:lineRule="auto"/>
            </w:pPr>
            <w:r>
              <w:rPr>
                <w:b w:val="0"/>
                <w:sz w:val="18"/>
              </w:rPr>
              <w:t>IPAM, routes, policy, reply paths and single configuration ownership.</w:t>
            </w:r>
          </w:p>
        </w:tc>
      </w:tr>
      <w:tr>
        <w:trPr>
          <w:cantSplit/>
        </w:trPr>
        <w:tc>
          <w:tcPr>
            <w:tcW w:type="dxa" w:w="3053"/>
            <w:tcMar>
              <w:top w:w="85" w:type="dxa"/>
              <w:bottom w:w="85" w:type="dxa"/>
              <w:start w:w="90" w:type="dxa"/>
              <w:end w:w="90" w:type="dxa"/>
            </w:tcMar>
            <w:vAlign w:val="top"/>
          </w:tcPr>
          <w:p>
            <w:pPr>
              <w:spacing w:after="30" w:line="247" w:lineRule="auto"/>
            </w:pPr>
            <w:r>
              <w:rPr>
                <w:b w:val="0"/>
                <w:sz w:val="18"/>
              </w:rPr>
              <w:t>Service, capacity and data constraints</w:t>
            </w:r>
          </w:p>
        </w:tc>
        <w:tc>
          <w:tcPr>
            <w:tcW w:type="dxa" w:w="3139"/>
            <w:tcMar>
              <w:top w:w="85" w:type="dxa"/>
              <w:bottom w:w="85" w:type="dxa"/>
              <w:start w:w="90" w:type="dxa"/>
              <w:end w:w="90" w:type="dxa"/>
            </w:tcMar>
            <w:vAlign w:val="top"/>
          </w:tcPr>
          <w:p>
            <w:pPr>
              <w:spacing w:after="30" w:line="247" w:lineRule="auto"/>
            </w:pPr>
            <w:r>
              <w:rPr>
                <w:b w:val="0"/>
                <w:sz w:val="18"/>
              </w:rPr>
              <w:t>Service/data/operations owners.</w:t>
            </w:r>
          </w:p>
        </w:tc>
        <w:tc>
          <w:tcPr>
            <w:tcW w:type="dxa" w:w="4090"/>
            <w:tcMar>
              <w:top w:w="85" w:type="dxa"/>
              <w:bottom w:w="85" w:type="dxa"/>
              <w:start w:w="90" w:type="dxa"/>
              <w:end w:w="90" w:type="dxa"/>
            </w:tcMar>
            <w:vAlign w:val="top"/>
          </w:tcPr>
          <w:p>
            <w:pPr>
              <w:spacing w:after="30" w:line="247" w:lineRule="auto"/>
            </w:pPr>
            <w:r>
              <w:rPr>
                <w:b w:val="0"/>
                <w:sz w:val="18"/>
              </w:rPr>
              <w:t>Performance, failure model, retention, location, RTO/RPO and support.</w:t>
            </w:r>
          </w:p>
        </w:tc>
      </w:tr>
      <w:tr>
        <w:trPr>
          <w:cantSplit/>
        </w:trPr>
        <w:tc>
          <w:tcPr>
            <w:tcW w:type="dxa" w:w="3053"/>
            <w:tcMar>
              <w:top w:w="85" w:type="dxa"/>
              <w:bottom w:w="85" w:type="dxa"/>
              <w:start w:w="90" w:type="dxa"/>
              <w:end w:w="90" w:type="dxa"/>
            </w:tcMar>
            <w:vAlign w:val="top"/>
            <w:shd w:fill="EEF5F7" w:val="clear"/>
          </w:tcPr>
          <w:p>
            <w:pPr>
              <w:spacing w:after="30" w:line="247" w:lineRule="auto"/>
            </w:pPr>
            <w:r>
              <w:rPr>
                <w:b w:val="0"/>
                <w:sz w:val="18"/>
              </w:rPr>
              <w:t>Native execution artifacts and real evidence</w:t>
            </w:r>
          </w:p>
        </w:tc>
        <w:tc>
          <w:tcPr>
            <w:tcW w:type="dxa" w:w="3139"/>
            <w:tcMar>
              <w:top w:w="85" w:type="dxa"/>
              <w:bottom w:w="85" w:type="dxa"/>
              <w:start w:w="90" w:type="dxa"/>
              <w:end w:w="90" w:type="dxa"/>
            </w:tcMar>
            <w:vAlign w:val="top"/>
            <w:shd w:fill="EEF5F7" w:val="clear"/>
          </w:tcPr>
          <w:p>
            <w:pPr>
              <w:spacing w:after="30" w:line="247" w:lineRule="auto"/>
            </w:pPr>
            <w:r>
              <w:rPr>
                <w:b w:val="0"/>
                <w:sz w:val="18"/>
              </w:rPr>
              <w:t>Implementers, assurance and designated approvers.</w:t>
            </w:r>
          </w:p>
        </w:tc>
        <w:tc>
          <w:tcPr>
            <w:tcW w:type="dxa" w:w="4090"/>
            <w:tcMar>
              <w:top w:w="85" w:type="dxa"/>
              <w:bottom w:w="85" w:type="dxa"/>
              <w:start w:w="90" w:type="dxa"/>
              <w:end w:w="90" w:type="dxa"/>
            </w:tcMar>
            <w:vAlign w:val="top"/>
            <w:shd w:fill="EEF5F7" w:val="clear"/>
          </w:tcPr>
          <w:p>
            <w:pPr>
              <w:spacing w:after="30" w:line="247" w:lineRule="auto"/>
            </w:pPr>
            <w:r>
              <w:rPr>
                <w:b w:val="0"/>
                <w:sz w:val="18"/>
              </w:rPr>
              <w:t>Reviewed MOP, actual observation, scoped qualification, readiness and activation.</w:t>
            </w:r>
          </w:p>
        </w:tc>
      </w:tr>
    </w:tbl>
    <w:p>
      <w:pPr>
        <w:spacing w:after="0" w:before="0" w:line="120"/>
      </w:pPr>
    </w:p>
    <w:p>
      <w:r>
        <w:t>Unknown values do not become vendor defaults. Assign a blocking gate and an owner. Engineering exploration and safeguarded qualification preparation can continue in parallel where authorized, but production construction and activation cannot depend on unaccepted boundaries or support assumptions.</w:t>
      </w:r>
    </w:p>
    <w:p>
      <w:r>
        <w:t>Native configuration, installation and data-movement artifacts are separate build deliverables. This release does not invent a universal Terraform implementation or turn reference addresses into a deployable network. Physical work uses qualified personnel and accepted site/manufacturer procedures.</w:t>
      </w:r>
    </w:p>
    <w:p>
      <w:pPr>
        <w:pStyle w:val="Caption"/>
      </w:pPr>
      <w:r>
        <w:t xml:space="preserve">Continue with: </w:t>
      </w:r>
      <w:hyperlink r:id="rId23">
        <w:r>
          <w:rPr>
            <w:color w:val="0B6B70"/>
            <w:u w:val="single"/>
          </w:rPr>
          <w:t>PBS §9</w:t>
        </w:r>
      </w:hyperlink>
      <w:r>
        <w:t xml:space="preserve">  •  </w:t>
      </w:r>
      <w:hyperlink r:id="rId28">
        <w:r>
          <w:rPr>
            <w:color w:val="0B6B70"/>
            <w:u w:val="single"/>
          </w:rPr>
          <w:t>OPS §8</w:t>
        </w:r>
      </w:hyperlink>
    </w:p>
    <w:p>
      <w:r>
        <w:br w:type="page"/>
      </w:r>
    </w:p>
    <w:p>
      <w:pPr>
        <w:pStyle w:val="Heading1"/>
      </w:pPr>
      <w:r>
        <w:t>7. Navigate the developed document family</w:t>
      </w:r>
      <w:bookmarkStart w:id="144" w:name="DEL_07"/>
      <w:bookmarkEnd w:id="144"/>
    </w:p>
    <w:p>
      <w:r>
        <w:t>The five new documents deepen existing outputs rather than adding another unrelated methodology.</w:t>
      </w:r>
    </w:p>
    <w:p>
      <w:pPr>
        <w:pStyle w:val="Caption"/>
      </w:pPr>
      <w:r>
        <w:t xml:space="preserve">Design basis and related records: </w:t>
      </w:r>
      <w:hyperlink r:id="rId12">
        <w:r>
          <w:rPr>
            <w:color w:val="0B6B70"/>
            <w:u w:val="single"/>
          </w:rPr>
          <w:t>RA §30</w:t>
        </w:r>
      </w:hyperlink>
    </w:p>
    <w:tbl>
      <w:tblPr>
        <w:tblW w:type="auto" w:w="0"/>
        <w:jc w:val="center"/>
        <w:tblLayout w:type="fixed"/>
        <w:tblLook w:firstColumn="1" w:firstRow="1" w:lastColumn="0" w:lastRow="0" w:noHBand="0" w:noVBand="1" w:val="04A0"/>
      </w:tblPr>
      <w:tblGrid>
        <w:gridCol w:w="3384"/>
        <w:gridCol w:w="4579"/>
        <w:gridCol w:w="2318"/>
      </w:tblGrid>
      <w:tr>
        <w:trPr>
          <w:tblHeader/>
        </w:trPr>
        <w:tc>
          <w:tcPr>
            <w:tcW w:type="dxa" w:w="3384"/>
            <w:tcMar>
              <w:top w:w="85" w:type="dxa"/>
              <w:bottom w:w="85" w:type="dxa"/>
              <w:start w:w="90" w:type="dxa"/>
              <w:end w:w="90" w:type="dxa"/>
            </w:tcMar>
            <w:vAlign w:val="top"/>
            <w:shd w:fill="15384A" w:val="clear"/>
          </w:tcPr>
          <w:p>
            <w:pPr>
              <w:spacing w:after="30" w:line="247" w:lineRule="auto"/>
            </w:pPr>
            <w:r>
              <w:rPr>
                <w:b/>
                <w:color w:val="FFFFFF"/>
                <w:sz w:val="18"/>
              </w:rPr>
              <w:t>Document</w:t>
            </w:r>
          </w:p>
        </w:tc>
        <w:tc>
          <w:tcPr>
            <w:tcW w:type="dxa" w:w="4579"/>
            <w:tcMar>
              <w:top w:w="85" w:type="dxa"/>
              <w:bottom w:w="85" w:type="dxa"/>
              <w:start w:w="90" w:type="dxa"/>
              <w:end w:w="90" w:type="dxa"/>
            </w:tcMar>
            <w:vAlign w:val="top"/>
            <w:shd w:fill="15384A" w:val="clear"/>
          </w:tcPr>
          <w:p>
            <w:pPr>
              <w:spacing w:after="30" w:line="247" w:lineRule="auto"/>
            </w:pPr>
            <w:r>
              <w:rPr>
                <w:b/>
                <w:color w:val="FFFFFF"/>
                <w:sz w:val="18"/>
              </w:rPr>
              <w:t>Primary purpose</w:t>
            </w:r>
          </w:p>
        </w:tc>
        <w:tc>
          <w:tcPr>
            <w:tcW w:type="dxa" w:w="2318"/>
            <w:tcMar>
              <w:top w:w="85" w:type="dxa"/>
              <w:bottom w:w="85" w:type="dxa"/>
              <w:start w:w="90" w:type="dxa"/>
              <w:end w:w="90" w:type="dxa"/>
            </w:tcMar>
            <w:vAlign w:val="top"/>
            <w:shd w:fill="15384A" w:val="clear"/>
          </w:tcPr>
          <w:p>
            <w:pPr>
              <w:spacing w:after="30" w:line="247" w:lineRule="auto"/>
            </w:pPr>
            <w:r>
              <w:rPr>
                <w:b/>
                <w:color w:val="FFFFFF"/>
                <w:sz w:val="18"/>
              </w:rPr>
              <w:t>Role outputs developed</w:t>
            </w:r>
          </w:p>
        </w:tc>
      </w:tr>
      <w:tr>
        <w:trPr>
          <w:cantSplit/>
        </w:trPr>
        <w:tc>
          <w:tcPr>
            <w:tcW w:type="dxa" w:w="3384"/>
            <w:tcMar>
              <w:top w:w="85" w:type="dxa"/>
              <w:bottom w:w="85" w:type="dxa"/>
              <w:start w:w="90" w:type="dxa"/>
              <w:end w:w="90" w:type="dxa"/>
            </w:tcMar>
            <w:vAlign w:val="top"/>
          </w:tcPr>
          <w:p>
            <w:pPr>
              <w:spacing w:after="30" w:line="247" w:lineRule="auto"/>
            </w:pPr>
            <w:r>
              <w:rPr>
                <w:b w:val="0"/>
                <w:sz w:val="18"/>
              </w:rPr>
              <w:t>SDP: Service Design and Architecture Decisions</w:t>
            </w:r>
          </w:p>
        </w:tc>
        <w:tc>
          <w:tcPr>
            <w:tcW w:type="dxa" w:w="4579"/>
            <w:tcMar>
              <w:top w:w="85" w:type="dxa"/>
              <w:bottom w:w="85" w:type="dxa"/>
              <w:start w:w="90" w:type="dxa"/>
              <w:end w:w="90" w:type="dxa"/>
            </w:tcMar>
            <w:vAlign w:val="top"/>
          </w:tcPr>
          <w:p>
            <w:pPr>
              <w:spacing w:after="30" w:line="247" w:lineRule="auto"/>
            </w:pPr>
            <w:r>
              <w:rPr>
                <w:b w:val="0"/>
                <w:sz w:val="18"/>
              </w:rPr>
              <w:t>Service offer, sharing alternatives, worked boundary decision, dependency/capacity/exit reasoning.</w:t>
            </w:r>
          </w:p>
        </w:tc>
        <w:tc>
          <w:tcPr>
            <w:tcW w:type="dxa" w:w="2318"/>
            <w:tcMar>
              <w:top w:w="85" w:type="dxa"/>
              <w:bottom w:w="85" w:type="dxa"/>
              <w:start w:w="90" w:type="dxa"/>
              <w:end w:w="90" w:type="dxa"/>
            </w:tcMar>
            <w:vAlign w:val="top"/>
          </w:tcPr>
          <w:p>
            <w:pPr>
              <w:spacing w:after="30" w:line="247" w:lineRule="auto"/>
            </w:pPr>
            <w:r>
              <w:rPr>
                <w:b w:val="0"/>
                <w:sz w:val="18"/>
              </w:rPr>
              <w:t>AK-01–AK-08</w:t>
            </w:r>
          </w:p>
        </w:tc>
      </w:tr>
      <w:tr>
        <w:trPr>
          <w:cantSplit/>
        </w:trPr>
        <w:tc>
          <w:tcPr>
            <w:tcW w:type="dxa" w:w="3384"/>
            <w:tcMar>
              <w:top w:w="85" w:type="dxa"/>
              <w:bottom w:w="85" w:type="dxa"/>
              <w:start w:w="90" w:type="dxa"/>
              <w:end w:w="90" w:type="dxa"/>
            </w:tcMar>
            <w:vAlign w:val="top"/>
            <w:shd w:fill="EEF5F7" w:val="clear"/>
          </w:tcPr>
          <w:p>
            <w:pPr>
              <w:spacing w:after="30" w:line="247" w:lineRule="auto"/>
            </w:pPr>
            <w:r>
              <w:rPr>
                <w:b w:val="0"/>
                <w:sz w:val="18"/>
              </w:rPr>
              <w:t>NBD: Network, Boundary and Shared-Service Detailed Engineering</w:t>
            </w:r>
          </w:p>
        </w:tc>
        <w:tc>
          <w:tcPr>
            <w:tcW w:type="dxa" w:w="4579"/>
            <w:tcMar>
              <w:top w:w="85" w:type="dxa"/>
              <w:bottom w:w="85" w:type="dxa"/>
              <w:start w:w="90" w:type="dxa"/>
              <w:end w:w="90" w:type="dxa"/>
            </w:tcMar>
            <w:vAlign w:val="top"/>
            <w:shd w:fill="EEF5F7" w:val="clear"/>
          </w:tcPr>
          <w:p>
            <w:pPr>
              <w:spacing w:after="30" w:line="247" w:lineRule="auto"/>
            </w:pPr>
            <w:r>
              <w:rPr>
                <w:b w:val="0"/>
                <w:sz w:val="18"/>
              </w:rPr>
              <w:t>Isolation-unit ownership, concrete routes, service return paths, family/MTU budgets and interface release.</w:t>
            </w:r>
          </w:p>
        </w:tc>
        <w:tc>
          <w:tcPr>
            <w:tcW w:type="dxa" w:w="2318"/>
            <w:tcMar>
              <w:top w:w="85" w:type="dxa"/>
              <w:bottom w:w="85" w:type="dxa"/>
              <w:start w:w="90" w:type="dxa"/>
              <w:end w:w="90" w:type="dxa"/>
            </w:tcMar>
            <w:vAlign w:val="top"/>
            <w:shd w:fill="EEF5F7" w:val="clear"/>
          </w:tcPr>
          <w:p>
            <w:pPr>
              <w:spacing w:after="30" w:line="247" w:lineRule="auto"/>
            </w:pPr>
            <w:r>
              <w:rPr>
                <w:b w:val="0"/>
                <w:sz w:val="18"/>
              </w:rPr>
              <w:t>EK-03, EK-05, EK-06, EK-09</w:t>
            </w:r>
          </w:p>
        </w:tc>
      </w:tr>
      <w:tr>
        <w:trPr>
          <w:cantSplit/>
        </w:trPr>
        <w:tc>
          <w:tcPr>
            <w:tcW w:type="dxa" w:w="3384"/>
            <w:tcMar>
              <w:top w:w="85" w:type="dxa"/>
              <w:bottom w:w="85" w:type="dxa"/>
              <w:start w:w="90" w:type="dxa"/>
              <w:end w:w="90" w:type="dxa"/>
            </w:tcMar>
            <w:vAlign w:val="top"/>
          </w:tcPr>
          <w:p>
            <w:pPr>
              <w:spacing w:after="30" w:line="247" w:lineRule="auto"/>
            </w:pPr>
            <w:r>
              <w:rPr>
                <w:b w:val="0"/>
                <w:sz w:val="18"/>
              </w:rPr>
              <w:t>PBS: Platform Engineering and Build Specifications</w:t>
            </w:r>
          </w:p>
        </w:tc>
        <w:tc>
          <w:tcPr>
            <w:tcW w:type="dxa" w:w="4579"/>
            <w:tcMar>
              <w:top w:w="85" w:type="dxa"/>
              <w:bottom w:w="85" w:type="dxa"/>
              <w:start w:w="90" w:type="dxa"/>
              <w:end w:w="90" w:type="dxa"/>
            </w:tcMar>
            <w:vAlign w:val="top"/>
          </w:tcPr>
          <w:p>
            <w:pPr>
              <w:spacing w:after="30" w:line="247" w:lineRule="auto"/>
            </w:pPr>
            <w:r>
              <w:rPr>
                <w:b w:val="0"/>
                <w:sz w:val="18"/>
              </w:rPr>
              <w:t>Foundation and tenant build specifications per stack, supported-operation ownership and shared handoffs.</w:t>
            </w:r>
          </w:p>
        </w:tc>
        <w:tc>
          <w:tcPr>
            <w:tcW w:type="dxa" w:w="2318"/>
            <w:tcMar>
              <w:top w:w="85" w:type="dxa"/>
              <w:bottom w:w="85" w:type="dxa"/>
              <w:start w:w="90" w:type="dxa"/>
              <w:end w:w="90" w:type="dxa"/>
            </w:tcMar>
            <w:vAlign w:val="top"/>
          </w:tcPr>
          <w:p>
            <w:pPr>
              <w:spacing w:after="30" w:line="247" w:lineRule="auto"/>
            </w:pPr>
            <w:r>
              <w:rPr>
                <w:b w:val="0"/>
                <w:sz w:val="18"/>
              </w:rPr>
              <w:t>EK-04, EK-07–EK-09; IK-03–IK-05</w:t>
            </w:r>
          </w:p>
        </w:tc>
      </w:tr>
      <w:tr>
        <w:trPr>
          <w:cantSplit/>
        </w:trPr>
        <w:tc>
          <w:tcPr>
            <w:tcW w:type="dxa" w:w="3384"/>
            <w:tcMar>
              <w:top w:w="85" w:type="dxa"/>
              <w:bottom w:w="85" w:type="dxa"/>
              <w:start w:w="90" w:type="dxa"/>
              <w:end w:w="90" w:type="dxa"/>
            </w:tcMar>
            <w:vAlign w:val="top"/>
            <w:shd w:fill="EEF5F7" w:val="clear"/>
          </w:tcPr>
          <w:p>
            <w:pPr>
              <w:spacing w:after="30" w:line="247" w:lineRule="auto"/>
            </w:pPr>
            <w:r>
              <w:rPr>
                <w:b w:val="0"/>
                <w:sz w:val="18"/>
              </w:rPr>
              <w:t>QCP: Qualification Campaign and Evidence Procedures</w:t>
            </w:r>
          </w:p>
        </w:tc>
        <w:tc>
          <w:tcPr>
            <w:tcW w:type="dxa" w:w="4579"/>
            <w:tcMar>
              <w:top w:w="85" w:type="dxa"/>
              <w:bottom w:w="85" w:type="dxa"/>
              <w:start w:w="90" w:type="dxa"/>
              <w:end w:w="90" w:type="dxa"/>
            </w:tcMar>
            <w:vAlign w:val="top"/>
            <w:shd w:fill="EEF5F7" w:val="clear"/>
          </w:tcPr>
          <w:p>
            <w:pPr>
              <w:spacing w:after="30" w:line="247" w:lineRule="auto"/>
            </w:pPr>
            <w:r>
              <w:rPr>
                <w:b w:val="0"/>
                <w:sz w:val="18"/>
              </w:rPr>
              <w:t>Fixture resources, twelve Q11 observation cards, evidence review and scoped qualification.</w:t>
            </w:r>
          </w:p>
        </w:tc>
        <w:tc>
          <w:tcPr>
            <w:tcW w:type="dxa" w:w="2318"/>
            <w:tcMar>
              <w:top w:w="85" w:type="dxa"/>
              <w:bottom w:w="85" w:type="dxa"/>
              <w:start w:w="90" w:type="dxa"/>
              <w:end w:w="90" w:type="dxa"/>
            </w:tcMar>
            <w:vAlign w:val="top"/>
            <w:shd w:fill="EEF5F7" w:val="clear"/>
          </w:tcPr>
          <w:p>
            <w:pPr>
              <w:spacing w:after="30" w:line="247" w:lineRule="auto"/>
            </w:pPr>
            <w:r>
              <w:rPr>
                <w:b w:val="0"/>
                <w:sz w:val="18"/>
              </w:rPr>
              <w:t>IK-06–IK-09</w:t>
            </w:r>
          </w:p>
        </w:tc>
      </w:tr>
      <w:tr>
        <w:trPr>
          <w:cantSplit/>
        </w:trPr>
        <w:tc>
          <w:tcPr>
            <w:tcW w:type="dxa" w:w="3384"/>
            <w:tcMar>
              <w:top w:w="85" w:type="dxa"/>
              <w:bottom w:w="85" w:type="dxa"/>
              <w:start w:w="90" w:type="dxa"/>
              <w:end w:w="90" w:type="dxa"/>
            </w:tcMar>
            <w:vAlign w:val="top"/>
          </w:tcPr>
          <w:p>
            <w:pPr>
              <w:spacing w:after="30" w:line="247" w:lineRule="auto"/>
            </w:pPr>
            <w:r>
              <w:rPr>
                <w:b w:val="0"/>
                <w:sz w:val="18"/>
              </w:rPr>
              <w:t>OPS: Operations, Recovery and Transition Playbook</w:t>
            </w:r>
          </w:p>
        </w:tc>
        <w:tc>
          <w:tcPr>
            <w:tcW w:type="dxa" w:w="4579"/>
            <w:tcMar>
              <w:top w:w="85" w:type="dxa"/>
              <w:bottom w:w="85" w:type="dxa"/>
              <w:start w:w="90" w:type="dxa"/>
              <w:end w:w="90" w:type="dxa"/>
            </w:tcMar>
            <w:vAlign w:val="top"/>
          </w:tcPr>
          <w:p>
            <w:pPr>
              <w:spacing w:after="30" w:line="247" w:lineRule="auto"/>
            </w:pPr>
            <w:r>
              <w:rPr>
                <w:b w:val="0"/>
                <w:sz w:val="18"/>
              </w:rPr>
              <w:t>Dependency loss, controlled maintenance, recovery timing, migration, retirement and acceptance.</w:t>
            </w:r>
          </w:p>
        </w:tc>
        <w:tc>
          <w:tcPr>
            <w:tcW w:type="dxa" w:w="2318"/>
            <w:tcMar>
              <w:top w:w="85" w:type="dxa"/>
              <w:bottom w:w="85" w:type="dxa"/>
              <w:start w:w="90" w:type="dxa"/>
              <w:end w:w="90" w:type="dxa"/>
            </w:tcMar>
            <w:vAlign w:val="top"/>
          </w:tcPr>
          <w:p>
            <w:pPr>
              <w:spacing w:after="30" w:line="247" w:lineRule="auto"/>
            </w:pPr>
            <w:r>
              <w:rPr>
                <w:b w:val="0"/>
                <w:sz w:val="18"/>
              </w:rPr>
              <w:t>AK-06; IK-07, IK-09, IK-10</w:t>
            </w:r>
          </w:p>
        </w:tc>
      </w:tr>
    </w:tbl>
    <w:p>
      <w:pPr>
        <w:spacing w:after="0" w:before="0" w:line="120"/>
      </w:pPr>
    </w:p>
    <w:p>
      <w:pPr>
        <w:pStyle w:val="Caption"/>
      </w:pPr>
      <w:r>
        <w:t xml:space="preserve">Continue with: </w:t>
      </w:r>
      <w:hyperlink r:id="rId16">
        <w:r>
          <w:rPr>
            <w:color w:val="0B6B70"/>
            <w:u w:val="single"/>
          </w:rPr>
          <w:t>SDP §1</w:t>
        </w:r>
      </w:hyperlink>
      <w:r>
        <w:t xml:space="preserve">  •  </w:t>
      </w:r>
      <w:hyperlink r:id="rId40">
        <w:r>
          <w:rPr>
            <w:color w:val="0B6B70"/>
            <w:u w:val="single"/>
          </w:rPr>
          <w:t>NBD §1</w:t>
        </w:r>
      </w:hyperlink>
      <w:r>
        <w:t xml:space="preserve">  •  </w:t>
      </w:r>
      <w:hyperlink r:id="rId17">
        <w:r>
          <w:rPr>
            <w:color w:val="0B6B70"/>
            <w:u w:val="single"/>
          </w:rPr>
          <w:t>PBS §1</w:t>
        </w:r>
      </w:hyperlink>
      <w:r>
        <w:t xml:space="preserve">  •  </w:t>
      </w:r>
      <w:hyperlink r:id="rId26">
        <w:r>
          <w:rPr>
            <w:color w:val="0B6B70"/>
            <w:u w:val="single"/>
          </w:rPr>
          <w:t>QCP §1</w:t>
        </w:r>
      </w:hyperlink>
      <w:r>
        <w:t xml:space="preserve">  •  </w:t>
      </w:r>
      <w:hyperlink r:id="rId41">
        <w:r>
          <w:rPr>
            <w:color w:val="0B6B70"/>
            <w:u w:val="single"/>
          </w:rPr>
          <w:t>OPS §1</w:t>
        </w:r>
      </w:hyperlink>
    </w:p>
    <w:p>
      <w:r>
        <w:t>Begin with the document matching the decision in front of you, then follow its parent and related-section links. Complete real project responses in the existing role templates or controlled records; copy only the necessary developed response blocks rather than duplicating the whole library for each decision.</w:t>
      </w:r>
    </w:p>
    <w:p>
      <w:r>
        <w:t>The new development register uses DD identifiers for documentation treatment and remaining implementation work. Q11 cards reference inherited CT procedures and do not renumber them. Example calculations are stored separately for transparent arithmetic checks.</w:t>
      </w:r>
    </w:p>
    <w:p>
      <w:pPr>
        <w:keepLines/>
        <w:spacing w:before="120"/>
        <w:shd w:fill="EEF5F7" w:val="clear"/>
        <w:pBdr>
          <w:left w:val="single" w:sz="12" w:space="8" w:color="0B6B70"/>
        </w:pBdr>
      </w:pPr>
      <w:r>
        <w:rPr>
          <w:b/>
        </w:rPr>
        <w:t>Extract the complete ZIP and retain the folder structure. Relative DOCX links identify the target document and section; external links require normal browser access.</w:t>
      </w:r>
    </w:p>
    <w:p>
      <w:r>
        <w:br w:type="page"/>
      </w:r>
    </w:p>
    <w:p>
      <w:pPr>
        <w:pStyle w:val="Heading1"/>
      </w:pPr>
      <w:r>
        <w:t>8. Understand release scope and residual work</w:t>
      </w:r>
      <w:bookmarkStart w:id="145" w:name="DEL_08"/>
      <w:bookmarkEnd w:id="145"/>
    </w:p>
    <w:p>
      <w:r>
        <w:t>Document development, implementation qualification and formal authorization remain separate completion layers.</w:t>
      </w:r>
    </w:p>
    <w:p>
      <w:pPr>
        <w:pStyle w:val="Caption"/>
      </w:pPr>
      <w:r>
        <w:t xml:space="preserve">Design basis and related records: </w:t>
      </w:r>
      <w:hyperlink r:id="rId29">
        <w:r>
          <w:rPr>
            <w:color w:val="0B6B70"/>
            <w:u w:val="single"/>
          </w:rPr>
          <w:t>RA §28</w:t>
        </w:r>
      </w:hyperlink>
      <w:r>
        <w:t xml:space="preserve">  •  </w:t>
      </w:r>
      <w:hyperlink r:id="rId42">
        <w:r>
          <w:rPr>
            <w:color w:val="0B6B70"/>
            <w:u w:val="single"/>
          </w:rPr>
          <w:t>QUAL §8</w:t>
        </w:r>
      </w:hyperlink>
    </w:p>
    <w:tbl>
      <w:tblPr>
        <w:tblW w:type="auto" w:w="0"/>
        <w:jc w:val="center"/>
        <w:tblLayout w:type="fixed"/>
        <w:tblLook w:firstColumn="1" w:firstRow="1" w:lastColumn="0" w:lastRow="0" w:noHBand="0" w:noVBand="1" w:val="04A0"/>
      </w:tblPr>
      <w:tblGrid>
        <w:gridCol w:w="2016"/>
        <w:gridCol w:w="4234"/>
        <w:gridCol w:w="4032"/>
      </w:tblGrid>
      <w:tr>
        <w:trPr>
          <w:tblHeader/>
        </w:trPr>
        <w:tc>
          <w:tcPr>
            <w:tcW w:type="dxa" w:w="2016"/>
            <w:tcMar>
              <w:top w:w="85" w:type="dxa"/>
              <w:bottom w:w="85" w:type="dxa"/>
              <w:start w:w="90" w:type="dxa"/>
              <w:end w:w="90" w:type="dxa"/>
            </w:tcMar>
            <w:vAlign w:val="top"/>
            <w:shd w:fill="15384A" w:val="clear"/>
          </w:tcPr>
          <w:p>
            <w:pPr>
              <w:spacing w:after="30" w:line="247" w:lineRule="auto"/>
            </w:pPr>
            <w:r>
              <w:rPr>
                <w:b/>
                <w:color w:val="FFFFFF"/>
                <w:sz w:val="18"/>
              </w:rPr>
              <w:t>Layer</w:t>
            </w:r>
          </w:p>
        </w:tc>
        <w:tc>
          <w:tcPr>
            <w:tcW w:type="dxa" w:w="4234"/>
            <w:tcMar>
              <w:top w:w="85" w:type="dxa"/>
              <w:bottom w:w="85" w:type="dxa"/>
              <w:start w:w="90" w:type="dxa"/>
              <w:end w:w="90" w:type="dxa"/>
            </w:tcMar>
            <w:vAlign w:val="top"/>
            <w:shd w:fill="15384A" w:val="clear"/>
          </w:tcPr>
          <w:p>
            <w:pPr>
              <w:spacing w:after="30" w:line="247" w:lineRule="auto"/>
            </w:pPr>
            <w:r>
              <w:rPr>
                <w:b/>
                <w:color w:val="FFFFFF"/>
                <w:sz w:val="18"/>
              </w:rPr>
              <w:t>Supplied in v1.1</w:t>
            </w:r>
          </w:p>
        </w:tc>
        <w:tc>
          <w:tcPr>
            <w:tcW w:type="dxa" w:w="4032"/>
            <w:tcMar>
              <w:top w:w="85" w:type="dxa"/>
              <w:bottom w:w="85" w:type="dxa"/>
              <w:start w:w="90" w:type="dxa"/>
              <w:end w:w="90" w:type="dxa"/>
            </w:tcMar>
            <w:vAlign w:val="top"/>
            <w:shd w:fill="15384A" w:val="clear"/>
          </w:tcPr>
          <w:p>
            <w:pPr>
              <w:spacing w:after="30" w:line="247" w:lineRule="auto"/>
            </w:pPr>
            <w:r>
              <w:rPr>
                <w:b/>
                <w:color w:val="FFFFFF"/>
                <w:sz w:val="18"/>
              </w:rPr>
              <w:t>Still requires actual implementation</w:t>
            </w:r>
          </w:p>
        </w:tc>
      </w:tr>
      <w:tr>
        <w:trPr>
          <w:cantSplit/>
        </w:trPr>
        <w:tc>
          <w:tcPr>
            <w:tcW w:type="dxa" w:w="2016"/>
            <w:tcMar>
              <w:top w:w="85" w:type="dxa"/>
              <w:bottom w:w="85" w:type="dxa"/>
              <w:start w:w="90" w:type="dxa"/>
              <w:end w:w="90" w:type="dxa"/>
            </w:tcMar>
            <w:vAlign w:val="top"/>
          </w:tcPr>
          <w:p>
            <w:pPr>
              <w:spacing w:after="30" w:line="247" w:lineRule="auto"/>
            </w:pPr>
            <w:r>
              <w:rPr>
                <w:b w:val="0"/>
                <w:sz w:val="18"/>
              </w:rPr>
              <w:t>Architecture</w:t>
            </w:r>
          </w:p>
        </w:tc>
        <w:tc>
          <w:tcPr>
            <w:tcW w:type="dxa" w:w="4234"/>
            <w:tcMar>
              <w:top w:w="85" w:type="dxa"/>
              <w:bottom w:w="85" w:type="dxa"/>
              <w:start w:w="90" w:type="dxa"/>
              <w:end w:w="90" w:type="dxa"/>
            </w:tcMar>
            <w:vAlign w:val="top"/>
          </w:tcPr>
          <w:p>
            <w:pPr>
              <w:spacing w:after="30" w:line="247" w:lineRule="auto"/>
            </w:pPr>
            <w:r>
              <w:rPr>
                <w:b w:val="0"/>
                <w:sz w:val="18"/>
              </w:rPr>
              <w:t>Developed decision methods and worked local alternatives linked to the frozen parent.</w:t>
            </w:r>
          </w:p>
        </w:tc>
        <w:tc>
          <w:tcPr>
            <w:tcW w:type="dxa" w:w="4032"/>
            <w:tcMar>
              <w:top w:w="85" w:type="dxa"/>
              <w:bottom w:w="85" w:type="dxa"/>
              <w:start w:w="90" w:type="dxa"/>
              <w:end w:w="90" w:type="dxa"/>
            </w:tcMar>
            <w:vAlign w:val="top"/>
          </w:tcPr>
          <w:p>
            <w:pPr>
              <w:spacing w:after="30" w:line="247" w:lineRule="auto"/>
            </w:pPr>
            <w:r>
              <w:rPr>
                <w:b w:val="0"/>
                <w:sz w:val="18"/>
              </w:rPr>
              <w:t>Adopted scope, actual authorities, approved sharing and selected controls.</w:t>
            </w:r>
          </w:p>
        </w:tc>
      </w:tr>
      <w:tr>
        <w:trPr>
          <w:cantSplit/>
        </w:trPr>
        <w:tc>
          <w:tcPr>
            <w:tcW w:type="dxa" w:w="2016"/>
            <w:tcMar>
              <w:top w:w="85" w:type="dxa"/>
              <w:bottom w:w="85" w:type="dxa"/>
              <w:start w:w="90" w:type="dxa"/>
              <w:end w:w="90" w:type="dxa"/>
            </w:tcMar>
            <w:vAlign w:val="top"/>
            <w:shd w:fill="EEF5F7" w:val="clear"/>
          </w:tcPr>
          <w:p>
            <w:pPr>
              <w:spacing w:after="30" w:line="247" w:lineRule="auto"/>
            </w:pPr>
            <w:r>
              <w:rPr>
                <w:b w:val="0"/>
                <w:sz w:val="18"/>
              </w:rPr>
              <w:t>Engineering</w:t>
            </w:r>
          </w:p>
        </w:tc>
        <w:tc>
          <w:tcPr>
            <w:tcW w:type="dxa" w:w="4234"/>
            <w:tcMar>
              <w:top w:w="85" w:type="dxa"/>
              <w:bottom w:w="85" w:type="dxa"/>
              <w:start w:w="90" w:type="dxa"/>
              <w:end w:w="90" w:type="dxa"/>
            </w:tcMar>
            <w:vAlign w:val="top"/>
            <w:shd w:fill="EEF5F7" w:val="clear"/>
          </w:tcPr>
          <w:p>
            <w:pPr>
              <w:spacing w:after="30" w:line="247" w:lineRule="auto"/>
            </w:pPr>
            <w:r>
              <w:rPr>
                <w:b w:val="0"/>
                <w:sz w:val="18"/>
              </w:rPr>
              <w:t>Detailed path reasoning, native build specifications, ownership and handoff records.</w:t>
            </w:r>
          </w:p>
        </w:tc>
        <w:tc>
          <w:tcPr>
            <w:tcW w:type="dxa" w:w="4032"/>
            <w:tcMar>
              <w:top w:w="85" w:type="dxa"/>
              <w:bottom w:w="85" w:type="dxa"/>
              <w:start w:w="90" w:type="dxa"/>
              <w:end w:w="90" w:type="dxa"/>
            </w:tcMar>
            <w:vAlign w:val="top"/>
            <w:shd w:fill="EEF5F7" w:val="clear"/>
          </w:tcPr>
          <w:p>
            <w:pPr>
              <w:spacing w:after="30" w:line="247" w:lineRule="auto"/>
            </w:pPr>
            <w:r>
              <w:rPr>
                <w:b w:val="0"/>
                <w:sz w:val="18"/>
              </w:rPr>
              <w:t>Site values, exact supported tuple, configuration artifacts and measured limits.</w:t>
            </w:r>
          </w:p>
        </w:tc>
      </w:tr>
      <w:tr>
        <w:trPr>
          <w:cantSplit/>
        </w:trPr>
        <w:tc>
          <w:tcPr>
            <w:tcW w:type="dxa" w:w="2016"/>
            <w:tcMar>
              <w:top w:w="85" w:type="dxa"/>
              <w:bottom w:w="85" w:type="dxa"/>
              <w:start w:w="90" w:type="dxa"/>
              <w:end w:w="90" w:type="dxa"/>
            </w:tcMar>
            <w:vAlign w:val="top"/>
          </w:tcPr>
          <w:p>
            <w:pPr>
              <w:spacing w:after="30" w:line="247" w:lineRule="auto"/>
            </w:pPr>
            <w:r>
              <w:rPr>
                <w:b w:val="0"/>
                <w:sz w:val="18"/>
              </w:rPr>
              <w:t>Implementation</w:t>
            </w:r>
          </w:p>
        </w:tc>
        <w:tc>
          <w:tcPr>
            <w:tcW w:type="dxa" w:w="4234"/>
            <w:tcMar>
              <w:top w:w="85" w:type="dxa"/>
              <w:bottom w:w="85" w:type="dxa"/>
              <w:start w:w="90" w:type="dxa"/>
              <w:end w:w="90" w:type="dxa"/>
            </w:tcMar>
            <w:vAlign w:val="top"/>
          </w:tcPr>
          <w:p>
            <w:pPr>
              <w:spacing w:after="30" w:line="247" w:lineRule="auto"/>
            </w:pPr>
            <w:r>
              <w:rPr>
                <w:b w:val="0"/>
                <w:sz w:val="18"/>
              </w:rPr>
              <w:t>Observation cards, evidence review, recovery/change procedures and acceptance records.</w:t>
            </w:r>
          </w:p>
        </w:tc>
        <w:tc>
          <w:tcPr>
            <w:tcW w:type="dxa" w:w="4032"/>
            <w:tcMar>
              <w:top w:w="85" w:type="dxa"/>
              <w:bottom w:w="85" w:type="dxa"/>
              <w:start w:w="90" w:type="dxa"/>
              <w:end w:w="90" w:type="dxa"/>
            </w:tcMar>
            <w:vAlign w:val="top"/>
          </w:tcPr>
          <w:p>
            <w:pPr>
              <w:spacing w:after="30" w:line="247" w:lineRule="auto"/>
            </w:pPr>
            <w:r>
              <w:rPr>
                <w:b w:val="0"/>
                <w:sz w:val="18"/>
              </w:rPr>
              <w:t>Authorized execution, actual outcomes, defects/retests, operational and security decisions.</w:t>
            </w:r>
          </w:p>
        </w:tc>
      </w:tr>
      <w:tr>
        <w:trPr>
          <w:cantSplit/>
        </w:trPr>
        <w:tc>
          <w:tcPr>
            <w:tcW w:type="dxa" w:w="2016"/>
            <w:tcMar>
              <w:top w:w="85" w:type="dxa"/>
              <w:bottom w:w="85" w:type="dxa"/>
              <w:start w:w="90" w:type="dxa"/>
              <w:end w:w="90" w:type="dxa"/>
            </w:tcMar>
            <w:vAlign w:val="top"/>
            <w:shd w:fill="EEF5F7" w:val="clear"/>
          </w:tcPr>
          <w:p>
            <w:pPr>
              <w:spacing w:after="30" w:line="247" w:lineRule="auto"/>
            </w:pPr>
            <w:r>
              <w:rPr>
                <w:b w:val="0"/>
                <w:sz w:val="18"/>
              </w:rPr>
              <w:t>Publishing</w:t>
            </w:r>
          </w:p>
        </w:tc>
        <w:tc>
          <w:tcPr>
            <w:tcW w:type="dxa" w:w="4234"/>
            <w:tcMar>
              <w:top w:w="85" w:type="dxa"/>
              <w:bottom w:w="85" w:type="dxa"/>
              <w:start w:w="90" w:type="dxa"/>
              <w:end w:w="90" w:type="dxa"/>
            </w:tcMar>
            <w:vAlign w:val="top"/>
            <w:shd w:fill="EEF5F7" w:val="clear"/>
          </w:tcPr>
          <w:p>
            <w:pPr>
              <w:spacing w:after="30" w:line="247" w:lineRule="auto"/>
            </w:pPr>
            <w:r>
              <w:rPr>
                <w:b w:val="0"/>
                <w:sz w:val="18"/>
              </w:rPr>
              <w:t>Current links, content/lineage checks and rendered review of new/modified documents.</w:t>
            </w:r>
          </w:p>
        </w:tc>
        <w:tc>
          <w:tcPr>
            <w:tcW w:type="dxa" w:w="4032"/>
            <w:tcMar>
              <w:top w:w="85" w:type="dxa"/>
              <w:bottom w:w="85" w:type="dxa"/>
              <w:start w:w="90" w:type="dxa"/>
              <w:end w:w="90" w:type="dxa"/>
            </w:tcMar>
            <w:vAlign w:val="top"/>
            <w:shd w:fill="EEF5F7" w:val="clear"/>
          </w:tcPr>
          <w:p>
            <w:pPr>
              <w:spacing w:after="30" w:line="247" w:lineRule="auto"/>
            </w:pPr>
            <w:r>
              <w:rPr>
                <w:b w:val="0"/>
                <w:sz w:val="18"/>
              </w:rPr>
              <w:t>Maintainers rerun these checks after their own edits; publishing checks do not prove deployed safety.</w:t>
            </w:r>
          </w:p>
        </w:tc>
      </w:tr>
    </w:tbl>
    <w:p>
      <w:pPr>
        <w:spacing w:after="0" w:before="0" w:line="120"/>
      </w:pPr>
    </w:p>
    <w:p>
      <w:r>
        <w:t>The original architecture and role material is retained with its provenance. The delivery map is updated; it does not silently supersede architectural requirements. No prior live test result is imported as a pass. The inherited CT procedures, realization addenda and W14 assertions retain their original reference status.</w:t>
      </w:r>
    </w:p>
    <w:p>
      <w:r>
        <w:t>Use 04_Shared/development for the new treatment map, campaign cards, source reviews and example calculations. Use 07_Quality/v1_1 for current validation; prior_v1_0 reports describe only the earlier release. The fresh source directory rebuilds the six new/modified Word documents without rewriting the frozen workbooks or architecture.</w:t>
      </w:r>
    </w:p>
    <w:p>
      <w:pPr>
        <w:keepLines/>
        <w:spacing w:before="120"/>
        <w:shd w:fill="EEF5F7" w:val="clear"/>
        <w:pBdr>
          <w:left w:val="single" w:sz="12" w:space="8" w:color="0B6B70"/>
        </w:pBdr>
      </w:pPr>
      <w:r>
        <w:rPr>
          <w:b/>
        </w:rPr>
        <w:t>Completed output: a linked document-development release. Not claimed: approved site engineering, executable cross-vendor provisioning, live infrastructure qualification, real recovery performance or authorization.</w:t>
      </w:r>
    </w:p>
    <w:sectPr w:rsidR="00FC693F" w:rsidRPr="0006063C" w:rsidSect="00034616">
      <w:headerReference w:type="default" r:id="rId9"/>
      <w:footerReference w:type="default" r:id="rId10"/>
      <w:pgSz w:w="12240" w:h="15840"/>
      <w:pgMar w:top="936" w:right="979" w:bottom="936"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v1.1  •  Reference architecture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3"/>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7"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7"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7"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5_Reference_v1_4/00_Reference_Architecture_v1_4.docx#RA_s_001" TargetMode="External"/><Relationship Id="rId12" Type="http://schemas.openxmlformats.org/officeDocument/2006/relationships/hyperlink" Target="05_Reference_v1_4/00_Reference_Architecture_v1_4.docx#RA_s_030" TargetMode="External"/><Relationship Id="rId13" Type="http://schemas.openxmlformats.org/officeDocument/2006/relationships/hyperlink" Target="01_Architecture/Architecture_Kit.docx#AK_01" TargetMode="External"/><Relationship Id="rId14" Type="http://schemas.openxmlformats.org/officeDocument/2006/relationships/hyperlink" Target="02_Engineering/Engineering_Kit.docx#EK_01" TargetMode="External"/><Relationship Id="rId15" Type="http://schemas.openxmlformats.org/officeDocument/2006/relationships/hyperlink" Target="03_Implementation/Implementation_Kit.docx#IK_01" TargetMode="External"/><Relationship Id="rId16" Type="http://schemas.openxmlformats.org/officeDocument/2006/relationships/hyperlink" Target="01_Architecture/Service_Design_and_Decision_Development.docx#SDP_01" TargetMode="External"/><Relationship Id="rId17" Type="http://schemas.openxmlformats.org/officeDocument/2006/relationships/hyperlink" Target="02_Engineering/Platform_Engineering_and_Build_Specifications.docx#PBS_01" TargetMode="External"/><Relationship Id="rId18" Type="http://schemas.openxmlformats.org/officeDocument/2006/relationships/hyperlink" Target="01_Architecture/Architecture_Kit.docx#AK_08" TargetMode="External"/><Relationship Id="rId19" Type="http://schemas.openxmlformats.org/officeDocument/2006/relationships/hyperlink" Target="02_Engineering/Engineering_Kit.docx#EK_08" TargetMode="External"/><Relationship Id="rId20" Type="http://schemas.openxmlformats.org/officeDocument/2006/relationships/hyperlink" Target="01_Architecture/Service_Design_and_Decision_Development.docx#SDP_06" TargetMode="External"/><Relationship Id="rId21" Type="http://schemas.openxmlformats.org/officeDocument/2006/relationships/hyperlink" Target="02_Engineering/Network_and_Boundary_Detailed_Engineering.docx#NBD_06" TargetMode="External"/><Relationship Id="rId22" Type="http://schemas.openxmlformats.org/officeDocument/2006/relationships/hyperlink" Target="02_Engineering/Platform_Engineering_and_Build_Specifications.docx#PBS_08" TargetMode="External"/><Relationship Id="rId23" Type="http://schemas.openxmlformats.org/officeDocument/2006/relationships/hyperlink" Target="02_Engineering/Platform_Engineering_and_Build_Specifications.docx#PBS_09" TargetMode="External"/><Relationship Id="rId24" Type="http://schemas.openxmlformats.org/officeDocument/2006/relationships/hyperlink" Target="05_Reference_v1_4/07_Worked_Infrastructure_Design_and_Acceptance_v1_4.docx#WD14_S09" TargetMode="External"/><Relationship Id="rId25" Type="http://schemas.openxmlformats.org/officeDocument/2006/relationships/hyperlink" Target="05_Reference_v1_4/06_Site_Design_Qualification_and_Operations_v1_4.docx#QUAL_s_005" TargetMode="External"/><Relationship Id="rId26" Type="http://schemas.openxmlformats.org/officeDocument/2006/relationships/hyperlink" Target="03_Implementation/Qualification_Campaign_and_Evidence_Procedures.docx#QCP_01" TargetMode="External"/><Relationship Id="rId27" Type="http://schemas.openxmlformats.org/officeDocument/2006/relationships/hyperlink" Target="03_Implementation/Qualification_Campaign_and_Evidence_Procedures.docx#QCP_08" TargetMode="External"/><Relationship Id="rId28" Type="http://schemas.openxmlformats.org/officeDocument/2006/relationships/hyperlink" Target="03_Implementation/Operations_Recovery_and_Transition_Playbook.docx#OPS_08" TargetMode="External"/><Relationship Id="rId29" Type="http://schemas.openxmlformats.org/officeDocument/2006/relationships/hyperlink" Target="05_Reference_v1_4/00_Reference_Architecture_v1_4.docx#RA_s_028" TargetMode="External"/><Relationship Id="rId30" Type="http://schemas.openxmlformats.org/officeDocument/2006/relationships/hyperlink" Target="05_Reference_v1_4/07_Worked_Infrastructure_Design_and_Acceptance_v1_4.docx#WD14_S13" TargetMode="External"/><Relationship Id="rId31" Type="http://schemas.openxmlformats.org/officeDocument/2006/relationships/hyperlink" Target="03_Implementation/MOP_Test_and_Handover_Template.docx#IT_04" TargetMode="External"/><Relationship Id="rId32" Type="http://schemas.openxmlformats.org/officeDocument/2006/relationships/hyperlink" Target="03_Implementation/Qualification_Campaign_and_Evidence_Procedures.docx#QCP_06" TargetMode="External"/><Relationship Id="rId33" Type="http://schemas.openxmlformats.org/officeDocument/2006/relationships/hyperlink" Target="01_Architecture/Architecture_Kit.docx#AK_07" TargetMode="External"/><Relationship Id="rId34" Type="http://schemas.openxmlformats.org/officeDocument/2006/relationships/hyperlink" Target="03_Implementation/Implementation_Kit.docx#IK_08" TargetMode="External"/><Relationship Id="rId35" Type="http://schemas.openxmlformats.org/officeDocument/2006/relationships/hyperlink" Target="01_Architecture/Service_Design_and_Decision_Development.docx#SDP_03" TargetMode="External"/><Relationship Id="rId36" Type="http://schemas.openxmlformats.org/officeDocument/2006/relationships/hyperlink" Target="03_Implementation/Operations_Recovery_and_Transition_Playbook.docx#OPS_03" TargetMode="External"/><Relationship Id="rId37" Type="http://schemas.openxmlformats.org/officeDocument/2006/relationships/hyperlink" Target="05_Reference_v1_4/01_Gap_Map_and_Decision_Register_v1_4.docx#GM_s_004" TargetMode="External"/><Relationship Id="rId38" Type="http://schemas.openxmlformats.org/officeDocument/2006/relationships/hyperlink" Target="05_Reference_v1_4/07_Worked_Infrastructure_Design_and_Acceptance_v1_4.docx#WD14_S14" TargetMode="External"/><Relationship Id="rId39" Type="http://schemas.openxmlformats.org/officeDocument/2006/relationships/hyperlink" Target="02_Engineering/LLD_and_Engineering_Review_Template.docx#ET_01" TargetMode="External"/><Relationship Id="rId40" Type="http://schemas.openxmlformats.org/officeDocument/2006/relationships/hyperlink" Target="02_Engineering/Network_and_Boundary_Detailed_Engineering.docx#NBD_01" TargetMode="External"/><Relationship Id="rId41" Type="http://schemas.openxmlformats.org/officeDocument/2006/relationships/hyperlink" Target="03_Implementation/Operations_Recovery_and_Transition_Playbook.docx#OPS_01" TargetMode="External"/><Relationship Id="rId42" Type="http://schemas.openxmlformats.org/officeDocument/2006/relationships/hyperlink" Target="05_Reference_v1_4/06_Site_Design_Qualification_and_Operations_v1_4.docx#QUAL_s_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Map and Acceptance Gates</dc:title>
  <dc:subject>Infrastructure architecture and delivery development</dc:subject>
  <dc:creator/>
  <cp:keywords/>
  <dc:description/>
  <cp:lastModifiedBy/>
  <cp:revision>1</cp:revision>
  <dcterms:created xsi:type="dcterms:W3CDTF">2013-12-23T23:15:00Z</dcterms:created>
  <dcterms:modified xsi:type="dcterms:W3CDTF">2013-12-23T23:15:00Z</dcterms:modified>
  <cp:category/>
  <cp:version>1.1</cp:version>
</cp:coreProperties>
</file>