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DELIVERY KIT  /  AK</w:t>
      </w:r>
    </w:p>
    <w:p>
      <w:pPr>
        <w:pStyle w:val="Title"/>
      </w:pPr>
      <w:r>
        <w:t>Architecture Kit — Design, Decisions and Approval</w:t>
      </w:r>
    </w:p>
    <w:p>
      <w:pPr>
        <w:pStyle w:val="Subtitle"/>
      </w:pPr>
      <w:r>
        <w:t>Build the decision baseline before selecting configuration values.</w:t>
      </w:r>
    </w:p>
    <w:p>
      <w:r>
        <w:t>Kit v1.0 • 16 September 2026 • Aligned to the frozen v1.4 reference architecture</w:t>
      </w:r>
    </w:p>
    <w:p>
      <w:pPr>
        <w:keepLines/>
        <w:spacing w:before="140" w:after="200"/>
        <w:shd w:fill="EEF5F7" w:val="clear"/>
        <w:pBdr>
          <w:left w:val="single" w:sz="12" w:space="8" w:color="0B6B70"/>
        </w:pBdr>
      </w:pPr>
      <w:r>
        <w:rPr>
          <w:b/>
        </w:rPr>
        <w:t>Working kit, not an approved site design or deployed platform. Templates, reference examples and live evidence are separate records.</w:t>
      </w:r>
    </w:p>
    <w:p>
      <w:r>
        <w:t>Use this guide with the HLD template and Architecture_Registers.xlsx. The guide defines the work; the template captures the resulting design; the workbook tracks ownership, applicability and unresolved decisions.</w:t>
      </w:r>
    </w:p>
    <w:p>
      <w:pPr>
        <w:pStyle w:val="Heading2"/>
      </w:pPr>
      <w:r>
        <w:t>Section links</w:t>
      </w:r>
    </w:p>
    <w:p>
      <w:pPr>
        <w:spacing w:after="60"/>
      </w:pPr>
      <w:r/>
      <w:hyperlink w:anchor="AK_01">
        <w:r>
          <w:rPr>
            <w:color w:val="0B6B70"/>
            <w:u w:val="single"/>
          </w:rPr>
          <w:t>1. Architecture work plan and definition of done</w:t>
        </w:r>
      </w:hyperlink>
    </w:p>
    <w:p>
      <w:pPr>
        <w:spacing w:after="60"/>
      </w:pPr>
      <w:r/>
      <w:hyperlink w:anchor="AK_02">
        <w:r>
          <w:rPr>
            <w:color w:val="0B6B70"/>
            <w:u w:val="single"/>
          </w:rPr>
          <w:t>2. Service requirements and applicability</w:t>
        </w:r>
      </w:hyperlink>
    </w:p>
    <w:p>
      <w:pPr>
        <w:spacing w:after="60"/>
      </w:pPr>
      <w:r/>
      <w:hyperlink w:anchor="AK_03">
        <w:r>
          <w:rPr>
            <w:color w:val="0B6B70"/>
            <w:u w:val="single"/>
          </w:rPr>
          <w:t>3. Required architecture views</w:t>
        </w:r>
      </w:hyperlink>
    </w:p>
    <w:p>
      <w:pPr>
        <w:spacing w:after="60"/>
      </w:pPr>
      <w:r/>
      <w:hyperlink w:anchor="AK_04">
        <w:r>
          <w:rPr>
            <w:color w:val="0B6B70"/>
            <w:u w:val="single"/>
          </w:rPr>
          <w:t>4. Security, management and co-residency decisions</w:t>
        </w:r>
      </w:hyperlink>
    </w:p>
    <w:p>
      <w:pPr>
        <w:spacing w:after="60"/>
      </w:pPr>
      <w:r/>
      <w:hyperlink w:anchor="AK_05">
        <w:r>
          <w:rPr>
            <w:color w:val="0B6B70"/>
            <w:u w:val="single"/>
          </w:rPr>
          <w:t>5. Service resilience, capacity and portability</w:t>
        </w:r>
      </w:hyperlink>
    </w:p>
    <w:p>
      <w:pPr>
        <w:spacing w:after="60"/>
      </w:pPr>
      <w:r/>
      <w:hyperlink w:anchor="AK_06">
        <w:r>
          <w:rPr>
            <w:color w:val="0B6B70"/>
            <w:u w:val="single"/>
          </w:rPr>
          <w:t>6. Vendor realization and provisioning strategy</w:t>
        </w:r>
      </w:hyperlink>
    </w:p>
    <w:p>
      <w:pPr>
        <w:spacing w:after="60"/>
      </w:pPr>
      <w:r/>
      <w:hyperlink w:anchor="AK_07">
        <w:r>
          <w:rPr>
            <w:color w:val="0B6B70"/>
            <w:u w:val="single"/>
          </w:rPr>
          <w:t>7. Decisions, risk and review</w:t>
        </w:r>
      </w:hyperlink>
    </w:p>
    <w:p>
      <w:pPr>
        <w:spacing w:after="60"/>
      </w:pPr>
      <w:r/>
      <w:hyperlink w:anchor="AK_08">
        <w:r>
          <w:rPr>
            <w:color w:val="0B6B70"/>
            <w:u w:val="single"/>
          </w:rPr>
          <w:t>8. Engineering handoff and change impact</w:t>
        </w:r>
      </w:hyperlink>
    </w:p>
    <w:p>
      <w:pPr>
        <w:pStyle w:val="Caption"/>
      </w:pPr>
      <w:r>
        <w:t>All additional process guidance is proposed kit practice. RA/WD references identify baseline-derived architecture; K references identify external mechanism checks. No site values or approval signatures are supplied.</w:t>
      </w:r>
    </w:p>
    <w:p>
      <w:r>
        <w:br w:type="page"/>
      </w:r>
    </w:p>
    <w:p>
      <w:pPr>
        <w:pStyle w:val="Heading1"/>
      </w:pPr>
      <w:r>
        <w:t>1. Architecture work plan and definition of done</w:t>
      </w:r>
      <w:bookmarkStart w:id="1006" w:name="AK_01"/>
      <w:bookmarkEnd w:id="1006"/>
    </w:p>
    <w:p>
      <w:r>
        <w:t>The architect owns the coherence of the whole hosting service, not a Terraform repository or a custom application. The design must explain what exists, how it connects, which parties control it and what happens during change or failure.</w:t>
      </w:r>
    </w:p>
    <w:p>
      <w:pPr>
        <w:pStyle w:val="Caption"/>
      </w:pPr>
      <w:r>
        <w:t xml:space="preserve">Baseline and related records: </w:t>
      </w:r>
      <w:hyperlink r:id="rId11">
        <w:r>
          <w:rPr>
            <w:color w:val="0B6B70"/>
            <w:u w:val="single"/>
          </w:rPr>
          <w:t>RA §1</w:t>
        </w:r>
      </w:hyperlink>
      <w:r>
        <w:t xml:space="preserve">  •  </w:t>
      </w:r>
      <w:hyperlink r:id="rId12">
        <w:r>
          <w:rPr>
            <w:color w:val="0B6B70"/>
            <w:u w:val="single"/>
          </w:rPr>
          <w:t>RA §3</w:t>
        </w:r>
      </w:hyperlink>
      <w:r>
        <w:t xml:space="preserve">  •  </w:t>
      </w:r>
      <w:hyperlink r:id="rId13">
        <w:r>
          <w:rPr>
            <w:color w:val="0B6B70"/>
            <w:u w:val="single"/>
          </w:rPr>
          <w:t>AT §1</w:t>
        </w:r>
      </w:hyperlink>
    </w:p>
    <w:tbl>
      <w:tblPr>
        <w:tblW w:type="auto" w:w="0"/>
        <w:jc w:val="center"/>
        <w:tblLayout w:type="fixed"/>
        <w:tblLook w:firstColumn="1" w:firstRow="1" w:lastColumn="0" w:lastRow="0" w:noHBand="0" w:noVBand="1" w:val="04A0"/>
      </w:tblPr>
      <w:tblGrid>
        <w:gridCol w:w="2160"/>
        <w:gridCol w:w="4032"/>
        <w:gridCol w:w="4090"/>
      </w:tblGrid>
      <w:tr>
        <w:trPr>
          <w:tblHeader/>
        </w:trPr>
        <w:tc>
          <w:tcPr>
            <w:tcW w:type="dxa" w:w="2160"/>
            <w:shd w:fill="15384A" w:val="clear"/>
            <w:tcMar>
              <w:top w:w="70" w:type="dxa"/>
              <w:start w:w="90" w:type="dxa"/>
              <w:bottom w:w="70" w:type="dxa"/>
              <w:end w:w="90" w:type="dxa"/>
            </w:tcMar>
          </w:tcPr>
          <w:p>
            <w:r>
              <w:rPr>
                <w:b/>
                <w:color w:val="FFFFFF"/>
                <w:sz w:val="18"/>
              </w:rPr>
              <w:t>Work</w:t>
            </w:r>
          </w:p>
        </w:tc>
        <w:tc>
          <w:tcPr>
            <w:tcW w:type="dxa" w:w="4032"/>
            <w:shd w:fill="15384A" w:val="clear"/>
            <w:tcMar>
              <w:top w:w="70" w:type="dxa"/>
              <w:start w:w="90" w:type="dxa"/>
              <w:bottom w:w="70" w:type="dxa"/>
              <w:end w:w="90" w:type="dxa"/>
            </w:tcMar>
          </w:tcPr>
          <w:p>
            <w:r>
              <w:rPr>
                <w:b/>
                <w:color w:val="FFFFFF"/>
                <w:sz w:val="18"/>
              </w:rPr>
              <w:t>Input</w:t>
            </w:r>
          </w:p>
        </w:tc>
        <w:tc>
          <w:tcPr>
            <w:tcW w:type="dxa" w:w="4090"/>
            <w:shd w:fill="15384A" w:val="clear"/>
            <w:tcMar>
              <w:top w:w="70" w:type="dxa"/>
              <w:start w:w="90" w:type="dxa"/>
              <w:bottom w:w="70" w:type="dxa"/>
              <w:end w:w="90" w:type="dxa"/>
            </w:tcMar>
          </w:tcPr>
          <w:p>
            <w:r>
              <w:rPr>
                <w:b/>
                <w:color w:val="FFFFFF"/>
                <w:sz w:val="18"/>
              </w:rPr>
              <w:t>Output / review</w:t>
            </w:r>
          </w:p>
        </w:tc>
      </w:tr>
      <w:tr>
        <w:trPr>
          <w:cantSplit/>
        </w:trPr>
        <w:tc>
          <w:tcPr>
            <w:tcW w:type="dxa" w:w="2160"/>
            <w:tcMar>
              <w:top w:w="70" w:type="dxa"/>
              <w:start w:w="90" w:type="dxa"/>
              <w:bottom w:w="70" w:type="dxa"/>
              <w:end w:w="90" w:type="dxa"/>
            </w:tcMar>
            <w:vAlign w:val="top"/>
          </w:tcPr>
          <w:p>
            <w:pPr>
              <w:spacing w:after="40" w:line="245" w:lineRule="auto"/>
            </w:pPr>
            <w:r>
              <w:rPr>
                <w:sz w:val="18"/>
              </w:rPr>
              <w:t>Frame the service</w:t>
            </w:r>
          </w:p>
        </w:tc>
        <w:tc>
          <w:tcPr>
            <w:tcW w:type="dxa" w:w="4032"/>
            <w:tcMar>
              <w:top w:w="70" w:type="dxa"/>
              <w:start w:w="90" w:type="dxa"/>
              <w:bottom w:w="70" w:type="dxa"/>
              <w:end w:w="90" w:type="dxa"/>
            </w:tcMar>
            <w:vAlign w:val="top"/>
          </w:tcPr>
          <w:p>
            <w:pPr>
              <w:spacing w:after="40" w:line="245" w:lineRule="auto"/>
            </w:pPr>
            <w:r>
              <w:rPr>
                <w:sz w:val="18"/>
              </w:rPr>
              <w:t>Demand, beneficiaries, information envelope, current estate and constraints.</w:t>
            </w:r>
          </w:p>
        </w:tc>
        <w:tc>
          <w:tcPr>
            <w:tcW w:type="dxa" w:w="4090"/>
            <w:tcMar>
              <w:top w:w="70" w:type="dxa"/>
              <w:start w:w="90" w:type="dxa"/>
              <w:bottom w:w="70" w:type="dxa"/>
              <w:end w:w="90" w:type="dxa"/>
            </w:tcMar>
            <w:vAlign w:val="top"/>
          </w:tcPr>
          <w:p>
            <w:pPr>
              <w:spacing w:after="40" w:line="245" w:lineRule="auto"/>
            </w:pPr>
            <w:r>
              <w:rPr>
                <w:sz w:val="18"/>
              </w:rPr>
              <w:t>AK-01 with explicit exclusions and stakeholders.</w:t>
            </w:r>
          </w:p>
        </w:tc>
      </w:tr>
      <w:tr>
        <w:trPr>
          <w:cantSplit/>
        </w:trPr>
        <w:tc>
          <w:tcPr>
            <w:tcW w:type="dxa" w:w="2160"/>
            <w:tcMar>
              <w:top w:w="70" w:type="dxa"/>
              <w:start w:w="90" w:type="dxa"/>
              <w:bottom w:w="70" w:type="dxa"/>
              <w:end w:w="90" w:type="dxa"/>
            </w:tcMar>
            <w:vAlign w:val="top"/>
            <w:shd w:fill="F4F7F9" w:val="clear"/>
          </w:tcPr>
          <w:p>
            <w:pPr>
              <w:spacing w:after="40" w:line="245" w:lineRule="auto"/>
            </w:pPr>
            <w:r>
              <w:rPr>
                <w:sz w:val="18"/>
              </w:rPr>
              <w:t>Select obligations</w:t>
            </w:r>
          </w:p>
        </w:tc>
        <w:tc>
          <w:tcPr>
            <w:tcW w:type="dxa" w:w="4032"/>
            <w:tcMar>
              <w:top w:w="70" w:type="dxa"/>
              <w:start w:w="90" w:type="dxa"/>
              <w:bottom w:w="70" w:type="dxa"/>
              <w:end w:w="90" w:type="dxa"/>
            </w:tcMar>
            <w:vAlign w:val="top"/>
            <w:shd w:fill="F4F7F9" w:val="clear"/>
          </w:tcPr>
          <w:p>
            <w:pPr>
              <w:spacing w:after="40" w:line="245" w:lineRule="auto"/>
            </w:pPr>
            <w:r>
              <w:rPr>
                <w:sz w:val="18"/>
              </w:rPr>
              <w:t>Reference requirements, applicable source editions, service targets and inherited controls.</w:t>
            </w:r>
          </w:p>
        </w:tc>
        <w:tc>
          <w:tcPr>
            <w:tcW w:type="dxa" w:w="4090"/>
            <w:tcMar>
              <w:top w:w="70" w:type="dxa"/>
              <w:start w:w="90" w:type="dxa"/>
              <w:bottom w:w="70" w:type="dxa"/>
              <w:end w:w="90" w:type="dxa"/>
            </w:tcMar>
            <w:vAlign w:val="top"/>
            <w:shd w:fill="F4F7F9" w:val="clear"/>
          </w:tcPr>
          <w:p>
            <w:pPr>
              <w:spacing w:after="40" w:line="245" w:lineRule="auto"/>
            </w:pPr>
            <w:r>
              <w:rPr>
                <w:sz w:val="18"/>
              </w:rPr>
              <w:t>AK-02 with owner, applicability and verification.</w:t>
            </w:r>
          </w:p>
        </w:tc>
      </w:tr>
      <w:tr>
        <w:trPr>
          <w:cantSplit/>
        </w:trPr>
        <w:tc>
          <w:tcPr>
            <w:tcW w:type="dxa" w:w="2160"/>
            <w:tcMar>
              <w:top w:w="70" w:type="dxa"/>
              <w:start w:w="90" w:type="dxa"/>
              <w:bottom w:w="70" w:type="dxa"/>
              <w:end w:w="90" w:type="dxa"/>
            </w:tcMar>
            <w:vAlign w:val="top"/>
          </w:tcPr>
          <w:p>
            <w:pPr>
              <w:spacing w:after="40" w:line="245" w:lineRule="auto"/>
            </w:pPr>
            <w:r>
              <w:rPr>
                <w:sz w:val="18"/>
              </w:rPr>
              <w:t>Develop linked views</w:t>
            </w:r>
          </w:p>
        </w:tc>
        <w:tc>
          <w:tcPr>
            <w:tcW w:type="dxa" w:w="4032"/>
            <w:tcMar>
              <w:top w:w="70" w:type="dxa"/>
              <w:start w:w="90" w:type="dxa"/>
              <w:bottom w:w="70" w:type="dxa"/>
              <w:end w:w="90" w:type="dxa"/>
            </w:tcMar>
            <w:vAlign w:val="top"/>
          </w:tcPr>
          <w:p>
            <w:pPr>
              <w:spacing w:after="40" w:line="245" w:lineRule="auto"/>
            </w:pPr>
            <w:r>
              <w:rPr>
                <w:sz w:val="18"/>
              </w:rPr>
              <w:t>Physical/logical components, boundaries, resources, flows and dependencies.</w:t>
            </w:r>
          </w:p>
        </w:tc>
        <w:tc>
          <w:tcPr>
            <w:tcW w:type="dxa" w:w="4090"/>
            <w:tcMar>
              <w:top w:w="70" w:type="dxa"/>
              <w:start w:w="90" w:type="dxa"/>
              <w:bottom w:w="70" w:type="dxa"/>
              <w:end w:w="90" w:type="dxa"/>
            </w:tcMar>
            <w:vAlign w:val="top"/>
          </w:tcPr>
          <w:p>
            <w:pPr>
              <w:spacing w:after="40" w:line="245" w:lineRule="auto"/>
            </w:pPr>
            <w:r>
              <w:rPr>
                <w:sz w:val="18"/>
              </w:rPr>
              <w:t>AK-03 with IDs that persist into engineering.</w:t>
            </w:r>
          </w:p>
        </w:tc>
      </w:tr>
      <w:tr>
        <w:trPr>
          <w:cantSplit/>
        </w:trPr>
        <w:tc>
          <w:tcPr>
            <w:tcW w:type="dxa" w:w="2160"/>
            <w:tcMar>
              <w:top w:w="70" w:type="dxa"/>
              <w:start w:w="90" w:type="dxa"/>
              <w:bottom w:w="70" w:type="dxa"/>
              <w:end w:w="90" w:type="dxa"/>
            </w:tcMar>
            <w:vAlign w:val="top"/>
            <w:shd w:fill="F4F7F9" w:val="clear"/>
          </w:tcPr>
          <w:p>
            <w:pPr>
              <w:spacing w:after="40" w:line="245" w:lineRule="auto"/>
            </w:pPr>
            <w:r>
              <w:rPr>
                <w:sz w:val="18"/>
              </w:rPr>
              <w:t>Resolve decisions</w:t>
            </w:r>
          </w:p>
        </w:tc>
        <w:tc>
          <w:tcPr>
            <w:tcW w:type="dxa" w:w="4032"/>
            <w:tcMar>
              <w:top w:w="70" w:type="dxa"/>
              <w:start w:w="90" w:type="dxa"/>
              <w:bottom w:w="70" w:type="dxa"/>
              <w:end w:w="90" w:type="dxa"/>
            </w:tcMar>
            <w:vAlign w:val="top"/>
            <w:shd w:fill="F4F7F9" w:val="clear"/>
          </w:tcPr>
          <w:p>
            <w:pPr>
              <w:spacing w:after="40" w:line="245" w:lineRule="auto"/>
            </w:pPr>
            <w:r>
              <w:rPr>
                <w:sz w:val="18"/>
              </w:rPr>
              <w:t>Viable options, security/resilience consequences, costs and exit effects.</w:t>
            </w:r>
          </w:p>
        </w:tc>
        <w:tc>
          <w:tcPr>
            <w:tcW w:type="dxa" w:w="4090"/>
            <w:tcMar>
              <w:top w:w="70" w:type="dxa"/>
              <w:start w:w="90" w:type="dxa"/>
              <w:bottom w:w="70" w:type="dxa"/>
              <w:end w:w="90" w:type="dxa"/>
            </w:tcMar>
            <w:vAlign w:val="top"/>
            <w:shd w:fill="F4F7F9" w:val="clear"/>
          </w:tcPr>
          <w:p>
            <w:pPr>
              <w:spacing w:after="40" w:line="245" w:lineRule="auto"/>
            </w:pPr>
            <w:r>
              <w:rPr>
                <w:sz w:val="18"/>
              </w:rPr>
              <w:t>AK-04–07; proposed versus actually adopted choices distinguished.</w:t>
            </w:r>
          </w:p>
        </w:tc>
      </w:tr>
      <w:tr>
        <w:trPr>
          <w:cantSplit/>
        </w:trPr>
        <w:tc>
          <w:tcPr>
            <w:tcW w:type="dxa" w:w="2160"/>
            <w:tcMar>
              <w:top w:w="70" w:type="dxa"/>
              <w:start w:w="90" w:type="dxa"/>
              <w:bottom w:w="70" w:type="dxa"/>
              <w:end w:w="90" w:type="dxa"/>
            </w:tcMar>
            <w:vAlign w:val="top"/>
          </w:tcPr>
          <w:p>
            <w:pPr>
              <w:spacing w:after="40" w:line="245" w:lineRule="auto"/>
            </w:pPr>
            <w:r>
              <w:rPr>
                <w:sz w:val="18"/>
              </w:rPr>
              <w:t>Review and release</w:t>
            </w:r>
          </w:p>
        </w:tc>
        <w:tc>
          <w:tcPr>
            <w:tcW w:type="dxa" w:w="4032"/>
            <w:tcMar>
              <w:top w:w="70" w:type="dxa"/>
              <w:start w:w="90" w:type="dxa"/>
              <w:bottom w:w="70" w:type="dxa"/>
              <w:end w:w="90" w:type="dxa"/>
            </w:tcMar>
            <w:vAlign w:val="top"/>
          </w:tcPr>
          <w:p>
            <w:pPr>
              <w:spacing w:after="40" w:line="245" w:lineRule="auto"/>
            </w:pPr>
            <w:r>
              <w:rPr>
                <w:sz w:val="18"/>
              </w:rPr>
              <w:t>Cross-discipline walkthrough, unresolved risks and necessary authority.</w:t>
            </w:r>
          </w:p>
        </w:tc>
        <w:tc>
          <w:tcPr>
            <w:tcW w:type="dxa" w:w="4090"/>
            <w:tcMar>
              <w:top w:w="70" w:type="dxa"/>
              <w:start w:w="90" w:type="dxa"/>
              <w:bottom w:w="70" w:type="dxa"/>
              <w:end w:w="90" w:type="dxa"/>
            </w:tcMar>
            <w:vAlign w:val="top"/>
          </w:tcPr>
          <w:p>
            <w:pPr>
              <w:spacing w:after="40" w:line="245" w:lineRule="auto"/>
            </w:pPr>
            <w:r>
              <w:rPr>
                <w:sz w:val="18"/>
              </w:rPr>
              <w:t>AK-08; accepted handoff or specific blocking gaps.</w:t>
            </w:r>
          </w:p>
        </w:tc>
      </w:tr>
    </w:tbl>
    <w:p>
      <w:pPr>
        <w:spacing w:after="0"/>
      </w:pPr>
      <w:r/>
    </w:p>
    <w:p>
      <w:pPr>
        <w:pStyle w:val="Heading2"/>
      </w:pPr>
      <w:r>
        <w:t>Definition of done</w:t>
      </w:r>
    </w:p>
    <w:p>
      <w:r>
        <w:t>A reviewer can trace an allowed flow and its reply, explain why an alternative path is blocked, locate the management and storage boundaries, understand the sharing decision, and identify the exact engineering records still required. Unknown site values are assigned—not hidden as product defaults.</w:t>
      </w:r>
    </w:p>
    <w:p>
      <w:pPr>
        <w:keepLines/>
        <w:spacing w:before="140" w:after="200"/>
        <w:shd w:fill="EEF5F7" w:val="clear"/>
        <w:pBdr>
          <w:left w:val="single" w:sz="12" w:space="8" w:color="0B6B70"/>
        </w:pBdr>
      </w:pPr>
      <w:r>
        <w:rPr>
          <w:b/>
        </w:rPr>
        <w:t>Do not accept a drawing that is only a list of products. Do not call a collection of API object definitions the infrastructure architecture.</w:t>
      </w:r>
    </w:p>
    <w:p>
      <w:r>
        <w:br w:type="page"/>
      </w:r>
    </w:p>
    <w:p>
      <w:pPr>
        <w:pStyle w:val="Heading1"/>
      </w:pPr>
      <w:r>
        <w:t>2. Service requirements and applicability</w:t>
      </w:r>
      <w:bookmarkStart w:id="1007" w:name="AK_02"/>
      <w:bookmarkEnd w:id="1007"/>
    </w:p>
    <w:p>
      <w:r>
        <w:t>Start with the required service and information context, then select topology and capability. Keep security categorization separate from uptime, recovery objectives and performance.</w:t>
      </w:r>
    </w:p>
    <w:p>
      <w:pPr>
        <w:pStyle w:val="Caption"/>
      </w:pPr>
      <w:r>
        <w:t xml:space="preserve">Baseline and related records: </w:t>
      </w:r>
      <w:hyperlink r:id="rId14">
        <w:r>
          <w:rPr>
            <w:color w:val="0B6B70"/>
            <w:u w:val="single"/>
          </w:rPr>
          <w:t>RA §2</w:t>
        </w:r>
      </w:hyperlink>
      <w:r>
        <w:t xml:space="preserve">  •  </w:t>
      </w:r>
      <w:hyperlink r:id="rId15">
        <w:r>
          <w:rPr>
            <w:color w:val="0B6B70"/>
            <w:u w:val="single"/>
          </w:rPr>
          <w:t>RA §14</w:t>
        </w:r>
      </w:hyperlink>
      <w:r>
        <w:t xml:space="preserve">  •  </w:t>
      </w:r>
      <w:hyperlink r:id="rId16">
        <w:r>
          <w:rPr>
            <w:color w:val="0B6B70"/>
            <w:u w:val="single"/>
          </w:rPr>
          <w:t>AT §2</w:t>
        </w:r>
      </w:hyperlink>
    </w:p>
    <w:tbl>
      <w:tblPr>
        <w:tblW w:type="auto" w:w="0"/>
        <w:jc w:val="center"/>
        <w:tblLayout w:type="fixed"/>
        <w:tblLook w:firstColumn="1" w:firstRow="1" w:lastColumn="0" w:lastRow="0" w:noHBand="0" w:noVBand="1" w:val="04A0"/>
      </w:tblPr>
      <w:tblGrid>
        <w:gridCol w:w="2376"/>
        <w:gridCol w:w="7906"/>
      </w:tblGrid>
      <w:tr>
        <w:trPr>
          <w:tblHeader/>
        </w:trPr>
        <w:tc>
          <w:tcPr>
            <w:tcW w:type="dxa" w:w="2376"/>
            <w:shd w:fill="15384A" w:val="clear"/>
            <w:tcMar>
              <w:top w:w="70" w:type="dxa"/>
              <w:start w:w="90" w:type="dxa"/>
              <w:bottom w:w="70" w:type="dxa"/>
              <w:end w:w="90" w:type="dxa"/>
            </w:tcMar>
          </w:tcPr>
          <w:p>
            <w:r>
              <w:rPr>
                <w:b/>
                <w:color w:val="FFFFFF"/>
                <w:sz w:val="18"/>
              </w:rPr>
              <w:t>Requirement group</w:t>
            </w:r>
          </w:p>
        </w:tc>
        <w:tc>
          <w:tcPr>
            <w:tcW w:type="dxa" w:w="7906"/>
            <w:shd w:fill="15384A" w:val="clear"/>
            <w:tcMar>
              <w:top w:w="70" w:type="dxa"/>
              <w:start w:w="90" w:type="dxa"/>
              <w:bottom w:w="70" w:type="dxa"/>
              <w:end w:w="90" w:type="dxa"/>
            </w:tcMar>
          </w:tcPr>
          <w:p>
            <w:r>
              <w:rPr>
                <w:b/>
                <w:color w:val="FFFFFF"/>
                <w:sz w:val="18"/>
              </w:rPr>
              <w:t>Decisions to record</w:t>
            </w:r>
          </w:p>
        </w:tc>
      </w:tr>
      <w:tr>
        <w:trPr>
          <w:cantSplit/>
        </w:trPr>
        <w:tc>
          <w:tcPr>
            <w:tcW w:type="dxa" w:w="2376"/>
            <w:tcMar>
              <w:top w:w="70" w:type="dxa"/>
              <w:start w:w="90" w:type="dxa"/>
              <w:bottom w:w="70" w:type="dxa"/>
              <w:end w:w="90" w:type="dxa"/>
            </w:tcMar>
            <w:vAlign w:val="top"/>
          </w:tcPr>
          <w:p>
            <w:pPr>
              <w:spacing w:after="40" w:line="245" w:lineRule="auto"/>
            </w:pPr>
            <w:r>
              <w:rPr>
                <w:sz w:val="18"/>
              </w:rPr>
              <w:t>Service and ownership</w:t>
            </w:r>
          </w:p>
        </w:tc>
        <w:tc>
          <w:tcPr>
            <w:tcW w:type="dxa" w:w="7906"/>
            <w:tcMar>
              <w:top w:w="70" w:type="dxa"/>
              <w:start w:w="90" w:type="dxa"/>
              <w:bottom w:w="70" w:type="dxa"/>
              <w:end w:w="90" w:type="dxa"/>
            </w:tcMar>
            <w:vAlign w:val="top"/>
          </w:tcPr>
          <w:p>
            <w:pPr>
              <w:spacing w:after="40" w:line="245" w:lineRule="auto"/>
            </w:pPr>
            <w:r>
              <w:rPr>
                <w:sz w:val="18"/>
              </w:rPr>
              <w:t>Service/data/security owners, tenants, workloads, operating support model and excluded responsibilities.</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Security and placement</w:t>
            </w:r>
          </w:p>
        </w:tc>
        <w:tc>
          <w:tcPr>
            <w:tcW w:type="dxa" w:w="7906"/>
            <w:tcMar>
              <w:top w:w="70" w:type="dxa"/>
              <w:start w:w="90" w:type="dxa"/>
              <w:bottom w:w="70" w:type="dxa"/>
              <w:end w:w="90" w:type="dxa"/>
            </w:tcMar>
            <w:vAlign w:val="top"/>
            <w:shd w:fill="F4F7F9" w:val="clear"/>
          </w:tcPr>
          <w:p>
            <w:pPr>
              <w:spacing w:after="40" w:line="245" w:lineRule="auto"/>
            </w:pPr>
            <w:r>
              <w:rPr>
                <w:sz w:val="18"/>
              </w:rPr>
              <w:t>Independent confidentiality, integrity and availability impact; zone authority; allowed sharing; location/access and key custody.</w:t>
            </w:r>
          </w:p>
        </w:tc>
      </w:tr>
      <w:tr>
        <w:trPr>
          <w:cantSplit/>
        </w:trPr>
        <w:tc>
          <w:tcPr>
            <w:tcW w:type="dxa" w:w="2376"/>
            <w:tcMar>
              <w:top w:w="70" w:type="dxa"/>
              <w:start w:w="90" w:type="dxa"/>
              <w:bottom w:w="70" w:type="dxa"/>
              <w:end w:w="90" w:type="dxa"/>
            </w:tcMar>
            <w:vAlign w:val="top"/>
          </w:tcPr>
          <w:p>
            <w:pPr>
              <w:spacing w:after="40" w:line="245" w:lineRule="auto"/>
            </w:pPr>
            <w:r>
              <w:rPr>
                <w:sz w:val="18"/>
              </w:rPr>
              <w:t>Resource and connectivity</w:t>
            </w:r>
          </w:p>
        </w:tc>
        <w:tc>
          <w:tcPr>
            <w:tcW w:type="dxa" w:w="7906"/>
            <w:tcMar>
              <w:top w:w="70" w:type="dxa"/>
              <w:start w:w="90" w:type="dxa"/>
              <w:bottom w:w="70" w:type="dxa"/>
              <w:end w:w="90" w:type="dxa"/>
            </w:tcMar>
            <w:vAlign w:val="top"/>
          </w:tcPr>
          <w:p>
            <w:pPr>
              <w:spacing w:after="40" w:line="245" w:lineRule="auto"/>
            </w:pPr>
            <w:r>
              <w:rPr>
                <w:sz w:val="18"/>
              </w:rPr>
              <w:t>Compute profiles, block/file/object needs, identity dependencies, allowed flows, external services and exposure.</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Reliability</w:t>
            </w:r>
          </w:p>
        </w:tc>
        <w:tc>
          <w:tcPr>
            <w:tcW w:type="dxa" w:w="7906"/>
            <w:tcMar>
              <w:top w:w="70" w:type="dxa"/>
              <w:start w:w="90" w:type="dxa"/>
              <w:bottom w:w="70" w:type="dxa"/>
              <w:end w:w="90" w:type="dxa"/>
            </w:tcMar>
            <w:vAlign w:val="top"/>
            <w:shd w:fill="F4F7F9" w:val="clear"/>
          </w:tcPr>
          <w:p>
            <w:pPr>
              <w:spacing w:after="40" w:line="245" w:lineRule="auto"/>
            </w:pPr>
            <w:r>
              <w:rPr>
                <w:sz w:val="18"/>
              </w:rPr>
              <w:t>Measurement endpoint/window, interruption treatment, failure set, RTO/RPO scope, consistency and restoration acceptance.</w:t>
            </w:r>
          </w:p>
        </w:tc>
      </w:tr>
      <w:tr>
        <w:trPr>
          <w:cantSplit/>
        </w:trPr>
        <w:tc>
          <w:tcPr>
            <w:tcW w:type="dxa" w:w="2376"/>
            <w:tcMar>
              <w:top w:w="70" w:type="dxa"/>
              <w:start w:w="90" w:type="dxa"/>
              <w:bottom w:w="70" w:type="dxa"/>
              <w:end w:w="90" w:type="dxa"/>
            </w:tcMar>
            <w:vAlign w:val="top"/>
          </w:tcPr>
          <w:p>
            <w:pPr>
              <w:spacing w:after="40" w:line="245" w:lineRule="auto"/>
            </w:pPr>
            <w:r>
              <w:rPr>
                <w:sz w:val="18"/>
              </w:rPr>
              <w:t>Lifecycle</w:t>
            </w:r>
          </w:p>
        </w:tc>
        <w:tc>
          <w:tcPr>
            <w:tcW w:type="dxa" w:w="7906"/>
            <w:tcMar>
              <w:top w:w="70" w:type="dxa"/>
              <w:start w:w="90" w:type="dxa"/>
              <w:bottom w:w="70" w:type="dxa"/>
              <w:end w:w="90" w:type="dxa"/>
            </w:tcMar>
            <w:vAlign w:val="top"/>
          </w:tcPr>
          <w:p>
            <w:pPr>
              <w:spacing w:after="40" w:line="245" w:lineRule="auto"/>
            </w:pPr>
            <w:r>
              <w:rPr>
                <w:sz w:val="18"/>
              </w:rPr>
              <w:t>Growth, maintenance, migration/exit, support horizon, retention, disposal and operating ownership.</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Evidence and applicability</w:t>
            </w:r>
          </w:p>
        </w:tc>
        <w:tc>
          <w:tcPr>
            <w:tcW w:type="dxa" w:w="7906"/>
            <w:tcMar>
              <w:top w:w="70" w:type="dxa"/>
              <w:start w:w="90" w:type="dxa"/>
              <w:bottom w:w="70" w:type="dxa"/>
              <w:end w:w="90" w:type="dxa"/>
            </w:tcMar>
            <w:vAlign w:val="top"/>
            <w:shd w:fill="F4F7F9" w:val="clear"/>
          </w:tcPr>
          <w:p>
            <w:pPr>
              <w:spacing w:after="40" w:line="245" w:lineRule="auto"/>
            </w:pPr>
            <w:r>
              <w:rPr>
                <w:sz w:val="18"/>
              </w:rPr>
              <w:t>Each selected requirement maps to its design home, control owner, verification method and exception policy.</w:t>
            </w:r>
          </w:p>
        </w:tc>
      </w:tr>
    </w:tbl>
    <w:p>
      <w:pPr>
        <w:spacing w:after="0"/>
      </w:pPr>
      <w:r/>
    </w:p>
    <w:p>
      <w:r>
        <w:t>The workbook preserves all 194 inherited requirement statements as reference text. It does not automatically adopt them for a new project. For each row choose applicable, not applicable with rationale, or unresolved; retain the exact source identifier and edition when assigning selected controls.</w:t>
      </w:r>
    </w:p>
    <w:p>
      <w:r>
        <w:t>The current ITSP.10.033 introduction explicitly supersedes ITSG-33 Annex 3A. Keep any legacy assessment linkage version-aware; do not infer that matching control numbers establish equivalence. [K02]</w:t>
      </w:r>
    </w:p>
    <w:p>
      <w:pPr>
        <w:pStyle w:val="Caption"/>
      </w:pPr>
      <w:r>
        <w:t xml:space="preserve">External mechanism context: </w:t>
      </w:r>
      <w:hyperlink r:id="rId17">
        <w:r>
          <w:rPr>
            <w:color w:val="0B6B70"/>
            <w:u w:val="single"/>
          </w:rPr>
          <w:t>K02 — ITSP.10.033 foreword, overview and introduction</w:t>
        </w:r>
      </w:hyperlink>
    </w:p>
    <w:p>
      <w:pPr>
        <w:keepLines/>
        <w:spacing w:before="140" w:after="200"/>
        <w:shd w:fill="EEF5F7" w:val="clear"/>
        <w:pBdr>
          <w:left w:val="single" w:sz="12" w:space="8" w:color="0B6B70"/>
        </w:pBdr>
      </w:pPr>
      <w:r>
        <w:rPr>
          <w:b/>
        </w:rPr>
        <w:t>Acceptance test: no offered service depends on a mandatory requirement whose owner, applicability or implementation boundary is still unknown.</w:t>
      </w:r>
    </w:p>
    <w:p>
      <w:r>
        <w:br w:type="page"/>
      </w:r>
    </w:p>
    <w:p>
      <w:pPr>
        <w:pStyle w:val="Heading1"/>
      </w:pPr>
      <w:r>
        <w:t>3. Required architecture views</w:t>
      </w:r>
      <w:bookmarkStart w:id="1008" w:name="AK_03"/>
      <w:bookmarkEnd w:id="1008"/>
    </w:p>
    <w:p>
      <w:r>
        <w:t>Create views that answer distinct questions but share component and interface IDs. Combine diagrams where useful; completeness is coverage, not a required count of separate drawings.</w:t>
      </w:r>
    </w:p>
    <w:p>
      <w:pPr>
        <w:pStyle w:val="Caption"/>
      </w:pPr>
      <w:r>
        <w:t xml:space="preserve">Baseline and related records: </w:t>
      </w:r>
      <w:hyperlink r:id="rId12">
        <w:r>
          <w:rPr>
            <w:color w:val="0B6B70"/>
            <w:u w:val="single"/>
          </w:rPr>
          <w:t>RA §3</w:t>
        </w:r>
      </w:hyperlink>
      <w:r>
        <w:t xml:space="preserve">  •  </w:t>
      </w:r>
      <w:hyperlink r:id="rId18">
        <w:r>
          <w:rPr>
            <w:color w:val="0B6B70"/>
            <w:u w:val="single"/>
          </w:rPr>
          <w:t>RA §10</w:t>
        </w:r>
      </w:hyperlink>
      <w:r>
        <w:t xml:space="preserve">  •  </w:t>
      </w:r>
      <w:hyperlink r:id="rId19">
        <w:r>
          <w:rPr>
            <w:color w:val="0B6B70"/>
            <w:u w:val="single"/>
          </w:rPr>
          <w:t>AT §3</w:t>
        </w:r>
      </w:hyperlink>
    </w:p>
    <w:tbl>
      <w:tblPr>
        <w:tblW w:type="auto" w:w="0"/>
        <w:jc w:val="center"/>
        <w:tblLayout w:type="fixed"/>
        <w:tblLook w:firstColumn="1" w:firstRow="1" w:lastColumn="0" w:lastRow="0" w:noHBand="0" w:noVBand="1" w:val="04A0"/>
      </w:tblPr>
      <w:tblGrid>
        <w:gridCol w:w="2664"/>
        <w:gridCol w:w="7618"/>
      </w:tblGrid>
      <w:tr>
        <w:trPr>
          <w:tblHeader/>
        </w:trPr>
        <w:tc>
          <w:tcPr>
            <w:tcW w:type="dxa" w:w="2664"/>
            <w:shd w:fill="15384A" w:val="clear"/>
            <w:tcMar>
              <w:top w:w="70" w:type="dxa"/>
              <w:start w:w="90" w:type="dxa"/>
              <w:bottom w:w="70" w:type="dxa"/>
              <w:end w:w="90" w:type="dxa"/>
            </w:tcMar>
          </w:tcPr>
          <w:p>
            <w:r>
              <w:rPr>
                <w:b/>
                <w:color w:val="FFFFFF"/>
                <w:sz w:val="18"/>
              </w:rPr>
              <w:t>View</w:t>
            </w:r>
          </w:p>
        </w:tc>
        <w:tc>
          <w:tcPr>
            <w:tcW w:type="dxa" w:w="7618"/>
            <w:shd w:fill="15384A" w:val="clear"/>
            <w:tcMar>
              <w:top w:w="70" w:type="dxa"/>
              <w:start w:w="90" w:type="dxa"/>
              <w:bottom w:w="70" w:type="dxa"/>
              <w:end w:w="90" w:type="dxa"/>
            </w:tcMar>
          </w:tcPr>
          <w:p>
            <w:r>
              <w:rPr>
                <w:b/>
                <w:color w:val="FFFFFF"/>
                <w:sz w:val="18"/>
              </w:rPr>
              <w:t>Question / minimum contents</w:t>
            </w:r>
          </w:p>
        </w:tc>
      </w:tr>
      <w:tr>
        <w:trPr>
          <w:cantSplit/>
        </w:trPr>
        <w:tc>
          <w:tcPr>
            <w:tcW w:type="dxa" w:w="2664"/>
            <w:tcMar>
              <w:top w:w="70" w:type="dxa"/>
              <w:start w:w="90" w:type="dxa"/>
              <w:bottom w:w="70" w:type="dxa"/>
              <w:end w:w="90" w:type="dxa"/>
            </w:tcMar>
            <w:vAlign w:val="top"/>
          </w:tcPr>
          <w:p>
            <w:pPr>
              <w:spacing w:after="40" w:line="245" w:lineRule="auto"/>
            </w:pPr>
            <w:r>
              <w:rPr>
                <w:sz w:val="18"/>
              </w:rPr>
              <w:t>V01 Context and service boundary</w:t>
            </w:r>
          </w:p>
        </w:tc>
        <w:tc>
          <w:tcPr>
            <w:tcW w:type="dxa" w:w="7618"/>
            <w:tcMar>
              <w:top w:w="70" w:type="dxa"/>
              <w:start w:w="90" w:type="dxa"/>
              <w:bottom w:w="70" w:type="dxa"/>
              <w:end w:w="90" w:type="dxa"/>
            </w:tcMar>
            <w:vAlign w:val="top"/>
          </w:tcPr>
          <w:p>
            <w:pPr>
              <w:spacing w:after="40" w:line="245" w:lineRule="auto"/>
            </w:pPr>
            <w:r>
              <w:rPr>
                <w:sz w:val="18"/>
              </w:rPr>
              <w:t>What service is offered and who owns each external dependency? Sites, tenants, provider services, consumers, external authorities.</w:t>
            </w:r>
          </w:p>
        </w:tc>
      </w:tr>
      <w:tr>
        <w:trPr>
          <w:cantSplit/>
        </w:trPr>
        <w:tc>
          <w:tcPr>
            <w:tcW w:type="dxa" w:w="2664"/>
            <w:tcMar>
              <w:top w:w="70" w:type="dxa"/>
              <w:start w:w="90" w:type="dxa"/>
              <w:bottom w:w="70" w:type="dxa"/>
              <w:end w:w="90" w:type="dxa"/>
            </w:tcMar>
            <w:vAlign w:val="top"/>
            <w:shd w:fill="F4F7F9" w:val="clear"/>
          </w:tcPr>
          <w:p>
            <w:pPr>
              <w:spacing w:after="40" w:line="245" w:lineRule="auto"/>
            </w:pPr>
            <w:r>
              <w:rPr>
                <w:sz w:val="18"/>
              </w:rPr>
              <w:t>V02 Physical deployment</w:t>
            </w:r>
          </w:p>
        </w:tc>
        <w:tc>
          <w:tcPr>
            <w:tcW w:type="dxa" w:w="7618"/>
            <w:tcMar>
              <w:top w:w="70" w:type="dxa"/>
              <w:start w:w="90" w:type="dxa"/>
              <w:bottom w:w="70" w:type="dxa"/>
              <w:end w:w="90" w:type="dxa"/>
            </w:tcMar>
            <w:vAlign w:val="top"/>
            <w:shd w:fill="F4F7F9" w:val="clear"/>
          </w:tcPr>
          <w:p>
            <w:pPr>
              <w:spacing w:after="40" w:line="245" w:lineRule="auto"/>
            </w:pPr>
            <w:r>
              <w:rPr>
                <w:sz w:val="18"/>
              </w:rPr>
              <w:t>Where are the equipment, links, power and shared failure dependencies? Sites/racks, cells, OOB, host pools, storage, edges, control components.</w:t>
            </w:r>
          </w:p>
        </w:tc>
      </w:tr>
      <w:tr>
        <w:trPr>
          <w:cantSplit/>
        </w:trPr>
        <w:tc>
          <w:tcPr>
            <w:tcW w:type="dxa" w:w="2664"/>
            <w:tcMar>
              <w:top w:w="70" w:type="dxa"/>
              <w:start w:w="90" w:type="dxa"/>
              <w:bottom w:w="70" w:type="dxa"/>
              <w:end w:w="90" w:type="dxa"/>
            </w:tcMar>
            <w:vAlign w:val="top"/>
          </w:tcPr>
          <w:p>
            <w:pPr>
              <w:spacing w:after="40" w:line="245" w:lineRule="auto"/>
            </w:pPr>
            <w:r>
              <w:rPr>
                <w:sz w:val="18"/>
              </w:rPr>
              <w:t>V03 Logical tenancy and security</w:t>
            </w:r>
          </w:p>
        </w:tc>
        <w:tc>
          <w:tcPr>
            <w:tcW w:type="dxa" w:w="7618"/>
            <w:tcMar>
              <w:top w:w="70" w:type="dxa"/>
              <w:start w:w="90" w:type="dxa"/>
              <w:bottom w:w="70" w:type="dxa"/>
              <w:end w:w="90" w:type="dxa"/>
            </w:tcMar>
            <w:vAlign w:val="top"/>
          </w:tcPr>
          <w:p>
            <w:pPr>
              <w:spacing w:after="40" w:line="245" w:lineRule="auto"/>
            </w:pPr>
            <w:r>
              <w:rPr>
                <w:sz w:val="18"/>
              </w:rPr>
              <w:t>Which independent authorities and zones exist? Tenant/WSD/domain/instance/network, owner, sharing and trust transitions.</w:t>
            </w:r>
          </w:p>
        </w:tc>
      </w:tr>
      <w:tr>
        <w:trPr>
          <w:cantSplit/>
        </w:trPr>
        <w:tc>
          <w:tcPr>
            <w:tcW w:type="dxa" w:w="2664"/>
            <w:tcMar>
              <w:top w:w="70" w:type="dxa"/>
              <w:start w:w="90" w:type="dxa"/>
              <w:bottom w:w="70" w:type="dxa"/>
              <w:end w:w="90" w:type="dxa"/>
            </w:tcMar>
            <w:vAlign w:val="top"/>
            <w:shd w:fill="F4F7F9" w:val="clear"/>
          </w:tcPr>
          <w:p>
            <w:pPr>
              <w:spacing w:after="40" w:line="245" w:lineRule="auto"/>
            </w:pPr>
            <w:r>
              <w:rPr>
                <w:sz w:val="18"/>
              </w:rPr>
              <w:t>V04 End-to-end forwarding and enforcement</w:t>
            </w:r>
          </w:p>
        </w:tc>
        <w:tc>
          <w:tcPr>
            <w:tcW w:type="dxa" w:w="7618"/>
            <w:tcMar>
              <w:top w:w="70" w:type="dxa"/>
              <w:start w:w="90" w:type="dxa"/>
              <w:bottom w:w="70" w:type="dxa"/>
              <w:end w:w="90" w:type="dxa"/>
            </w:tcMar>
            <w:vAlign w:val="top"/>
            <w:shd w:fill="F4F7F9" w:val="clear"/>
          </w:tcPr>
          <w:p>
            <w:pPr>
              <w:spacing w:after="40" w:line="245" w:lineRule="auto"/>
            </w:pPr>
            <w:r>
              <w:rPr>
                <w:sz w:val="18"/>
              </w:rPr>
              <w:t>Where do request and reply travel and where are they enforced? Gateways, ZIPs, allowed prefixes, routes, NAT, policy and native bypass candidates.</w:t>
            </w:r>
          </w:p>
        </w:tc>
      </w:tr>
      <w:tr>
        <w:trPr>
          <w:cantSplit/>
        </w:trPr>
        <w:tc>
          <w:tcPr>
            <w:tcW w:type="dxa" w:w="2664"/>
            <w:tcMar>
              <w:top w:w="70" w:type="dxa"/>
              <w:start w:w="90" w:type="dxa"/>
              <w:bottom w:w="70" w:type="dxa"/>
              <w:end w:w="90" w:type="dxa"/>
            </w:tcMar>
            <w:vAlign w:val="top"/>
          </w:tcPr>
          <w:p>
            <w:pPr>
              <w:spacing w:after="40" w:line="245" w:lineRule="auto"/>
            </w:pPr>
            <w:r>
              <w:rPr>
                <w:sz w:val="18"/>
              </w:rPr>
              <w:t>V05 Management and administrative authority</w:t>
            </w:r>
          </w:p>
        </w:tc>
        <w:tc>
          <w:tcPr>
            <w:tcW w:type="dxa" w:w="7618"/>
            <w:tcMar>
              <w:top w:w="70" w:type="dxa"/>
              <w:start w:w="90" w:type="dxa"/>
              <w:bottom w:w="70" w:type="dxa"/>
              <w:end w:w="90" w:type="dxa"/>
            </w:tcMar>
            <w:vAlign w:val="top"/>
          </w:tcPr>
          <w:p>
            <w:pPr>
              <w:spacing w:after="40" w:line="245" w:lineRule="auto"/>
            </w:pPr>
            <w:r>
              <w:rPr>
                <w:sz w:val="18"/>
              </w:rPr>
              <w:t>Who can change each component and by which protected path? Privileged endpoint, management domain, roles, API/BMC, break-glass and logging.</w:t>
            </w:r>
          </w:p>
        </w:tc>
      </w:tr>
      <w:tr>
        <w:trPr>
          <w:cantSplit/>
        </w:trPr>
        <w:tc>
          <w:tcPr>
            <w:tcW w:type="dxa" w:w="2664"/>
            <w:tcMar>
              <w:top w:w="70" w:type="dxa"/>
              <w:start w:w="90" w:type="dxa"/>
              <w:bottom w:w="70" w:type="dxa"/>
              <w:end w:w="90" w:type="dxa"/>
            </w:tcMar>
            <w:vAlign w:val="top"/>
            <w:shd w:fill="F4F7F9" w:val="clear"/>
          </w:tcPr>
          <w:p>
            <w:pPr>
              <w:spacing w:after="40" w:line="245" w:lineRule="auto"/>
            </w:pPr>
            <w:r>
              <w:rPr>
                <w:sz w:val="18"/>
              </w:rPr>
              <w:t>V06 Compute and storage</w:t>
            </w:r>
          </w:p>
        </w:tc>
        <w:tc>
          <w:tcPr>
            <w:tcW w:type="dxa" w:w="7618"/>
            <w:tcMar>
              <w:top w:w="70" w:type="dxa"/>
              <w:start w:w="90" w:type="dxa"/>
              <w:bottom w:w="70" w:type="dxa"/>
              <w:end w:w="90" w:type="dxa"/>
            </w:tcMar>
            <w:vAlign w:val="top"/>
            <w:shd w:fill="F4F7F9" w:val="clear"/>
          </w:tcPr>
          <w:p>
            <w:pPr>
              <w:spacing w:after="40" w:line="245" w:lineRule="auto"/>
            </w:pPr>
            <w:r>
              <w:rPr>
                <w:sz w:val="18"/>
              </w:rPr>
              <w:t>Which resources and copies share hardware/control and how is placement enforced? Pools, schedulers, virtual disks, file/object clients, copies, keys and protection.</w:t>
            </w:r>
          </w:p>
        </w:tc>
      </w:tr>
      <w:tr>
        <w:trPr>
          <w:cantSplit/>
        </w:trPr>
        <w:tc>
          <w:tcPr>
            <w:tcW w:type="dxa" w:w="2664"/>
            <w:tcMar>
              <w:top w:w="70" w:type="dxa"/>
              <w:start w:w="90" w:type="dxa"/>
              <w:bottom w:w="70" w:type="dxa"/>
              <w:end w:w="90" w:type="dxa"/>
            </w:tcMar>
            <w:vAlign w:val="top"/>
          </w:tcPr>
          <w:p>
            <w:pPr>
              <w:spacing w:after="40" w:line="245" w:lineRule="auto"/>
            </w:pPr>
            <w:r>
              <w:rPr>
                <w:sz w:val="18"/>
              </w:rPr>
              <w:t>V07 Shared-service consumption</w:t>
            </w:r>
          </w:p>
        </w:tc>
        <w:tc>
          <w:tcPr>
            <w:tcW w:type="dxa" w:w="7618"/>
            <w:tcMar>
              <w:top w:w="70" w:type="dxa"/>
              <w:start w:w="90" w:type="dxa"/>
              <w:bottom w:w="70" w:type="dxa"/>
              <w:end w:w="90" w:type="dxa"/>
            </w:tcMar>
            <w:vAlign w:val="top"/>
          </w:tcPr>
          <w:p>
            <w:pPr>
              <w:spacing w:after="40" w:line="245" w:lineRule="auto"/>
            </w:pPr>
            <w:r>
              <w:rPr>
                <w:sz w:val="18"/>
              </w:rPr>
              <w:t>What is the consumer allowed to do and how does the service reply? Service endpoint, client identity, return routes, backend authorization and admin plane.</w:t>
            </w:r>
          </w:p>
        </w:tc>
      </w:tr>
      <w:tr>
        <w:trPr>
          <w:cantSplit/>
        </w:trPr>
        <w:tc>
          <w:tcPr>
            <w:tcW w:type="dxa" w:w="2664"/>
            <w:tcMar>
              <w:top w:w="70" w:type="dxa"/>
              <w:start w:w="90" w:type="dxa"/>
              <w:bottom w:w="70" w:type="dxa"/>
              <w:end w:w="90" w:type="dxa"/>
            </w:tcMar>
            <w:vAlign w:val="top"/>
            <w:shd w:fill="F4F7F9" w:val="clear"/>
          </w:tcPr>
          <w:p>
            <w:pPr>
              <w:spacing w:after="40" w:line="245" w:lineRule="auto"/>
            </w:pPr>
            <w:r>
              <w:rPr>
                <w:sz w:val="18"/>
              </w:rPr>
              <w:t>V08 Failure and recovery</w:t>
            </w:r>
          </w:p>
        </w:tc>
        <w:tc>
          <w:tcPr>
            <w:tcW w:type="dxa" w:w="7618"/>
            <w:tcMar>
              <w:top w:w="70" w:type="dxa"/>
              <w:start w:w="90" w:type="dxa"/>
              <w:bottom w:w="70" w:type="dxa"/>
              <w:end w:w="90" w:type="dxa"/>
            </w:tcMar>
            <w:vAlign w:val="top"/>
            <w:shd w:fill="F4F7F9" w:val="clear"/>
          </w:tcPr>
          <w:p>
            <w:pPr>
              <w:spacing w:after="40" w:line="245" w:lineRule="auto"/>
            </w:pPr>
            <w:r>
              <w:rPr>
                <w:sz w:val="18"/>
              </w:rPr>
              <w:t>Which failures are covered and which dependencies must survive? Failure sets, quorum/fencing, independent trust, restored service scope and failback.</w:t>
            </w:r>
          </w:p>
        </w:tc>
      </w:tr>
      <w:tr>
        <w:trPr>
          <w:cantSplit/>
        </w:trPr>
        <w:tc>
          <w:tcPr>
            <w:tcW w:type="dxa" w:w="2664"/>
            <w:tcMar>
              <w:top w:w="70" w:type="dxa"/>
              <w:start w:w="90" w:type="dxa"/>
              <w:bottom w:w="70" w:type="dxa"/>
              <w:end w:w="90" w:type="dxa"/>
            </w:tcMar>
            <w:vAlign w:val="top"/>
          </w:tcPr>
          <w:p>
            <w:pPr>
              <w:spacing w:after="40" w:line="245" w:lineRule="auto"/>
            </w:pPr>
            <w:r>
              <w:rPr>
                <w:sz w:val="18"/>
              </w:rPr>
              <w:t>V09 Vendor realization</w:t>
            </w:r>
          </w:p>
        </w:tc>
        <w:tc>
          <w:tcPr>
            <w:tcW w:type="dxa" w:w="7618"/>
            <w:tcMar>
              <w:top w:w="70" w:type="dxa"/>
              <w:start w:w="90" w:type="dxa"/>
              <w:bottom w:w="70" w:type="dxa"/>
              <w:end w:w="90" w:type="dxa"/>
            </w:tcMar>
            <w:vAlign w:val="top"/>
          </w:tcPr>
          <w:p>
            <w:pPr>
              <w:spacing w:after="40" w:line="245" w:lineRule="auto"/>
            </w:pPr>
            <w:r>
              <w:rPr>
                <w:sz w:val="18"/>
              </w:rPr>
              <w:t>Which native components realize the same requirements on each selected stack? Actual tuple, mechanisms, enforcement locations, support limits and alternatives.</w:t>
            </w:r>
          </w:p>
        </w:tc>
      </w:tr>
      <w:tr>
        <w:trPr>
          <w:cantSplit/>
        </w:trPr>
        <w:tc>
          <w:tcPr>
            <w:tcW w:type="dxa" w:w="2664"/>
            <w:tcMar>
              <w:top w:w="70" w:type="dxa"/>
              <w:start w:w="90" w:type="dxa"/>
              <w:bottom w:w="70" w:type="dxa"/>
              <w:end w:w="90" w:type="dxa"/>
            </w:tcMar>
            <w:vAlign w:val="top"/>
            <w:shd w:fill="F4F7F9" w:val="clear"/>
          </w:tcPr>
          <w:p>
            <w:pPr>
              <w:spacing w:after="40" w:line="245" w:lineRule="auto"/>
            </w:pPr>
            <w:r>
              <w:rPr>
                <w:sz w:val="18"/>
              </w:rPr>
              <w:t>V10 Provisioning and lifecycle</w:t>
            </w:r>
          </w:p>
        </w:tc>
        <w:tc>
          <w:tcPr>
            <w:tcW w:type="dxa" w:w="7618"/>
            <w:tcMar>
              <w:top w:w="70" w:type="dxa"/>
              <w:start w:w="90" w:type="dxa"/>
              <w:bottom w:w="70" w:type="dxa"/>
              <w:end w:w="90" w:type="dxa"/>
            </w:tcMar>
            <w:vAlign w:val="top"/>
            <w:shd w:fill="F4F7F9" w:val="clear"/>
          </w:tcPr>
          <w:p>
            <w:pPr>
              <w:spacing w:after="40" w:line="245" w:lineRule="auto"/>
            </w:pPr>
            <w:r>
              <w:rPr>
                <w:sz w:val="18"/>
              </w:rPr>
              <w:t>What is installed, allocated, changed and retired by each owner? P0–P6 resources, prerequisites, single-writer ownership, handoffs and safe stops.</w:t>
            </w:r>
          </w:p>
        </w:tc>
      </w:tr>
      <w:tr>
        <w:trPr>
          <w:cantSplit/>
        </w:trPr>
        <w:tc>
          <w:tcPr>
            <w:tcW w:type="dxa" w:w="2664"/>
            <w:tcMar>
              <w:top w:w="70" w:type="dxa"/>
              <w:start w:w="90" w:type="dxa"/>
              <w:bottom w:w="70" w:type="dxa"/>
              <w:end w:w="90" w:type="dxa"/>
            </w:tcMar>
            <w:vAlign w:val="top"/>
          </w:tcPr>
          <w:p>
            <w:pPr>
              <w:spacing w:after="40" w:line="245" w:lineRule="auto"/>
            </w:pPr>
            <w:r>
              <w:rPr>
                <w:sz w:val="18"/>
              </w:rPr>
              <w:t>V11 Transition and operational model</w:t>
            </w:r>
          </w:p>
        </w:tc>
        <w:tc>
          <w:tcPr>
            <w:tcW w:type="dxa" w:w="7618"/>
            <w:tcMar>
              <w:top w:w="70" w:type="dxa"/>
              <w:start w:w="90" w:type="dxa"/>
              <w:bottom w:w="70" w:type="dxa"/>
              <w:end w:w="90" w:type="dxa"/>
            </w:tcMar>
            <w:vAlign w:val="top"/>
          </w:tcPr>
          <w:p>
            <w:pPr>
              <w:spacing w:after="40" w:line="245" w:lineRule="auto"/>
            </w:pPr>
            <w:r>
              <w:rPr>
                <w:sz w:val="18"/>
              </w:rPr>
              <w:t>How does the current environment become and remain the target? Adoption waves, dependencies, capacity, operating responsibilities, exit and disposal.</w:t>
            </w:r>
          </w:p>
        </w:tc>
      </w:tr>
    </w:tbl>
    <w:p>
      <w:pPr>
        <w:spacing w:after="0"/>
      </w:pPr>
      <w:r/>
    </w:p>
    <w:p>
      <w:r>
        <w:t>Use a legend for data, management and dependency relationships. Show administrative and failure boundaries separately from routing boundaries. Identify shared equipment explicitly. A redundant icon does not establish independent power, storage, controller, uplink or key dependencies.</w:t>
      </w:r>
    </w:p>
    <w:p>
      <w:r>
        <w:br w:type="page"/>
      </w:r>
    </w:p>
    <w:p>
      <w:pPr>
        <w:pStyle w:val="Heading1"/>
      </w:pPr>
      <w:r>
        <w:t>4. Security, management and co-residency decisions</w:t>
      </w:r>
      <w:bookmarkStart w:id="1009" w:name="AK_04"/>
      <w:bookmarkEnd w:id="1009"/>
    </w:p>
    <w:p>
      <w:r>
        <w:t>Record the security decision at every shared layer. Separate a tenant name, a zone class, an independently governed zone/domain and the native routing object that realizes it.</w:t>
      </w:r>
    </w:p>
    <w:p>
      <w:pPr>
        <w:pStyle w:val="Caption"/>
      </w:pPr>
      <w:r>
        <w:t xml:space="preserve">Baseline and related records: </w:t>
      </w:r>
      <w:hyperlink r:id="rId20">
        <w:r>
          <w:rPr>
            <w:color w:val="0B6B70"/>
            <w:u w:val="single"/>
          </w:rPr>
          <w:t>RA §6</w:t>
        </w:r>
      </w:hyperlink>
      <w:r>
        <w:t xml:space="preserve">  •  </w:t>
      </w:r>
      <w:hyperlink r:id="rId21">
        <w:r>
          <w:rPr>
            <w:color w:val="0B6B70"/>
            <w:u w:val="single"/>
          </w:rPr>
          <w:t>RA §7</w:t>
        </w:r>
      </w:hyperlink>
      <w:r>
        <w:t xml:space="preserve">  •  </w:t>
      </w:r>
      <w:hyperlink r:id="rId22">
        <w:r>
          <w:rPr>
            <w:color w:val="0B6B70"/>
            <w:u w:val="single"/>
          </w:rPr>
          <w:t>RA §8</w:t>
        </w:r>
      </w:hyperlink>
      <w:r>
        <w:t xml:space="preserve">  •  </w:t>
      </w:r>
      <w:hyperlink r:id="rId23">
        <w:r>
          <w:rPr>
            <w:color w:val="0B6B70"/>
            <w:u w:val="single"/>
          </w:rPr>
          <w:t>AT §7</w:t>
        </w:r>
      </w:hyperlink>
    </w:p>
    <w:tbl>
      <w:tblPr>
        <w:tblW w:type="auto" w:w="0"/>
        <w:jc w:val="center"/>
        <w:tblLayout w:type="fixed"/>
        <w:tblLook w:firstColumn="1" w:firstRow="1" w:lastColumn="0" w:lastRow="0" w:noHBand="0" w:noVBand="1" w:val="04A0"/>
      </w:tblPr>
      <w:tblGrid>
        <w:gridCol w:w="2405"/>
        <w:gridCol w:w="7877"/>
      </w:tblGrid>
      <w:tr>
        <w:trPr>
          <w:tblHeader/>
        </w:trPr>
        <w:tc>
          <w:tcPr>
            <w:tcW w:type="dxa" w:w="2405"/>
            <w:shd w:fill="15384A" w:val="clear"/>
            <w:tcMar>
              <w:top w:w="70" w:type="dxa"/>
              <w:start w:w="90" w:type="dxa"/>
              <w:bottom w:w="70" w:type="dxa"/>
              <w:end w:w="90" w:type="dxa"/>
            </w:tcMar>
          </w:tcPr>
          <w:p>
            <w:r>
              <w:rPr>
                <w:b/>
                <w:color w:val="FFFFFF"/>
                <w:sz w:val="18"/>
              </w:rPr>
              <w:t>Layer</w:t>
            </w:r>
          </w:p>
        </w:tc>
        <w:tc>
          <w:tcPr>
            <w:tcW w:type="dxa" w:w="7877"/>
            <w:shd w:fill="15384A" w:val="clear"/>
            <w:tcMar>
              <w:top w:w="70" w:type="dxa"/>
              <w:start w:w="90" w:type="dxa"/>
              <w:bottom w:w="70" w:type="dxa"/>
              <w:end w:w="90" w:type="dxa"/>
            </w:tcMar>
          </w:tcPr>
          <w:p>
            <w:r>
              <w:rPr>
                <w:b/>
                <w:color w:val="FFFFFF"/>
                <w:sz w:val="18"/>
              </w:rPr>
              <w:t>Question that must be answered</w:t>
            </w:r>
          </w:p>
        </w:tc>
      </w:tr>
      <w:tr>
        <w:trPr>
          <w:cantSplit/>
        </w:trPr>
        <w:tc>
          <w:tcPr>
            <w:tcW w:type="dxa" w:w="2405"/>
            <w:tcMar>
              <w:top w:w="70" w:type="dxa"/>
              <w:start w:w="90" w:type="dxa"/>
              <w:bottom w:w="70" w:type="dxa"/>
              <w:end w:w="90" w:type="dxa"/>
            </w:tcMar>
            <w:vAlign w:val="top"/>
          </w:tcPr>
          <w:p>
            <w:pPr>
              <w:spacing w:after="40" w:line="245" w:lineRule="auto"/>
            </w:pPr>
            <w:r>
              <w:rPr>
                <w:sz w:val="18"/>
              </w:rPr>
              <w:t>Compute and hypervisor</w:t>
            </w:r>
          </w:p>
        </w:tc>
        <w:tc>
          <w:tcPr>
            <w:tcW w:type="dxa" w:w="7877"/>
            <w:tcMar>
              <w:top w:w="70" w:type="dxa"/>
              <w:start w:w="90" w:type="dxa"/>
              <w:bottom w:w="70" w:type="dxa"/>
              <w:end w:w="90" w:type="dxa"/>
            </w:tcMar>
            <w:vAlign w:val="top"/>
          </w:tcPr>
          <w:p>
            <w:pPr>
              <w:spacing w:after="40" w:line="245" w:lineRule="auto"/>
            </w:pPr>
            <w:r>
              <w:rPr>
                <w:sz w:val="18"/>
              </w:rPr>
              <w:t>Which domains may share a host or cluster, and do placement, evacuation and HA restart preserve that decision?</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Storage and protection</w:t>
            </w:r>
          </w:p>
        </w:tc>
        <w:tc>
          <w:tcPr>
            <w:tcW w:type="dxa" w:w="7877"/>
            <w:tcMar>
              <w:top w:w="70" w:type="dxa"/>
              <w:start w:w="90" w:type="dxa"/>
              <w:bottom w:w="70" w:type="dxa"/>
              <w:end w:w="90" w:type="dxa"/>
            </w:tcMar>
            <w:vAlign w:val="top"/>
            <w:shd w:fill="F4F7F9" w:val="clear"/>
          </w:tcPr>
          <w:p>
            <w:pPr>
              <w:spacing w:after="40" w:line="245" w:lineRule="auto"/>
            </w:pPr>
            <w:r>
              <w:rPr>
                <w:sz w:val="18"/>
              </w:rPr>
              <w:t>Are disks, controllers, replicas, copies, key scopes or backup administrators shared? What prevents cross-scope attachment and destruction?</w:t>
            </w:r>
          </w:p>
        </w:tc>
      </w:tr>
      <w:tr>
        <w:trPr>
          <w:cantSplit/>
        </w:trPr>
        <w:tc>
          <w:tcPr>
            <w:tcW w:type="dxa" w:w="2405"/>
            <w:tcMar>
              <w:top w:w="70" w:type="dxa"/>
              <w:start w:w="90" w:type="dxa"/>
              <w:bottom w:w="70" w:type="dxa"/>
              <w:end w:w="90" w:type="dxa"/>
            </w:tcMar>
            <w:vAlign w:val="top"/>
          </w:tcPr>
          <w:p>
            <w:pPr>
              <w:spacing w:after="40" w:line="245" w:lineRule="auto"/>
            </w:pPr>
            <w:r>
              <w:rPr>
                <w:sz w:val="18"/>
              </w:rPr>
              <w:t>Routing and ZIP</w:t>
            </w:r>
          </w:p>
        </w:tc>
        <w:tc>
          <w:tcPr>
            <w:tcW w:type="dxa" w:w="7877"/>
            <w:tcMar>
              <w:top w:w="70" w:type="dxa"/>
              <w:start w:w="90" w:type="dxa"/>
              <w:bottom w:w="70" w:type="dxa"/>
              <w:end w:w="90" w:type="dxa"/>
            </w:tcMar>
            <w:vAlign w:val="top"/>
          </w:tcPr>
          <w:p>
            <w:pPr>
              <w:spacing w:after="40" w:line="245" w:lineRule="auto"/>
            </w:pPr>
            <w:r>
              <w:rPr>
                <w:sz w:val="18"/>
              </w:rPr>
              <w:t>Which two authorities approve a relationship? Where are forward/reply traffic and required inspection enforced?</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Management and OOB</w:t>
            </w:r>
          </w:p>
        </w:tc>
        <w:tc>
          <w:tcPr>
            <w:tcW w:type="dxa" w:w="7877"/>
            <w:tcMar>
              <w:top w:w="70" w:type="dxa"/>
              <w:start w:w="90" w:type="dxa"/>
              <w:bottom w:w="70" w:type="dxa"/>
              <w:end w:w="90" w:type="dxa"/>
            </w:tcMar>
            <w:vAlign w:val="top"/>
            <w:shd w:fill="F4F7F9" w:val="clear"/>
          </w:tcPr>
          <w:p>
            <w:pPr>
              <w:spacing w:after="40" w:line="245" w:lineRule="auto"/>
            </w:pPr>
            <w:r>
              <w:rPr>
                <w:sz w:val="18"/>
              </w:rPr>
              <w:t>Which authority can administer each target? Does emergency access survive the specific production failure?</w:t>
            </w:r>
          </w:p>
        </w:tc>
      </w:tr>
      <w:tr>
        <w:trPr>
          <w:cantSplit/>
        </w:trPr>
        <w:tc>
          <w:tcPr>
            <w:tcW w:type="dxa" w:w="2405"/>
            <w:tcMar>
              <w:top w:w="70" w:type="dxa"/>
              <w:start w:w="90" w:type="dxa"/>
              <w:bottom w:w="70" w:type="dxa"/>
              <w:end w:w="90" w:type="dxa"/>
            </w:tcMar>
            <w:vAlign w:val="top"/>
          </w:tcPr>
          <w:p>
            <w:pPr>
              <w:spacing w:after="40" w:line="245" w:lineRule="auto"/>
            </w:pPr>
            <w:r>
              <w:rPr>
                <w:sz w:val="18"/>
              </w:rPr>
              <w:t>Shared services</w:t>
            </w:r>
          </w:p>
        </w:tc>
        <w:tc>
          <w:tcPr>
            <w:tcW w:type="dxa" w:w="7877"/>
            <w:tcMar>
              <w:top w:w="70" w:type="dxa"/>
              <w:start w:w="90" w:type="dxa"/>
              <w:bottom w:w="70" w:type="dxa"/>
              <w:end w:w="90" w:type="dxa"/>
            </w:tcMar>
            <w:vAlign w:val="top"/>
          </w:tcPr>
          <w:p>
            <w:pPr>
              <w:spacing w:after="40" w:line="245" w:lineRule="auto"/>
            </w:pPr>
            <w:r>
              <w:rPr>
                <w:sz w:val="18"/>
              </w:rPr>
              <w:t>Is consumption distinct from management and backend entitlement? Can a compromised service abuse permitted sessions?</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Automation and supplier access</w:t>
            </w:r>
          </w:p>
        </w:tc>
        <w:tc>
          <w:tcPr>
            <w:tcW w:type="dxa" w:w="7877"/>
            <w:tcMar>
              <w:top w:w="70" w:type="dxa"/>
              <w:start w:w="90" w:type="dxa"/>
              <w:bottom w:w="70" w:type="dxa"/>
              <w:end w:w="90" w:type="dxa"/>
            </w:tcMar>
            <w:vAlign w:val="top"/>
            <w:shd w:fill="F4F7F9" w:val="clear"/>
          </w:tcPr>
          <w:p>
            <w:pPr>
              <w:spacing w:after="40" w:line="245" w:lineRule="auto"/>
            </w:pPr>
            <w:r>
              <w:rPr>
                <w:sz w:val="18"/>
              </w:rPr>
              <w:t>Who can change native resources, where do credentials operate, and how are temporary privileges and diagnostics controlled?</w:t>
            </w:r>
          </w:p>
        </w:tc>
      </w:tr>
    </w:tbl>
    <w:p>
      <w:pPr>
        <w:spacing w:after="0"/>
      </w:pPr>
      <w:r/>
    </w:p>
    <w:p>
      <w:r>
        <w:t>Retain the v1.4 zone-aware host-pool baseline and explicit alternative approval. “Same RZ label” alone does not justify co-residency. “Dedicated” must identify which of host, cluster, storage, edge, management, backup and key custody is actually dedicated.</w:t>
      </w:r>
    </w:p>
    <w:p>
      <w:r>
        <w:t>Cloud zoning guidance distinguishes logical ZIP functions and management-connected versus data-path interfaces; a product object by itself is not the whole control design. The kit uses that as source context, not as a substitute for an adopted control profile. [K01]</w:t>
      </w:r>
    </w:p>
    <w:p>
      <w:pPr>
        <w:pStyle w:val="Caption"/>
      </w:pPr>
      <w:r>
        <w:t xml:space="preserve">External mechanism context: </w:t>
      </w:r>
      <w:hyperlink r:id="rId24">
        <w:r>
          <w:rPr>
            <w:color w:val="0B6B70"/>
            <w:u w:val="single"/>
          </w:rPr>
          <w:t>K01 — Cloud network security zones (ITSP.80.023)</w:t>
        </w:r>
      </w:hyperlink>
    </w:p>
    <w:p>
      <w:r>
        <w:br w:type="page"/>
      </w:r>
    </w:p>
    <w:p>
      <w:pPr>
        <w:pStyle w:val="Heading1"/>
      </w:pPr>
      <w:r>
        <w:t>5. Service resilience, capacity and portability</w:t>
      </w:r>
      <w:bookmarkStart w:id="1010" w:name="AK_05"/>
      <w:bookmarkEnd w:id="1010"/>
    </w:p>
    <w:p>
      <w:r>
        <w:t>Specify the service promise before calculating equipment. The engineering team then proves feasibility using the actual component combination and a common failure/load basis.</w:t>
      </w:r>
    </w:p>
    <w:p>
      <w:pPr>
        <w:pStyle w:val="Caption"/>
      </w:pPr>
      <w:r>
        <w:t xml:space="preserve">Baseline and related records: </w:t>
      </w:r>
      <w:hyperlink r:id="rId15">
        <w:r>
          <w:rPr>
            <w:color w:val="0B6B70"/>
            <w:u w:val="single"/>
          </w:rPr>
          <w:t>RA §14</w:t>
        </w:r>
      </w:hyperlink>
      <w:r>
        <w:t xml:space="preserve">  •  </w:t>
      </w:r>
      <w:hyperlink r:id="rId25">
        <w:r>
          <w:rPr>
            <w:color w:val="0B6B70"/>
            <w:u w:val="single"/>
          </w:rPr>
          <w:t>RA §26</w:t>
        </w:r>
      </w:hyperlink>
      <w:r>
        <w:t xml:space="preserve">  •  </w:t>
      </w:r>
      <w:hyperlink r:id="rId26">
        <w:r>
          <w:rPr>
            <w:color w:val="0B6B70"/>
            <w:u w:val="single"/>
          </w:rPr>
          <w:t>RA §27</w:t>
        </w:r>
      </w:hyperlink>
      <w:r>
        <w:t xml:space="preserve">  •  </w:t>
      </w:r>
      <w:hyperlink r:id="rId27">
        <w:r>
          <w:rPr>
            <w:color w:val="0B6B70"/>
            <w:u w:val="single"/>
          </w:rPr>
          <w:t>AT §8</w:t>
        </w:r>
      </w:hyperlink>
    </w:p>
    <w:tbl>
      <w:tblPr>
        <w:tblW w:type="auto" w:w="0"/>
        <w:jc w:val="center"/>
        <w:tblLayout w:type="fixed"/>
        <w:tblLook w:firstColumn="1" w:firstRow="1" w:lastColumn="0" w:lastRow="0" w:noHBand="0" w:noVBand="1" w:val="04A0"/>
      </w:tblPr>
      <w:tblGrid>
        <w:gridCol w:w="2491"/>
        <w:gridCol w:w="7790"/>
      </w:tblGrid>
      <w:tr>
        <w:trPr>
          <w:tblHeader/>
        </w:trPr>
        <w:tc>
          <w:tcPr>
            <w:tcW w:type="dxa" w:w="2491"/>
            <w:shd w:fill="15384A" w:val="clear"/>
            <w:tcMar>
              <w:top w:w="70" w:type="dxa"/>
              <w:start w:w="90" w:type="dxa"/>
              <w:bottom w:w="70" w:type="dxa"/>
              <w:end w:w="90" w:type="dxa"/>
            </w:tcMar>
          </w:tcPr>
          <w:p>
            <w:r>
              <w:rPr>
                <w:b/>
                <w:color w:val="FFFFFF"/>
                <w:sz w:val="18"/>
              </w:rPr>
              <w:t>Architectural decision</w:t>
            </w:r>
          </w:p>
        </w:tc>
        <w:tc>
          <w:tcPr>
            <w:tcW w:type="dxa" w:w="7790"/>
            <w:shd w:fill="15384A" w:val="clear"/>
            <w:tcMar>
              <w:top w:w="70" w:type="dxa"/>
              <w:start w:w="90" w:type="dxa"/>
              <w:bottom w:w="70" w:type="dxa"/>
              <w:end w:w="90" w:type="dxa"/>
            </w:tcMar>
          </w:tcPr>
          <w:p>
            <w:r>
              <w:rPr>
                <w:b/>
                <w:color w:val="FFFFFF"/>
                <w:sz w:val="18"/>
              </w:rPr>
              <w:t>Engineering evidence it drives</w:t>
            </w:r>
          </w:p>
        </w:tc>
      </w:tr>
      <w:tr>
        <w:trPr>
          <w:cantSplit/>
        </w:trPr>
        <w:tc>
          <w:tcPr>
            <w:tcW w:type="dxa" w:w="2491"/>
            <w:tcMar>
              <w:top w:w="70" w:type="dxa"/>
              <w:start w:w="90" w:type="dxa"/>
              <w:bottom w:w="70" w:type="dxa"/>
              <w:end w:w="90" w:type="dxa"/>
            </w:tcMar>
            <w:vAlign w:val="top"/>
          </w:tcPr>
          <w:p>
            <w:pPr>
              <w:spacing w:after="40" w:line="245" w:lineRule="auto"/>
            </w:pPr>
            <w:r>
              <w:rPr>
                <w:sz w:val="18"/>
              </w:rPr>
              <w:t>Covered failure set</w:t>
            </w:r>
          </w:p>
        </w:tc>
        <w:tc>
          <w:tcPr>
            <w:tcW w:type="dxa" w:w="7790"/>
            <w:tcMar>
              <w:top w:w="70" w:type="dxa"/>
              <w:start w:w="90" w:type="dxa"/>
              <w:bottom w:w="70" w:type="dxa"/>
              <w:end w:w="90" w:type="dxa"/>
            </w:tcMar>
            <w:vAlign w:val="top"/>
          </w:tcPr>
          <w:p>
            <w:pPr>
              <w:spacing w:after="40" w:line="245" w:lineRule="auto"/>
            </w:pPr>
            <w:r>
              <w:rPr>
                <w:sz w:val="18"/>
              </w:rPr>
              <w:t>Enumerated nodes/racks/links/partitions and common dependencies; available survivor capacity under each case.</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Service indicator and error treatment</w:t>
            </w:r>
          </w:p>
        </w:tc>
        <w:tc>
          <w:tcPr>
            <w:tcW w:type="dxa" w:w="7790"/>
            <w:tcMar>
              <w:top w:w="70" w:type="dxa"/>
              <w:start w:w="90" w:type="dxa"/>
              <w:bottom w:w="70" w:type="dxa"/>
              <w:end w:w="90" w:type="dxa"/>
            </w:tcMar>
            <w:vAlign w:val="top"/>
            <w:shd w:fill="F4F7F9" w:val="clear"/>
          </w:tcPr>
          <w:p>
            <w:pPr>
              <w:spacing w:after="40" w:line="245" w:lineRule="auto"/>
            </w:pPr>
            <w:r>
              <w:rPr>
                <w:sz w:val="18"/>
              </w:rPr>
              <w:t>Explicit measurement boundary, success criterion, window, maintenance accounting and alert owner.</w:t>
            </w:r>
          </w:p>
        </w:tc>
      </w:tr>
      <w:tr>
        <w:trPr>
          <w:cantSplit/>
        </w:trPr>
        <w:tc>
          <w:tcPr>
            <w:tcW w:type="dxa" w:w="2491"/>
            <w:tcMar>
              <w:top w:w="70" w:type="dxa"/>
              <w:start w:w="90" w:type="dxa"/>
              <w:bottom w:w="70" w:type="dxa"/>
              <w:end w:w="90" w:type="dxa"/>
            </w:tcMar>
            <w:vAlign w:val="top"/>
          </w:tcPr>
          <w:p>
            <w:pPr>
              <w:spacing w:after="40" w:line="245" w:lineRule="auto"/>
            </w:pPr>
            <w:r>
              <w:rPr>
                <w:sz w:val="18"/>
              </w:rPr>
              <w:t>Recovery objective</w:t>
            </w:r>
          </w:p>
        </w:tc>
        <w:tc>
          <w:tcPr>
            <w:tcW w:type="dxa" w:w="7790"/>
            <w:tcMar>
              <w:top w:w="70" w:type="dxa"/>
              <w:start w:w="90" w:type="dxa"/>
              <w:bottom w:w="70" w:type="dxa"/>
              <w:end w:w="90" w:type="dxa"/>
            </w:tcMar>
            <w:vAlign w:val="top"/>
          </w:tcPr>
          <w:p>
            <w:pPr>
              <w:spacing w:after="40" w:line="245" w:lineRule="auto"/>
            </w:pPr>
            <w:r>
              <w:rPr>
                <w:sz w:val="18"/>
              </w:rPr>
              <w:t>RTO start/end, recoverable consistency point for RPO, key/catalogue dependencies and isolated acceptance.</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Data/control location and access</w:t>
            </w:r>
          </w:p>
        </w:tc>
        <w:tc>
          <w:tcPr>
            <w:tcW w:type="dxa" w:w="7790"/>
            <w:tcMar>
              <w:top w:w="70" w:type="dxa"/>
              <w:start w:w="90" w:type="dxa"/>
              <w:bottom w:w="70" w:type="dxa"/>
              <w:end w:w="90" w:type="dxa"/>
            </w:tcMar>
            <w:vAlign w:val="top"/>
            <w:shd w:fill="F4F7F9" w:val="clear"/>
          </w:tcPr>
          <w:p>
            <w:pPr>
              <w:spacing w:after="40" w:line="245" w:lineRule="auto"/>
            </w:pPr>
            <w:r>
              <w:rPr>
                <w:sz w:val="18"/>
              </w:rPr>
              <w:t>Locations of primary data, copies, logs, diagnostics, managers, support and keys, separately recorded.</w:t>
            </w:r>
          </w:p>
        </w:tc>
      </w:tr>
      <w:tr>
        <w:trPr>
          <w:cantSplit/>
        </w:trPr>
        <w:tc>
          <w:tcPr>
            <w:tcW w:type="dxa" w:w="2491"/>
            <w:tcMar>
              <w:top w:w="70" w:type="dxa"/>
              <w:start w:w="90" w:type="dxa"/>
              <w:bottom w:w="70" w:type="dxa"/>
              <w:end w:w="90" w:type="dxa"/>
            </w:tcMar>
            <w:vAlign w:val="top"/>
          </w:tcPr>
          <w:p>
            <w:pPr>
              <w:spacing w:after="40" w:line="245" w:lineRule="auto"/>
            </w:pPr>
            <w:r>
              <w:rPr>
                <w:sz w:val="18"/>
              </w:rPr>
              <w:t>Capacity on demand</w:t>
            </w:r>
          </w:p>
        </w:tc>
        <w:tc>
          <w:tcPr>
            <w:tcW w:type="dxa" w:w="7790"/>
            <w:tcMar>
              <w:top w:w="70" w:type="dxa"/>
              <w:start w:w="90" w:type="dxa"/>
              <w:bottom w:w="70" w:type="dxa"/>
              <w:end w:w="90" w:type="dxa"/>
            </w:tcMar>
            <w:vAlign w:val="top"/>
          </w:tcPr>
          <w:p>
            <w:pPr>
              <w:spacing w:after="40" w:line="245" w:lineRule="auto"/>
            </w:pPr>
            <w:r>
              <w:rPr>
                <w:sz w:val="18"/>
              </w:rPr>
              <w:t>Commissioned service-class capacity, reservations, expansion lead time and blocking bottlenecks—not merely free cores.</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Portability and exit</w:t>
            </w:r>
          </w:p>
        </w:tc>
        <w:tc>
          <w:tcPr>
            <w:tcW w:type="dxa" w:w="7790"/>
            <w:tcMar>
              <w:top w:w="70" w:type="dxa"/>
              <w:start w:w="90" w:type="dxa"/>
              <w:bottom w:w="70" w:type="dxa"/>
              <w:end w:w="90" w:type="dxa"/>
            </w:tcMar>
            <w:vAlign w:val="top"/>
            <w:shd w:fill="F4F7F9" w:val="clear"/>
          </w:tcPr>
          <w:p>
            <w:pPr>
              <w:spacing w:after="40" w:line="245" w:lineRule="auto"/>
            </w:pPr>
            <w:r>
              <w:rPr>
                <w:sz w:val="18"/>
              </w:rPr>
              <w:t>Alternative-platform build, disk/data conversion limits, identity/key rebinding, support/skills and observed recovery.</w:t>
            </w:r>
          </w:p>
        </w:tc>
      </w:tr>
    </w:tbl>
    <w:p>
      <w:pPr>
        <w:spacing w:after="0"/>
      </w:pPr>
      <w:r/>
    </w:p>
    <w:p>
      <w:r>
        <w:t>Portability has distinct claims: equivalent deployment, simultaneous composite use and migration of workload/data state. Qualify the specific claim. The same logical request on two platforms does not prove safe live migration or identical backup formats.</w:t>
      </w:r>
    </w:p>
    <w:p>
      <w:pPr>
        <w:keepLines/>
        <w:spacing w:before="140" w:after="200"/>
        <w:shd w:fill="EEF5F7" w:val="clear"/>
        <w:pBdr>
          <w:left w:val="single" w:sz="12" w:space="8" w:color="0B6B70"/>
        </w:pBdr>
      </w:pPr>
      <w:r>
        <w:rPr>
          <w:b/>
        </w:rPr>
        <w:t>Decision quality check: the architecture states what must survive and recover, while the LLD names the actual resources that provide it. Missing evidence results in an excluded or unqualified service capability, not an invented guarantee.</w:t>
      </w:r>
    </w:p>
    <w:p>
      <w:r>
        <w:br w:type="page"/>
      </w:r>
    </w:p>
    <w:p>
      <w:pPr>
        <w:pStyle w:val="Heading1"/>
      </w:pPr>
      <w:r>
        <w:t>6. Vendor realization and provisioning strategy</w:t>
      </w:r>
      <w:bookmarkStart w:id="1011" w:name="AK_06"/>
      <w:bookmarkEnd w:id="1011"/>
    </w:p>
    <w:p>
      <w:r>
        <w:t>Describe the native realization before deciding the automation structure. Select an owned work package for every resource family and a supported execution mechanism for each lifecycle operation.</w:t>
      </w:r>
    </w:p>
    <w:p>
      <w:pPr>
        <w:pStyle w:val="Caption"/>
      </w:pPr>
      <w:r>
        <w:t xml:space="preserve">Baseline and related records: </w:t>
      </w:r>
      <w:hyperlink r:id="rId28">
        <w:r>
          <w:rPr>
            <w:color w:val="0B6B70"/>
            <w:u w:val="single"/>
          </w:rPr>
          <w:t>RA §15</w:t>
        </w:r>
      </w:hyperlink>
      <w:r>
        <w:t xml:space="preserve">  •  </w:t>
      </w:r>
      <w:hyperlink r:id="rId29">
        <w:r>
          <w:rPr>
            <w:color w:val="0B6B70"/>
            <w:u w:val="single"/>
          </w:rPr>
          <w:t>RA §20</w:t>
        </w:r>
      </w:hyperlink>
      <w:r>
        <w:t xml:space="preserve">  •  </w:t>
      </w:r>
      <w:hyperlink r:id="rId30">
        <w:r>
          <w:rPr>
            <w:color w:val="0B6B70"/>
            <w:u w:val="single"/>
          </w:rPr>
          <w:t>RA §24</w:t>
        </w:r>
      </w:hyperlink>
      <w:r>
        <w:t xml:space="preserve">  •  </w:t>
      </w:r>
      <w:hyperlink r:id="rId31">
        <w:r>
          <w:rPr>
            <w:color w:val="0B6B70"/>
            <w:u w:val="single"/>
          </w:rPr>
          <w:t>AT §9</w:t>
        </w:r>
      </w:hyperlink>
    </w:p>
    <w:tbl>
      <w:tblPr>
        <w:tblW w:type="auto" w:w="0"/>
        <w:jc w:val="center"/>
        <w:tblLayout w:type="fixed"/>
        <w:tblLook w:firstColumn="1" w:firstRow="1" w:lastColumn="0" w:lastRow="0" w:noHBand="0" w:noVBand="1" w:val="04A0"/>
      </w:tblPr>
      <w:tblGrid>
        <w:gridCol w:w="1944"/>
        <w:gridCol w:w="8338"/>
      </w:tblGrid>
      <w:tr>
        <w:trPr>
          <w:tblHeader/>
        </w:trPr>
        <w:tc>
          <w:tcPr>
            <w:tcW w:type="dxa" w:w="1944"/>
            <w:shd w:fill="15384A" w:val="clear"/>
            <w:tcMar>
              <w:top w:w="70" w:type="dxa"/>
              <w:start w:w="90" w:type="dxa"/>
              <w:bottom w:w="70" w:type="dxa"/>
              <w:end w:w="90" w:type="dxa"/>
            </w:tcMar>
          </w:tcPr>
          <w:p>
            <w:r>
              <w:rPr>
                <w:b/>
                <w:color w:val="FFFFFF"/>
                <w:sz w:val="18"/>
              </w:rPr>
              <w:t>Realization</w:t>
            </w:r>
          </w:p>
        </w:tc>
        <w:tc>
          <w:tcPr>
            <w:tcW w:type="dxa" w:w="8338"/>
            <w:shd w:fill="15384A" w:val="clear"/>
            <w:tcMar>
              <w:top w:w="70" w:type="dxa"/>
              <w:start w:w="90" w:type="dxa"/>
              <w:bottom w:w="70" w:type="dxa"/>
              <w:end w:w="90" w:type="dxa"/>
            </w:tcMar>
          </w:tcPr>
          <w:p>
            <w:r>
              <w:rPr>
                <w:b/>
                <w:color w:val="FFFFFF"/>
                <w:sz w:val="18"/>
              </w:rPr>
              <w:t>Architectural responsibilities to retain</w:t>
            </w:r>
          </w:p>
        </w:tc>
      </w:tr>
      <w:tr>
        <w:trPr>
          <w:cantSplit/>
        </w:trPr>
        <w:tc>
          <w:tcPr>
            <w:tcW w:type="dxa" w:w="1944"/>
            <w:tcMar>
              <w:top w:w="70" w:type="dxa"/>
              <w:start w:w="90" w:type="dxa"/>
              <w:bottom w:w="70" w:type="dxa"/>
              <w:end w:w="90" w:type="dxa"/>
            </w:tcMar>
            <w:vAlign w:val="top"/>
          </w:tcPr>
          <w:p>
            <w:pPr>
              <w:spacing w:after="40" w:line="245" w:lineRule="auto"/>
            </w:pPr>
            <w:r>
              <w:rPr>
                <w:sz w:val="18"/>
              </w:rPr>
              <w:t>Nutanix</w:t>
            </w:r>
          </w:p>
        </w:tc>
        <w:tc>
          <w:tcPr>
            <w:tcW w:type="dxa" w:w="8338"/>
            <w:tcMar>
              <w:top w:w="70" w:type="dxa"/>
              <w:start w:w="90" w:type="dxa"/>
              <w:bottom w:w="70" w:type="dxa"/>
              <w:end w:w="90" w:type="dxa"/>
            </w:tcMar>
            <w:vAlign w:val="top"/>
          </w:tcPr>
          <w:p>
            <w:pPr>
              <w:spacing w:after="40" w:line="245" w:lineRule="auto"/>
            </w:pPr>
            <w:r>
              <w:rPr>
                <w:sz w:val="18"/>
              </w:rPr>
              <w:t>AHV/AOS and Prism/Flow responsibilities; distinct project/RBAC, VPC routing, protected selectors, external handoff and data/protection scope.</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VMware/NSX</w:t>
            </w:r>
          </w:p>
        </w:tc>
        <w:tc>
          <w:tcPr>
            <w:tcW w:type="dxa" w:w="8338"/>
            <w:tcMar>
              <w:top w:w="70" w:type="dxa"/>
              <w:start w:w="90" w:type="dxa"/>
              <w:bottom w:w="70" w:type="dxa"/>
              <w:end w:w="90" w:type="dxa"/>
            </w:tcMar>
            <w:vAlign w:val="top"/>
            <w:shd w:fill="F4F7F9" w:val="clear"/>
          </w:tcPr>
          <w:p>
            <w:pPr>
              <w:spacing w:after="40" w:line="245" w:lineRule="auto"/>
            </w:pPr>
            <w:r>
              <w:rPr>
                <w:sz w:val="18"/>
              </w:rPr>
              <w:t>ESXi/vCenter placement and data integration; distributed versus service routing; Tier-1 and isolated upstream/Edge path; provider policy hierarchy.</w:t>
            </w:r>
          </w:p>
        </w:tc>
      </w:tr>
      <w:tr>
        <w:trPr>
          <w:cantSplit/>
        </w:trPr>
        <w:tc>
          <w:tcPr>
            <w:tcW w:type="dxa" w:w="1944"/>
            <w:tcMar>
              <w:top w:w="70" w:type="dxa"/>
              <w:start w:w="90" w:type="dxa"/>
              <w:bottom w:w="70" w:type="dxa"/>
              <w:end w:w="90" w:type="dxa"/>
            </w:tcMar>
            <w:vAlign w:val="top"/>
          </w:tcPr>
          <w:p>
            <w:pPr>
              <w:spacing w:after="40" w:line="245" w:lineRule="auto"/>
            </w:pPr>
            <w:r>
              <w:rPr>
                <w:sz w:val="18"/>
              </w:rPr>
              <w:t>OpenStack</w:t>
            </w:r>
          </w:p>
        </w:tc>
        <w:tc>
          <w:tcPr>
            <w:tcW w:type="dxa" w:w="8338"/>
            <w:tcMar>
              <w:top w:w="70" w:type="dxa"/>
              <w:start w:w="90" w:type="dxa"/>
              <w:bottom w:w="70" w:type="dxa"/>
              <w:end w:w="90" w:type="dxa"/>
            </w:tcMar>
            <w:vAlign w:val="top"/>
          </w:tcPr>
          <w:p>
            <w:pPr>
              <w:spacing w:after="40" w:line="245" w:lineRule="auto"/>
            </w:pPr>
            <w:r>
              <w:rPr>
                <w:sz w:val="18"/>
              </w:rPr>
              <w:t>Distribution/controller responsibilities; Keystone/Nova/Placement/Neutron/Cinder; chosen backend; provider-owned baseline network mutation.</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Common infrastructure</w:t>
            </w:r>
          </w:p>
        </w:tc>
        <w:tc>
          <w:tcPr>
            <w:tcW w:type="dxa" w:w="8338"/>
            <w:tcMar>
              <w:top w:w="70" w:type="dxa"/>
              <w:start w:w="90" w:type="dxa"/>
              <w:bottom w:w="70" w:type="dxa"/>
              <w:end w:w="90" w:type="dxa"/>
            </w:tcMar>
            <w:vAlign w:val="top"/>
            <w:shd w:fill="F4F7F9" w:val="clear"/>
          </w:tcPr>
          <w:p>
            <w:pPr>
              <w:spacing w:after="40" w:line="245" w:lineRule="auto"/>
            </w:pPr>
            <w:r>
              <w:rPr>
                <w:sz w:val="18"/>
              </w:rPr>
              <w:t>Fabric and OOB, ZIP/security contexts, IPAM/DNS, identity/keys, logging, images and backup remain independently owned integrations.</w:t>
            </w:r>
          </w:p>
        </w:tc>
      </w:tr>
    </w:tbl>
    <w:p>
      <w:pPr>
        <w:spacing w:after="0"/>
      </w:pPr>
      <w:r/>
    </w:p>
    <w:p>
      <w:pPr>
        <w:pStyle w:val="Heading2"/>
      </w:pPr>
      <w:r>
        <w:t>P0–P6 as infrastructure work</w:t>
      </w:r>
    </w:p>
    <w:p>
      <w:r>
        <w:t>P0 establishes trusted bootstrap; P1 commissions physical transport and recovery access; P2 installs native platforms; P3 establishes shared services and security boundaries; P4 allocates tenant/domain infrastructure; P5 creates workload resources and controlled service activation; P6 maintains, recovers, migrates and retires.</w:t>
      </w:r>
    </w:p>
    <w:p>
      <w:r>
        <w:t>Terraform manages supported resources through qualified APIs. Platform installers, firmware tooling, backup products and other service mechanisms retain their native lifecycle responsibilities. An unsupported provider operation needs a named alternative and accepted handoff; it is not solved by an empty module.</w:t>
      </w:r>
    </w:p>
    <w:p>
      <w:pPr>
        <w:pStyle w:val="Caption"/>
      </w:pPr>
      <w:r>
        <w:t xml:space="preserve">Baseline and related records: </w:t>
      </w:r>
      <w:hyperlink r:id="rId32">
        <w:r>
          <w:rPr>
            <w:color w:val="0B6B70"/>
            <w:u w:val="single"/>
          </w:rPr>
          <w:t>VC §1</w:t>
        </w:r>
      </w:hyperlink>
      <w:r>
        <w:t xml:space="preserve">  •  </w:t>
      </w:r>
      <w:hyperlink r:id="rId33">
        <w:r>
          <w:rPr>
            <w:color w:val="0B6B70"/>
            <w:u w:val="single"/>
          </w:rPr>
          <w:t>IK §2</w:t>
        </w:r>
      </w:hyperlink>
    </w:p>
    <w:p>
      <w:r>
        <w:br w:type="page"/>
      </w:r>
    </w:p>
    <w:p>
      <w:pPr>
        <w:pStyle w:val="Heading1"/>
      </w:pPr>
      <w:r>
        <w:t>7. Decisions, risk and review</w:t>
      </w:r>
      <w:bookmarkStart w:id="1012" w:name="AK_07"/>
      <w:bookmarkEnd w:id="1012"/>
    </w:p>
    <w:p>
      <w:r>
        <w:t>Use an architecture decision record for choices with material consequences. A decision records why an option is suitable for the offered scope, not merely that a product has a feature.</w:t>
      </w:r>
    </w:p>
    <w:p>
      <w:pPr>
        <w:pStyle w:val="Caption"/>
      </w:pPr>
      <w:r>
        <w:t xml:space="preserve">Baseline and related records: </w:t>
      </w:r>
      <w:hyperlink r:id="rId34">
        <w:r>
          <w:rPr>
            <w:color w:val="0B6B70"/>
            <w:u w:val="single"/>
          </w:rPr>
          <w:t>RA §29</w:t>
        </w:r>
      </w:hyperlink>
      <w:r>
        <w:t xml:space="preserve">  •  </w:t>
      </w:r>
      <w:hyperlink r:id="rId35">
        <w:r>
          <w:rPr>
            <w:color w:val="0B6B70"/>
            <w:u w:val="single"/>
          </w:rPr>
          <w:t>GM §4</w:t>
        </w:r>
      </w:hyperlink>
      <w:r>
        <w:t xml:space="preserve">  •  </w:t>
      </w:r>
      <w:hyperlink r:id="rId36">
        <w:r>
          <w:rPr>
            <w:color w:val="0B6B70"/>
            <w:u w:val="single"/>
          </w:rPr>
          <w:t>AT §6</w:t>
        </w:r>
      </w:hyperlink>
    </w:p>
    <w:tbl>
      <w:tblPr>
        <w:tblW w:type="auto" w:w="0"/>
        <w:jc w:val="center"/>
        <w:tblLayout w:type="fixed"/>
        <w:tblLook w:firstColumn="1" w:firstRow="1" w:lastColumn="0" w:lastRow="0" w:noHBand="0" w:noVBand="1" w:val="04A0"/>
      </w:tblPr>
      <w:tblGrid>
        <w:gridCol w:w="2376"/>
        <w:gridCol w:w="7906"/>
      </w:tblGrid>
      <w:tr>
        <w:trPr>
          <w:tblHeader/>
        </w:trPr>
        <w:tc>
          <w:tcPr>
            <w:tcW w:type="dxa" w:w="2376"/>
            <w:shd w:fill="15384A" w:val="clear"/>
            <w:tcMar>
              <w:top w:w="70" w:type="dxa"/>
              <w:start w:w="90" w:type="dxa"/>
              <w:bottom w:w="70" w:type="dxa"/>
              <w:end w:w="90" w:type="dxa"/>
            </w:tcMar>
          </w:tcPr>
          <w:p>
            <w:r>
              <w:rPr>
                <w:b/>
                <w:color w:val="FFFFFF"/>
                <w:sz w:val="18"/>
              </w:rPr>
              <w:t>Decision record</w:t>
            </w:r>
          </w:p>
        </w:tc>
        <w:tc>
          <w:tcPr>
            <w:tcW w:type="dxa" w:w="7906"/>
            <w:shd w:fill="15384A" w:val="clear"/>
            <w:tcMar>
              <w:top w:w="70" w:type="dxa"/>
              <w:start w:w="90" w:type="dxa"/>
              <w:bottom w:w="70" w:type="dxa"/>
              <w:end w:w="90" w:type="dxa"/>
            </w:tcMar>
          </w:tcPr>
          <w:p>
            <w:r>
              <w:rPr>
                <w:b/>
                <w:color w:val="FFFFFF"/>
                <w:sz w:val="18"/>
              </w:rPr>
              <w:t>Minimum evidence</w:t>
            </w:r>
          </w:p>
        </w:tc>
      </w:tr>
      <w:tr>
        <w:trPr>
          <w:cantSplit/>
        </w:trPr>
        <w:tc>
          <w:tcPr>
            <w:tcW w:type="dxa" w:w="2376"/>
            <w:tcMar>
              <w:top w:w="70" w:type="dxa"/>
              <w:start w:w="90" w:type="dxa"/>
              <w:bottom w:w="70" w:type="dxa"/>
              <w:end w:w="90" w:type="dxa"/>
            </w:tcMar>
            <w:vAlign w:val="top"/>
          </w:tcPr>
          <w:p>
            <w:pPr>
              <w:spacing w:after="40" w:line="245" w:lineRule="auto"/>
            </w:pPr>
            <w:r>
              <w:rPr>
                <w:sz w:val="18"/>
              </w:rPr>
              <w:t>Problem and constraints</w:t>
            </w:r>
          </w:p>
        </w:tc>
        <w:tc>
          <w:tcPr>
            <w:tcW w:type="dxa" w:w="7906"/>
            <w:tcMar>
              <w:top w:w="70" w:type="dxa"/>
              <w:start w:w="90" w:type="dxa"/>
              <w:bottom w:w="70" w:type="dxa"/>
              <w:end w:w="90" w:type="dxa"/>
            </w:tcMar>
            <w:vAlign w:val="top"/>
          </w:tcPr>
          <w:p>
            <w:pPr>
              <w:spacing w:after="40" w:line="245" w:lineRule="auto"/>
            </w:pPr>
            <w:r>
              <w:rPr>
                <w:sz w:val="18"/>
              </w:rPr>
              <w:t>Business/service need, threat/failure assumptions, affected requirements and scope.</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Viable alternatives</w:t>
            </w:r>
          </w:p>
        </w:tc>
        <w:tc>
          <w:tcPr>
            <w:tcW w:type="dxa" w:w="7906"/>
            <w:tcMar>
              <w:top w:w="70" w:type="dxa"/>
              <w:start w:w="90" w:type="dxa"/>
              <w:bottom w:w="70" w:type="dxa"/>
              <w:end w:w="90" w:type="dxa"/>
            </w:tcMar>
            <w:vAlign w:val="top"/>
            <w:shd w:fill="F4F7F9" w:val="clear"/>
          </w:tcPr>
          <w:p>
            <w:pPr>
              <w:spacing w:after="40" w:line="245" w:lineRule="auto"/>
            </w:pPr>
            <w:r>
              <w:rPr>
                <w:sz w:val="18"/>
              </w:rPr>
              <w:t>At least the realistic alternatives or a clear explanation of why no alternative meets the constraints.</w:t>
            </w:r>
          </w:p>
        </w:tc>
      </w:tr>
      <w:tr>
        <w:trPr>
          <w:cantSplit/>
        </w:trPr>
        <w:tc>
          <w:tcPr>
            <w:tcW w:type="dxa" w:w="2376"/>
            <w:tcMar>
              <w:top w:w="70" w:type="dxa"/>
              <w:start w:w="90" w:type="dxa"/>
              <w:bottom w:w="70" w:type="dxa"/>
              <w:end w:w="90" w:type="dxa"/>
            </w:tcMar>
            <w:vAlign w:val="top"/>
          </w:tcPr>
          <w:p>
            <w:pPr>
              <w:spacing w:after="40" w:line="245" w:lineRule="auto"/>
            </w:pPr>
            <w:r>
              <w:rPr>
                <w:sz w:val="18"/>
              </w:rPr>
              <w:t>Selected design</w:t>
            </w:r>
          </w:p>
        </w:tc>
        <w:tc>
          <w:tcPr>
            <w:tcW w:type="dxa" w:w="7906"/>
            <w:tcMar>
              <w:top w:w="70" w:type="dxa"/>
              <w:start w:w="90" w:type="dxa"/>
              <w:bottom w:w="70" w:type="dxa"/>
              <w:end w:w="90" w:type="dxa"/>
            </w:tcMar>
            <w:vAlign w:val="top"/>
          </w:tcPr>
          <w:p>
            <w:pPr>
              <w:spacing w:after="40" w:line="245" w:lineRule="auto"/>
            </w:pPr>
            <w:r>
              <w:rPr>
                <w:sz w:val="18"/>
              </w:rPr>
              <w:t>Components, boundary/authority model, integration interfaces and required capabilities.</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Consequences</w:t>
            </w:r>
          </w:p>
        </w:tc>
        <w:tc>
          <w:tcPr>
            <w:tcW w:type="dxa" w:w="7906"/>
            <w:tcMar>
              <w:top w:w="70" w:type="dxa"/>
              <w:start w:w="90" w:type="dxa"/>
              <w:bottom w:w="70" w:type="dxa"/>
              <w:end w:w="90" w:type="dxa"/>
            </w:tcMar>
            <w:vAlign w:val="top"/>
            <w:shd w:fill="F4F7F9" w:val="clear"/>
          </w:tcPr>
          <w:p>
            <w:pPr>
              <w:spacing w:after="40" w:line="245" w:lineRule="auto"/>
            </w:pPr>
            <w:r>
              <w:rPr>
                <w:sz w:val="18"/>
              </w:rPr>
              <w:t>Security, availability, complexity, capacity/cost, operations, portability and exit limitations.</w:t>
            </w:r>
          </w:p>
        </w:tc>
      </w:tr>
      <w:tr>
        <w:trPr>
          <w:cantSplit/>
        </w:trPr>
        <w:tc>
          <w:tcPr>
            <w:tcW w:type="dxa" w:w="2376"/>
            <w:tcMar>
              <w:top w:w="70" w:type="dxa"/>
              <w:start w:w="90" w:type="dxa"/>
              <w:bottom w:w="70" w:type="dxa"/>
              <w:end w:w="90" w:type="dxa"/>
            </w:tcMar>
            <w:vAlign w:val="top"/>
          </w:tcPr>
          <w:p>
            <w:pPr>
              <w:spacing w:after="40" w:line="245" w:lineRule="auto"/>
            </w:pPr>
            <w:r>
              <w:rPr>
                <w:sz w:val="18"/>
              </w:rPr>
              <w:t>Authority and validity</w:t>
            </w:r>
          </w:p>
        </w:tc>
        <w:tc>
          <w:tcPr>
            <w:tcW w:type="dxa" w:w="7906"/>
            <w:tcMar>
              <w:top w:w="70" w:type="dxa"/>
              <w:start w:w="90" w:type="dxa"/>
              <w:bottom w:w="70" w:type="dxa"/>
              <w:end w:w="90" w:type="dxa"/>
            </w:tcMar>
            <w:vAlign w:val="top"/>
          </w:tcPr>
          <w:p>
            <w:pPr>
              <w:spacing w:after="40" w:line="245" w:lineRule="auto"/>
            </w:pPr>
            <w:r>
              <w:rPr>
                <w:sz w:val="18"/>
              </w:rPr>
              <w:t>Proposed/accepted/rejected status, actual decision owner, date, applicable scope and review triggers.</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Follow-through</w:t>
            </w:r>
          </w:p>
        </w:tc>
        <w:tc>
          <w:tcPr>
            <w:tcW w:type="dxa" w:w="7906"/>
            <w:tcMar>
              <w:top w:w="70" w:type="dxa"/>
              <w:start w:w="90" w:type="dxa"/>
              <w:bottom w:w="70" w:type="dxa"/>
              <w:end w:w="90" w:type="dxa"/>
            </w:tcMar>
            <w:vAlign w:val="top"/>
            <w:shd w:fill="F4F7F9" w:val="clear"/>
          </w:tcPr>
          <w:p>
            <w:pPr>
              <w:spacing w:after="40" w:line="245" w:lineRule="auto"/>
            </w:pPr>
            <w:r>
              <w:rPr>
                <w:sz w:val="18"/>
              </w:rPr>
              <w:t>LLD schedule IDs, build ownership, qualification assertions, remaining blockers and superseded decisions.</w:t>
            </w:r>
          </w:p>
        </w:tc>
      </w:tr>
    </w:tbl>
    <w:p>
      <w:pPr>
        <w:spacing w:after="0"/>
      </w:pPr>
      <w:r/>
    </w:p>
    <w:p>
      <w:r>
        <w:t>The risk register separates a design concern from an observed implementation defect. A proposed mitigating control remains proposed until implemented and evidenced. Risk acceptance records residual risk and conditions; it does not assert the missing control exists.</w:t>
      </w:r>
    </w:p>
    <w:p>
      <w:pPr>
        <w:pStyle w:val="Heading2"/>
      </w:pPr>
      <w:r>
        <w:t>Review challenge</w:t>
      </w:r>
    </w:p>
    <w:p>
      <w:r>
        <w:t>Ask another discipline to identify the broadest route, most privileged credential, largest shared failure domain, weakest return-path assumption and hardest recovery dependency. Resolve the answer in the design and records rather than adding another generic assurance statement.</w:t>
      </w:r>
    </w:p>
    <w:p>
      <w:r>
        <w:br w:type="page"/>
      </w:r>
    </w:p>
    <w:p>
      <w:pPr>
        <w:pStyle w:val="Heading1"/>
      </w:pPr>
      <w:r>
        <w:t>8. Engineering handoff and change impact</w:t>
      </w:r>
      <w:bookmarkStart w:id="1013" w:name="AK_08"/>
      <w:bookmarkEnd w:id="1013"/>
    </w:p>
    <w:p>
      <w:r>
        <w:t>Release the architecture only with a clear contract for engineering: decisions made, decisions delegated, prohibited shortcuts and evidence needed at each gate.</w:t>
      </w:r>
    </w:p>
    <w:p>
      <w:pPr>
        <w:pStyle w:val="Caption"/>
      </w:pPr>
      <w:r>
        <w:t xml:space="preserve">Baseline and related records: </w:t>
      </w:r>
      <w:hyperlink r:id="rId37">
        <w:r>
          <w:rPr>
            <w:color w:val="0B6B70"/>
            <w:u w:val="single"/>
          </w:rPr>
          <w:t>RA §30</w:t>
        </w:r>
      </w:hyperlink>
      <w:r>
        <w:t xml:space="preserve">  •  </w:t>
      </w:r>
      <w:hyperlink r:id="rId38">
        <w:r>
          <w:rPr>
            <w:color w:val="0B6B70"/>
            <w:u w:val="single"/>
          </w:rPr>
          <w:t>QUAL §2</w:t>
        </w:r>
      </w:hyperlink>
      <w:r>
        <w:t xml:space="preserve">  •  </w:t>
      </w:r>
      <w:hyperlink r:id="rId39">
        <w:r>
          <w:rPr>
            <w:color w:val="0B6B70"/>
            <w:u w:val="single"/>
          </w:rPr>
          <w:t>AT §10</w:t>
        </w:r>
      </w:hyperlink>
    </w:p>
    <w:tbl>
      <w:tblPr>
        <w:tblW w:type="auto" w:w="0"/>
        <w:jc w:val="center"/>
        <w:tblLayout w:type="fixed"/>
        <w:tblLook w:firstColumn="1" w:firstRow="1" w:lastColumn="0" w:lastRow="0" w:noHBand="0" w:noVBand="1" w:val="04A0"/>
      </w:tblPr>
      <w:tblGrid>
        <w:gridCol w:w="2362"/>
        <w:gridCol w:w="7920"/>
      </w:tblGrid>
      <w:tr>
        <w:trPr>
          <w:tblHeader/>
        </w:trPr>
        <w:tc>
          <w:tcPr>
            <w:tcW w:type="dxa" w:w="2362"/>
            <w:shd w:fill="15384A" w:val="clear"/>
            <w:tcMar>
              <w:top w:w="70" w:type="dxa"/>
              <w:start w:w="90" w:type="dxa"/>
              <w:bottom w:w="70" w:type="dxa"/>
              <w:end w:w="90" w:type="dxa"/>
            </w:tcMar>
          </w:tcPr>
          <w:p>
            <w:r>
              <w:rPr>
                <w:b/>
                <w:color w:val="FFFFFF"/>
                <w:sz w:val="18"/>
              </w:rPr>
              <w:t>Handoff item</w:t>
            </w:r>
          </w:p>
        </w:tc>
        <w:tc>
          <w:tcPr>
            <w:tcW w:type="dxa" w:w="7920"/>
            <w:shd w:fill="15384A" w:val="clear"/>
            <w:tcMar>
              <w:top w:w="70" w:type="dxa"/>
              <w:start w:w="90" w:type="dxa"/>
              <w:bottom w:w="70" w:type="dxa"/>
              <w:end w:w="90" w:type="dxa"/>
            </w:tcMar>
          </w:tcPr>
          <w:p>
            <w:r>
              <w:rPr>
                <w:b/>
                <w:color w:val="FFFFFF"/>
                <w:sz w:val="18"/>
              </w:rPr>
              <w:t>Quality condition</w:t>
            </w:r>
          </w:p>
        </w:tc>
      </w:tr>
      <w:tr>
        <w:trPr>
          <w:cantSplit/>
        </w:trPr>
        <w:tc>
          <w:tcPr>
            <w:tcW w:type="dxa" w:w="2362"/>
            <w:tcMar>
              <w:top w:w="70" w:type="dxa"/>
              <w:start w:w="90" w:type="dxa"/>
              <w:bottom w:w="70" w:type="dxa"/>
              <w:end w:w="90" w:type="dxa"/>
            </w:tcMar>
            <w:vAlign w:val="top"/>
          </w:tcPr>
          <w:p>
            <w:pPr>
              <w:spacing w:after="40" w:line="245" w:lineRule="auto"/>
            </w:pPr>
            <w:r>
              <w:rPr>
                <w:sz w:val="18"/>
              </w:rPr>
              <w:t>Scope and source baseline</w:t>
            </w:r>
          </w:p>
        </w:tc>
        <w:tc>
          <w:tcPr>
            <w:tcW w:type="dxa" w:w="7920"/>
            <w:tcMar>
              <w:top w:w="70" w:type="dxa"/>
              <w:start w:w="90" w:type="dxa"/>
              <w:bottom w:w="70" w:type="dxa"/>
              <w:end w:w="90" w:type="dxa"/>
            </w:tcMar>
            <w:vAlign w:val="top"/>
          </w:tcPr>
          <w:p>
            <w:pPr>
              <w:spacing w:after="40" w:line="245" w:lineRule="auto"/>
            </w:pPr>
            <w:r>
              <w:rPr>
                <w:sz w:val="18"/>
              </w:rPr>
              <w:t>Reference release, adopted obligations, selected service classes and excluded extensions identified.</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Views and IDs</w:t>
            </w:r>
          </w:p>
        </w:tc>
        <w:tc>
          <w:tcPr>
            <w:tcW w:type="dxa" w:w="7920"/>
            <w:tcMar>
              <w:top w:w="70" w:type="dxa"/>
              <w:start w:w="90" w:type="dxa"/>
              <w:bottom w:w="70" w:type="dxa"/>
              <w:end w:w="90" w:type="dxa"/>
            </w:tcMar>
            <w:vAlign w:val="top"/>
            <w:shd w:fill="F4F7F9" w:val="clear"/>
          </w:tcPr>
          <w:p>
            <w:pPr>
              <w:spacing w:after="40" w:line="245" w:lineRule="auto"/>
            </w:pPr>
            <w:r>
              <w:rPr>
                <w:sz w:val="18"/>
              </w:rPr>
              <w:t>Physical/logical/security/resource/provisioning views use consistent component and interface identities.</w:t>
            </w:r>
          </w:p>
        </w:tc>
      </w:tr>
      <w:tr>
        <w:trPr>
          <w:cantSplit/>
        </w:trPr>
        <w:tc>
          <w:tcPr>
            <w:tcW w:type="dxa" w:w="2362"/>
            <w:tcMar>
              <w:top w:w="70" w:type="dxa"/>
              <w:start w:w="90" w:type="dxa"/>
              <w:bottom w:w="70" w:type="dxa"/>
              <w:end w:w="90" w:type="dxa"/>
            </w:tcMar>
            <w:vAlign w:val="top"/>
          </w:tcPr>
          <w:p>
            <w:pPr>
              <w:spacing w:after="40" w:line="245" w:lineRule="auto"/>
            </w:pPr>
            <w:r>
              <w:rPr>
                <w:sz w:val="18"/>
              </w:rPr>
              <w:t>Selected decisions</w:t>
            </w:r>
          </w:p>
        </w:tc>
        <w:tc>
          <w:tcPr>
            <w:tcW w:type="dxa" w:w="7920"/>
            <w:tcMar>
              <w:top w:w="70" w:type="dxa"/>
              <w:start w:w="90" w:type="dxa"/>
              <w:bottom w:w="70" w:type="dxa"/>
              <w:end w:w="90" w:type="dxa"/>
            </w:tcMar>
            <w:vAlign w:val="top"/>
          </w:tcPr>
          <w:p>
            <w:pPr>
              <w:spacing w:after="40" w:line="245" w:lineRule="auto"/>
            </w:pPr>
            <w:r>
              <w:rPr>
                <w:sz w:val="18"/>
              </w:rPr>
              <w:t>Sharing, routing, security-edge, management, data, recovery and platform variations have actual dispositions.</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Required engineering schedules</w:t>
            </w:r>
          </w:p>
        </w:tc>
        <w:tc>
          <w:tcPr>
            <w:tcW w:type="dxa" w:w="7920"/>
            <w:tcMar>
              <w:top w:w="70" w:type="dxa"/>
              <w:start w:w="90" w:type="dxa"/>
              <w:bottom w:w="70" w:type="dxa"/>
              <w:end w:w="90" w:type="dxa"/>
            </w:tcMar>
            <w:vAlign w:val="top"/>
            <w:shd w:fill="F4F7F9" w:val="clear"/>
          </w:tcPr>
          <w:p>
            <w:pPr>
              <w:spacing w:after="40" w:line="245" w:lineRule="auto"/>
            </w:pPr>
            <w:r>
              <w:rPr>
                <w:sz w:val="18"/>
              </w:rPr>
              <w:t>Specific resource, port, address, route, flow, identity, storage, capacity and tool records assigned to owners.</w:t>
            </w:r>
          </w:p>
        </w:tc>
      </w:tr>
      <w:tr>
        <w:trPr>
          <w:cantSplit/>
        </w:trPr>
        <w:tc>
          <w:tcPr>
            <w:tcW w:type="dxa" w:w="2362"/>
            <w:tcMar>
              <w:top w:w="70" w:type="dxa"/>
              <w:start w:w="90" w:type="dxa"/>
              <w:bottom w:w="70" w:type="dxa"/>
              <w:end w:w="90" w:type="dxa"/>
            </w:tcMar>
            <w:vAlign w:val="top"/>
          </w:tcPr>
          <w:p>
            <w:pPr>
              <w:spacing w:after="40" w:line="245" w:lineRule="auto"/>
            </w:pPr>
            <w:r>
              <w:rPr>
                <w:sz w:val="18"/>
              </w:rPr>
              <w:t>Verification design</w:t>
            </w:r>
          </w:p>
        </w:tc>
        <w:tc>
          <w:tcPr>
            <w:tcW w:type="dxa" w:w="7920"/>
            <w:tcMar>
              <w:top w:w="70" w:type="dxa"/>
              <w:start w:w="90" w:type="dxa"/>
              <w:bottom w:w="70" w:type="dxa"/>
              <w:end w:w="90" w:type="dxa"/>
            </w:tcMar>
            <w:vAlign w:val="top"/>
          </w:tcPr>
          <w:p>
            <w:pPr>
              <w:spacing w:after="40" w:line="245" w:lineRule="auto"/>
            </w:pPr>
            <w:r>
              <w:rPr>
                <w:sz w:val="18"/>
              </w:rPr>
              <w:t>Each material requirement can be inspected, tested or independently assessed at an identified stage.</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Unresolved issues</w:t>
            </w:r>
          </w:p>
        </w:tc>
        <w:tc>
          <w:tcPr>
            <w:tcW w:type="dxa" w:w="7920"/>
            <w:tcMar>
              <w:top w:w="70" w:type="dxa"/>
              <w:start w:w="90" w:type="dxa"/>
              <w:bottom w:w="70" w:type="dxa"/>
              <w:end w:w="90" w:type="dxa"/>
            </w:tcMar>
            <w:vAlign w:val="top"/>
            <w:shd w:fill="F4F7F9" w:val="clear"/>
          </w:tcPr>
          <w:p>
            <w:pPr>
              <w:spacing w:after="40" w:line="245" w:lineRule="auto"/>
            </w:pPr>
            <w:r>
              <w:rPr>
                <w:sz w:val="18"/>
              </w:rPr>
              <w:t>A named owner, blocking gate, due/review trigger and closure evidence exist for each unresolved choice.</w:t>
            </w:r>
          </w:p>
        </w:tc>
      </w:tr>
    </w:tbl>
    <w:p>
      <w:pPr>
        <w:spacing w:after="0"/>
      </w:pPr>
      <w:r/>
    </w:p>
    <w:p>
      <w:r>
        <w:t>Changes to the adopted architecture require impact review across all dependent engineering and implementation records. A change only to a site address may remain LLD scope; a change to zone sharing, required enforcement, recovery promise or supported service envelope requires architecture/security review.</w:t>
      </w:r>
    </w:p>
    <w:p>
      <w:pPr>
        <w:keepLines/>
        <w:spacing w:before="140" w:after="200"/>
        <w:shd w:fill="EEF5F7" w:val="clear"/>
        <w:pBdr>
          <w:left w:val="single" w:sz="12" w:space="8" w:color="0B6B70"/>
        </w:pBdr>
      </w:pPr>
      <w:r>
        <w:rPr>
          <w:b/>
        </w:rPr>
        <w:t>Architecture kit completion: AK-01–AK-08 reviewed and handed over. This is G0 design adoption for a defined scope—not proof of platform support, commissioning or authorization to operate.</w:t>
      </w:r>
    </w:p>
    <w:sectPr w:rsidR="00FC693F" w:rsidRPr="0006063C" w:rsidSect="00034616">
      <w:headerReference w:type="default" r:id="rId9"/>
      <w:footerReference w:type="default" r:id="rId10"/>
      <w:pgSz w:w="12240" w:h="15840"/>
      <w:pgMar w:top="936" w:right="979" w:bottom="936"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v1.0  •  Architecture baseline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01" TargetMode="External"/><Relationship Id="rId12" Type="http://schemas.openxmlformats.org/officeDocument/2006/relationships/hyperlink" Target="../05_Reference_v1_4/00_Reference_Architecture_v1_4.docx#RA_s_003" TargetMode="External"/><Relationship Id="rId13" Type="http://schemas.openxmlformats.org/officeDocument/2006/relationships/hyperlink" Target="HLD_and_Architecture_Review_Template.docx#AT_01" TargetMode="External"/><Relationship Id="rId14" Type="http://schemas.openxmlformats.org/officeDocument/2006/relationships/hyperlink" Target="../05_Reference_v1_4/00_Reference_Architecture_v1_4.docx#RA_s_002" TargetMode="External"/><Relationship Id="rId15" Type="http://schemas.openxmlformats.org/officeDocument/2006/relationships/hyperlink" Target="../05_Reference_v1_4/00_Reference_Architecture_v1_4.docx#RA_s_014" TargetMode="External"/><Relationship Id="rId16" Type="http://schemas.openxmlformats.org/officeDocument/2006/relationships/hyperlink" Target="HLD_and_Architecture_Review_Template.docx#AT_02" TargetMode="External"/><Relationship Id="rId17" Type="http://schemas.openxmlformats.org/officeDocument/2006/relationships/hyperlink" Target="https://www.cyber.gc.ca/en/guidance/cyber-security-privacy-risk-management/itsp10033/foreword-overview-introduction" TargetMode="External"/><Relationship Id="rId18" Type="http://schemas.openxmlformats.org/officeDocument/2006/relationships/hyperlink" Target="../05_Reference_v1_4/00_Reference_Architecture_v1_4.docx#RA_s_010" TargetMode="External"/><Relationship Id="rId19" Type="http://schemas.openxmlformats.org/officeDocument/2006/relationships/hyperlink" Target="HLD_and_Architecture_Review_Template.docx#AT_03" TargetMode="External"/><Relationship Id="rId20" Type="http://schemas.openxmlformats.org/officeDocument/2006/relationships/hyperlink" Target="../05_Reference_v1_4/00_Reference_Architecture_v1_4.docx#RA_s_006" TargetMode="External"/><Relationship Id="rId21" Type="http://schemas.openxmlformats.org/officeDocument/2006/relationships/hyperlink" Target="../05_Reference_v1_4/00_Reference_Architecture_v1_4.docx#RA_s_007" TargetMode="External"/><Relationship Id="rId22" Type="http://schemas.openxmlformats.org/officeDocument/2006/relationships/hyperlink" Target="../05_Reference_v1_4/00_Reference_Architecture_v1_4.docx#RA_s_008" TargetMode="External"/><Relationship Id="rId23" Type="http://schemas.openxmlformats.org/officeDocument/2006/relationships/hyperlink" Target="HLD_and_Architecture_Review_Template.docx#AT_07" TargetMode="External"/><Relationship Id="rId24" Type="http://schemas.openxmlformats.org/officeDocument/2006/relationships/hyperlink" Target="https://www.cyber.gc.ca/en/guidance/cloud-network-security-zones-itsp80023" TargetMode="External"/><Relationship Id="rId25" Type="http://schemas.openxmlformats.org/officeDocument/2006/relationships/hyperlink" Target="../05_Reference_v1_4/00_Reference_Architecture_v1_4.docx#RA_s_026" TargetMode="External"/><Relationship Id="rId26" Type="http://schemas.openxmlformats.org/officeDocument/2006/relationships/hyperlink" Target="../05_Reference_v1_4/00_Reference_Architecture_v1_4.docx#RA_s_027" TargetMode="External"/><Relationship Id="rId27" Type="http://schemas.openxmlformats.org/officeDocument/2006/relationships/hyperlink" Target="HLD_and_Architecture_Review_Template.docx#AT_08" TargetMode="External"/><Relationship Id="rId28" Type="http://schemas.openxmlformats.org/officeDocument/2006/relationships/hyperlink" Target="../05_Reference_v1_4/00_Reference_Architecture_v1_4.docx#RA_s_015" TargetMode="External"/><Relationship Id="rId29" Type="http://schemas.openxmlformats.org/officeDocument/2006/relationships/hyperlink" Target="../05_Reference_v1_4/00_Reference_Architecture_v1_4.docx#RA_s_020" TargetMode="External"/><Relationship Id="rId30" Type="http://schemas.openxmlformats.org/officeDocument/2006/relationships/hyperlink" Target="../05_Reference_v1_4/00_Reference_Architecture_v1_4.docx#RA_s_024" TargetMode="External"/><Relationship Id="rId31" Type="http://schemas.openxmlformats.org/officeDocument/2006/relationships/hyperlink" Target="HLD_and_Architecture_Review_Template.docx#AT_09" TargetMode="External"/><Relationship Id="rId32" Type="http://schemas.openxmlformats.org/officeDocument/2006/relationships/hyperlink" Target="../02_Engineering/Vendor_Realization_Cards.docx#VC_01" TargetMode="External"/><Relationship Id="rId33" Type="http://schemas.openxmlformats.org/officeDocument/2006/relationships/hyperlink" Target="../03_Implementation/Implementation_Kit.docx#IK_02" TargetMode="External"/><Relationship Id="rId34" Type="http://schemas.openxmlformats.org/officeDocument/2006/relationships/hyperlink" Target="../05_Reference_v1_4/00_Reference_Architecture_v1_4.docx#RA_s_029" TargetMode="External"/><Relationship Id="rId35" Type="http://schemas.openxmlformats.org/officeDocument/2006/relationships/hyperlink" Target="../05_Reference_v1_4/01_Gap_Map_and_Decision_Register_v1_4.docx#GM_s_004" TargetMode="External"/><Relationship Id="rId36" Type="http://schemas.openxmlformats.org/officeDocument/2006/relationships/hyperlink" Target="HLD_and_Architecture_Review_Template.docx#AT_06" TargetMode="External"/><Relationship Id="rId37" Type="http://schemas.openxmlformats.org/officeDocument/2006/relationships/hyperlink" Target="../05_Reference_v1_4/00_Reference_Architecture_v1_4.docx#RA_s_030" TargetMode="External"/><Relationship Id="rId38" Type="http://schemas.openxmlformats.org/officeDocument/2006/relationships/hyperlink" Target="../05_Reference_v1_4/06_Site_Design_Qualification_and_Operations_v1_4.docx#QUAL_s_002" TargetMode="External"/><Relationship Id="rId39" Type="http://schemas.openxmlformats.org/officeDocument/2006/relationships/hyperlink" Target="HLD_and_Architecture_Review_Template.docx#AT_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Kit — Design, Decisions and Approval</dc:title>
  <dc:subject>Infrastructure architecture, engineering and implementation delivery kit</dc:subject>
  <dc:creator/>
  <cp:keywords>Portable hosting, infrastructure, architecture, engineering, implementation</cp:keywords>
  <dc:description/>
  <cp:lastModifiedBy/>
  <cp:revision>1</cp:revision>
  <dcterms:created xsi:type="dcterms:W3CDTF">2013-12-23T23:15:00Z</dcterms:created>
  <dcterms:modified xsi:type="dcterms:W3CDTF">2013-12-23T23:15:00Z</dcterms:modified>
  <cp:category/>
</cp:coreProperties>
</file>