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DELIVERY KIT  /  EK</w:t>
      </w:r>
    </w:p>
    <w:p>
      <w:pPr>
        <w:pStyle w:val="Title"/>
      </w:pPr>
      <w:r>
        <w:t>Engineering Kit — Buildable Design and Verification</w:t>
      </w:r>
    </w:p>
    <w:p>
      <w:pPr>
        <w:pStyle w:val="Subtitle"/>
      </w:pPr>
      <w:r>
        <w:t>Turn approved architecture into a design an implementation team can execute without guessing.</w:t>
      </w:r>
    </w:p>
    <w:p>
      <w:r>
        <w:t>Kit v1.0 • 16 September 2026 • Aligned to the frozen v1.4 reference architecture</w:t>
      </w:r>
    </w:p>
    <w:p>
      <w:pPr>
        <w:keepLines/>
        <w:spacing w:before="140" w:after="200"/>
        <w:shd w:fill="EEF5F7" w:val="clear"/>
        <w:pBdr>
          <w:left w:val="single" w:sz="12" w:space="8" w:color="0B6B70"/>
        </w:pBdr>
      </w:pPr>
      <w:r>
        <w:rPr>
          <w:b/>
        </w:rPr>
        <w:t>Working kit, not an approved site design or deployed platform. Templates, reference examples and live evidence are separate records.</w:t>
      </w:r>
    </w:p>
    <w:p>
      <w:r>
        <w:t>Use Engineering_Schedules.xlsx for working schedules and calculations, ET for the controlled design and review, and VC for native realization decisions. Keep example route and capacity sheets separate from actual site schedules.</w:t>
      </w:r>
    </w:p>
    <w:p>
      <w:pPr>
        <w:pStyle w:val="Heading2"/>
      </w:pPr>
      <w:r>
        <w:t>Section links</w:t>
      </w:r>
    </w:p>
    <w:p>
      <w:pPr>
        <w:spacing w:after="60"/>
      </w:pPr>
      <w:r/>
      <w:hyperlink w:anchor="EK_01">
        <w:r>
          <w:rPr>
            <w:color w:val="0B6B70"/>
            <w:u w:val="single"/>
          </w:rPr>
          <w:t>1. Engineering work plan and release boundary</w:t>
        </w:r>
      </w:hyperlink>
    </w:p>
    <w:p>
      <w:pPr>
        <w:spacing w:after="60"/>
      </w:pPr>
      <w:r/>
      <w:hyperlink w:anchor="EK_02">
        <w:r>
          <w:rPr>
            <w:color w:val="0B6B70"/>
            <w:u w:val="single"/>
          </w:rPr>
          <w:t>2. Site, equipment and physical foundation</w:t>
        </w:r>
      </w:hyperlink>
    </w:p>
    <w:p>
      <w:pPr>
        <w:spacing w:after="60"/>
      </w:pPr>
      <w:r/>
      <w:hyperlink w:anchor="EK_03">
        <w:r>
          <w:rPr>
            <w:color w:val="0B6B70"/>
            <w:u w:val="single"/>
          </w:rPr>
          <w:t>3. Addressing, routing, policy and attachment schedules</w:t>
        </w:r>
      </w:hyperlink>
    </w:p>
    <w:p>
      <w:pPr>
        <w:spacing w:after="60"/>
      </w:pPr>
      <w:r/>
      <w:hyperlink w:anchor="EK_04">
        <w:r>
          <w:rPr>
            <w:color w:val="0B6B70"/>
            <w:u w:val="single"/>
          </w:rPr>
          <w:t>4. Compute, storage and protected data</w:t>
        </w:r>
      </w:hyperlink>
    </w:p>
    <w:p>
      <w:pPr>
        <w:spacing w:after="60"/>
      </w:pPr>
      <w:r/>
      <w:hyperlink w:anchor="EK_05">
        <w:r>
          <w:rPr>
            <w:color w:val="0B6B70"/>
            <w:u w:val="single"/>
          </w:rPr>
          <w:t>5. Management and shared-service interfaces</w:t>
        </w:r>
      </w:hyperlink>
    </w:p>
    <w:p>
      <w:pPr>
        <w:spacing w:after="60"/>
      </w:pPr>
      <w:r/>
      <w:hyperlink w:anchor="EK_06">
        <w:r>
          <w:rPr>
            <w:color w:val="0B6B70"/>
            <w:u w:val="single"/>
          </w:rPr>
          <w:t>6. Capacity, MTU, performance and failure analysis</w:t>
        </w:r>
      </w:hyperlink>
    </w:p>
    <w:p>
      <w:pPr>
        <w:spacing w:after="60"/>
      </w:pPr>
      <w:r/>
      <w:hyperlink w:anchor="EK_07">
        <w:r>
          <w:rPr>
            <w:color w:val="0B6B70"/>
            <w:u w:val="single"/>
          </w:rPr>
          <w:t>7. Supported stack and provisioning operation coverage</w:t>
        </w:r>
      </w:hyperlink>
    </w:p>
    <w:p>
      <w:pPr>
        <w:spacing w:after="60"/>
      </w:pPr>
      <w:r/>
      <w:hyperlink w:anchor="EK_08">
        <w:r>
          <w:rPr>
            <w:color w:val="0B6B70"/>
            <w:u w:val="single"/>
          </w:rPr>
          <w:t>8. Build, test and implementation handoff</w:t>
        </w:r>
      </w:hyperlink>
    </w:p>
    <w:p>
      <w:pPr>
        <w:pStyle w:val="Caption"/>
      </w:pPr>
      <w:r>
        <w:t>All additional process guidance is proposed kit practice. RA/WD references identify baseline-derived architecture; K references identify external mechanism checks. No site values or approval signatures are supplied.</w:t>
      </w:r>
    </w:p>
    <w:p>
      <w:r>
        <w:br w:type="page"/>
      </w:r>
    </w:p>
    <w:p>
      <w:pPr>
        <w:pStyle w:val="Heading1"/>
      </w:pPr>
      <w:r>
        <w:t>1. Engineering work plan and release boundary</w:t>
      </w:r>
      <w:bookmarkStart w:id="1000" w:name="EK_01"/>
      <w:bookmarkEnd w:id="1000"/>
    </w:p>
    <w:p>
      <w:r>
        <w:t>Engineering supplies exact parameters, native resource choices, compatibility evidence and reproducible build/verification instructions. It does not silently change the approved sharing model or service promise.</w:t>
      </w:r>
    </w:p>
    <w:p>
      <w:pPr>
        <w:pStyle w:val="Caption"/>
      </w:pPr>
      <w:r>
        <w:t xml:space="preserve">Baseline and related records: </w:t>
      </w:r>
      <w:hyperlink r:id="rId11">
        <w:r>
          <w:rPr>
            <w:color w:val="0B6B70"/>
            <w:u w:val="single"/>
          </w:rPr>
          <w:t>RA §30</w:t>
        </w:r>
      </w:hyperlink>
      <w:r>
        <w:t xml:space="preserve">  •  </w:t>
      </w:r>
      <w:hyperlink r:id="rId12">
        <w:r>
          <w:rPr>
            <w:color w:val="0B6B70"/>
            <w:u w:val="single"/>
          </w:rPr>
          <w:t>QUAL §2</w:t>
        </w:r>
      </w:hyperlink>
      <w:r>
        <w:t xml:space="preserve">  •  </w:t>
      </w:r>
      <w:hyperlink r:id="rId13">
        <w:r>
          <w:rPr>
            <w:color w:val="0B6B70"/>
            <w:u w:val="single"/>
          </w:rPr>
          <w:t>ET §1</w:t>
        </w:r>
      </w:hyperlink>
    </w:p>
    <w:tbl>
      <w:tblPr>
        <w:tblW w:type="auto" w:w="0"/>
        <w:jc w:val="center"/>
        <w:tblLayout w:type="fixed"/>
        <w:tblLook w:firstColumn="1" w:firstRow="1" w:lastColumn="0" w:lastRow="0" w:noHBand="0" w:noVBand="1" w:val="04A0"/>
      </w:tblPr>
      <w:tblGrid>
        <w:gridCol w:w="2448"/>
        <w:gridCol w:w="3946"/>
        <w:gridCol w:w="3888"/>
      </w:tblGrid>
      <w:tr>
        <w:trPr>
          <w:tblHeader/>
        </w:trPr>
        <w:tc>
          <w:tcPr>
            <w:tcW w:type="dxa" w:w="2448"/>
            <w:shd w:fill="15384A" w:val="clear"/>
            <w:tcMar>
              <w:top w:w="70" w:type="dxa"/>
              <w:start w:w="90" w:type="dxa"/>
              <w:bottom w:w="70" w:type="dxa"/>
              <w:end w:w="90" w:type="dxa"/>
            </w:tcMar>
          </w:tcPr>
          <w:p>
            <w:r>
              <w:rPr>
                <w:b/>
                <w:color w:val="FFFFFF"/>
                <w:sz w:val="18"/>
              </w:rPr>
              <w:t>Engineering output</w:t>
            </w:r>
          </w:p>
        </w:tc>
        <w:tc>
          <w:tcPr>
            <w:tcW w:type="dxa" w:w="3946"/>
            <w:shd w:fill="15384A" w:val="clear"/>
            <w:tcMar>
              <w:top w:w="70" w:type="dxa"/>
              <w:start w:w="90" w:type="dxa"/>
              <w:bottom w:w="70" w:type="dxa"/>
              <w:end w:w="90" w:type="dxa"/>
            </w:tcMar>
          </w:tcPr>
          <w:p>
            <w:r>
              <w:rPr>
                <w:b/>
                <w:color w:val="FFFFFF"/>
                <w:sz w:val="18"/>
              </w:rPr>
              <w:t>Required inputs</w:t>
            </w:r>
          </w:p>
        </w:tc>
        <w:tc>
          <w:tcPr>
            <w:tcW w:type="dxa" w:w="3888"/>
            <w:shd w:fill="15384A" w:val="clear"/>
            <w:tcMar>
              <w:top w:w="70" w:type="dxa"/>
              <w:start w:w="90" w:type="dxa"/>
              <w:bottom w:w="70" w:type="dxa"/>
              <w:end w:w="90" w:type="dxa"/>
            </w:tcMar>
          </w:tcPr>
          <w:p>
            <w:r>
              <w:rPr>
                <w:b/>
                <w:color w:val="FFFFFF"/>
                <w:sz w:val="18"/>
              </w:rPr>
              <w:t>Buildable when</w:t>
            </w:r>
          </w:p>
        </w:tc>
      </w:tr>
      <w:tr>
        <w:trPr>
          <w:cantSplit/>
        </w:trPr>
        <w:tc>
          <w:tcPr>
            <w:tcW w:type="dxa" w:w="2448"/>
            <w:tcMar>
              <w:top w:w="70" w:type="dxa"/>
              <w:start w:w="90" w:type="dxa"/>
              <w:bottom w:w="70" w:type="dxa"/>
              <w:end w:w="90" w:type="dxa"/>
            </w:tcMar>
            <w:vAlign w:val="top"/>
          </w:tcPr>
          <w:p>
            <w:pPr>
              <w:spacing w:after="40" w:line="245" w:lineRule="auto"/>
            </w:pPr>
            <w:r>
              <w:rPr>
                <w:sz w:val="18"/>
              </w:rPr>
              <w:t>Site and physical plan</w:t>
            </w:r>
          </w:p>
        </w:tc>
        <w:tc>
          <w:tcPr>
            <w:tcW w:type="dxa" w:w="3946"/>
            <w:tcMar>
              <w:top w:w="70" w:type="dxa"/>
              <w:start w:w="90" w:type="dxa"/>
              <w:bottom w:w="70" w:type="dxa"/>
              <w:end w:w="90" w:type="dxa"/>
            </w:tcMar>
            <w:vAlign w:val="top"/>
          </w:tcPr>
          <w:p>
            <w:pPr>
              <w:spacing w:after="40" w:line="245" w:lineRule="auto"/>
            </w:pPr>
            <w:r>
              <w:rPr>
                <w:sz w:val="18"/>
              </w:rPr>
              <w:t>Adopted site/cell scope, inventory, facility protections and failure model.</w:t>
            </w:r>
          </w:p>
        </w:tc>
        <w:tc>
          <w:tcPr>
            <w:tcW w:type="dxa" w:w="3888"/>
            <w:tcMar>
              <w:top w:w="70" w:type="dxa"/>
              <w:start w:w="90" w:type="dxa"/>
              <w:bottom w:w="70" w:type="dxa"/>
              <w:end w:w="90" w:type="dxa"/>
            </w:tcMar>
            <w:vAlign w:val="top"/>
          </w:tcPr>
          <w:p>
            <w:pPr>
              <w:spacing w:after="40" w:line="245" w:lineRule="auto"/>
            </w:pPr>
            <w:r>
              <w:rPr>
                <w:sz w:val="18"/>
              </w:rPr>
              <w:t>Every device/link has a role, endpoint, owner and supported configuration basis.</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Logical/network/security plan</w:t>
            </w:r>
          </w:p>
        </w:tc>
        <w:tc>
          <w:tcPr>
            <w:tcW w:type="dxa" w:w="3946"/>
            <w:tcMar>
              <w:top w:w="70" w:type="dxa"/>
              <w:start w:w="90" w:type="dxa"/>
              <w:bottom w:w="70" w:type="dxa"/>
              <w:end w:w="90" w:type="dxa"/>
            </w:tcMar>
            <w:vAlign w:val="top"/>
            <w:shd w:fill="F4F7F9" w:val="clear"/>
          </w:tcPr>
          <w:p>
            <w:pPr>
              <w:spacing w:after="40" w:line="245" w:lineRule="auto"/>
            </w:pPr>
            <w:r>
              <w:rPr>
                <w:sz w:val="18"/>
              </w:rPr>
              <w:t>Domains, service flows, ZIP decisions and family requirements.</w:t>
            </w:r>
          </w:p>
        </w:tc>
        <w:tc>
          <w:tcPr>
            <w:tcW w:type="dxa" w:w="3888"/>
            <w:tcMar>
              <w:top w:w="70" w:type="dxa"/>
              <w:start w:w="90" w:type="dxa"/>
              <w:bottom w:w="70" w:type="dxa"/>
              <w:end w:w="90" w:type="dxa"/>
            </w:tcMar>
            <w:vAlign w:val="top"/>
            <w:shd w:fill="F4F7F9" w:val="clear"/>
          </w:tcPr>
          <w:p>
            <w:pPr>
              <w:spacing w:after="40" w:line="245" w:lineRule="auto"/>
            </w:pPr>
            <w:r>
              <w:rPr>
                <w:sz w:val="18"/>
              </w:rPr>
              <w:t>Every next hop, return path, enforcement point and rejected alternative is explainable.</w:t>
            </w:r>
          </w:p>
        </w:tc>
      </w:tr>
      <w:tr>
        <w:trPr>
          <w:cantSplit/>
        </w:trPr>
        <w:tc>
          <w:tcPr>
            <w:tcW w:type="dxa" w:w="2448"/>
            <w:tcMar>
              <w:top w:w="70" w:type="dxa"/>
              <w:start w:w="90" w:type="dxa"/>
              <w:bottom w:w="70" w:type="dxa"/>
              <w:end w:w="90" w:type="dxa"/>
            </w:tcMar>
            <w:vAlign w:val="top"/>
          </w:tcPr>
          <w:p>
            <w:pPr>
              <w:spacing w:after="40" w:line="245" w:lineRule="auto"/>
            </w:pPr>
            <w:r>
              <w:rPr>
                <w:sz w:val="18"/>
              </w:rPr>
              <w:t>Resource/service plan</w:t>
            </w:r>
          </w:p>
        </w:tc>
        <w:tc>
          <w:tcPr>
            <w:tcW w:type="dxa" w:w="3946"/>
            <w:tcMar>
              <w:top w:w="70" w:type="dxa"/>
              <w:start w:w="90" w:type="dxa"/>
              <w:bottom w:w="70" w:type="dxa"/>
              <w:end w:w="90" w:type="dxa"/>
            </w:tcMar>
            <w:vAlign w:val="top"/>
          </w:tcPr>
          <w:p>
            <w:pPr>
              <w:spacing w:after="40" w:line="245" w:lineRule="auto"/>
            </w:pPr>
            <w:r>
              <w:rPr>
                <w:sz w:val="18"/>
              </w:rPr>
              <w:t>Compute/data classes, identity/key/protection and recovery constraints.</w:t>
            </w:r>
          </w:p>
        </w:tc>
        <w:tc>
          <w:tcPr>
            <w:tcW w:type="dxa" w:w="3888"/>
            <w:tcMar>
              <w:top w:w="70" w:type="dxa"/>
              <w:start w:w="90" w:type="dxa"/>
              <w:bottom w:w="70" w:type="dxa"/>
              <w:end w:w="90" w:type="dxa"/>
            </w:tcMar>
            <w:vAlign w:val="top"/>
          </w:tcPr>
          <w:p>
            <w:pPr>
              <w:spacing w:after="40" w:line="245" w:lineRule="auto"/>
            </w:pPr>
            <w:r>
              <w:rPr>
                <w:sz w:val="18"/>
              </w:rPr>
              <w:t>Actual pool/backend/role/copy membership and measured capacities are explicit.</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Tool and lifecycle plan</w:t>
            </w:r>
          </w:p>
        </w:tc>
        <w:tc>
          <w:tcPr>
            <w:tcW w:type="dxa" w:w="3946"/>
            <w:tcMar>
              <w:top w:w="70" w:type="dxa"/>
              <w:start w:w="90" w:type="dxa"/>
              <w:bottom w:w="70" w:type="dxa"/>
              <w:end w:w="90" w:type="dxa"/>
            </w:tcMar>
            <w:vAlign w:val="top"/>
            <w:shd w:fill="F4F7F9" w:val="clear"/>
          </w:tcPr>
          <w:p>
            <w:pPr>
              <w:spacing w:after="40" w:line="245" w:lineRule="auto"/>
            </w:pPr>
            <w:r>
              <w:rPr>
                <w:sz w:val="18"/>
              </w:rPr>
              <w:t>Exact products/APIs/providers and native installation ownership.</w:t>
            </w:r>
          </w:p>
        </w:tc>
        <w:tc>
          <w:tcPr>
            <w:tcW w:type="dxa" w:w="3888"/>
            <w:tcMar>
              <w:top w:w="70" w:type="dxa"/>
              <w:start w:w="90" w:type="dxa"/>
              <w:bottom w:w="70" w:type="dxa"/>
              <w:end w:w="90" w:type="dxa"/>
            </w:tcMar>
            <w:vAlign w:val="top"/>
            <w:shd w:fill="F4F7F9" w:val="clear"/>
          </w:tcPr>
          <w:p>
            <w:pPr>
              <w:spacing w:after="40" w:line="245" w:lineRule="auto"/>
            </w:pPr>
            <w:r>
              <w:rPr>
                <w:sz w:val="18"/>
              </w:rPr>
              <w:t>All required lifecycle operations have supported ownership and failure treatment.</w:t>
            </w:r>
          </w:p>
        </w:tc>
      </w:tr>
      <w:tr>
        <w:trPr>
          <w:cantSplit/>
        </w:trPr>
        <w:tc>
          <w:tcPr>
            <w:tcW w:type="dxa" w:w="2448"/>
            <w:tcMar>
              <w:top w:w="70" w:type="dxa"/>
              <w:start w:w="90" w:type="dxa"/>
              <w:bottom w:w="70" w:type="dxa"/>
              <w:end w:w="90" w:type="dxa"/>
            </w:tcMar>
            <w:vAlign w:val="top"/>
          </w:tcPr>
          <w:p>
            <w:pPr>
              <w:spacing w:after="40" w:line="245" w:lineRule="auto"/>
            </w:pPr>
            <w:r>
              <w:rPr>
                <w:sz w:val="18"/>
              </w:rPr>
              <w:t>Release/test pack</w:t>
            </w:r>
          </w:p>
        </w:tc>
        <w:tc>
          <w:tcPr>
            <w:tcW w:type="dxa" w:w="3946"/>
            <w:tcMar>
              <w:top w:w="70" w:type="dxa"/>
              <w:start w:w="90" w:type="dxa"/>
              <w:bottom w:w="70" w:type="dxa"/>
              <w:end w:w="90" w:type="dxa"/>
            </w:tcMar>
            <w:vAlign w:val="top"/>
          </w:tcPr>
          <w:p>
            <w:pPr>
              <w:spacing w:after="40" w:line="245" w:lineRule="auto"/>
            </w:pPr>
            <w:r>
              <w:rPr>
                <w:sz w:val="18"/>
              </w:rPr>
              <w:t>Current LLD, artifacts, MOP, test scope and expected outcomes.</w:t>
            </w:r>
          </w:p>
        </w:tc>
        <w:tc>
          <w:tcPr>
            <w:tcW w:type="dxa" w:w="3888"/>
            <w:tcMar>
              <w:top w:w="70" w:type="dxa"/>
              <w:start w:w="90" w:type="dxa"/>
              <w:bottom w:w="70" w:type="dxa"/>
              <w:end w:w="90" w:type="dxa"/>
            </w:tcMar>
            <w:vAlign w:val="top"/>
          </w:tcPr>
          <w:p>
            <w:pPr>
              <w:spacing w:after="40" w:line="245" w:lineRule="auto"/>
            </w:pPr>
            <w:r>
              <w:rPr>
                <w:sz w:val="18"/>
              </w:rPr>
              <w:t>Implementers can execute controlled steps and capture the required observations.</w:t>
            </w:r>
          </w:p>
        </w:tc>
      </w:tr>
    </w:tbl>
    <w:p>
      <w:pPr>
        <w:spacing w:after="0"/>
      </w:pPr>
      <w:r/>
    </w:p>
    <w:p>
      <w:r>
        <w:t>Use EK-01–EK-09 as deliverable IDs. The actual site configuration, bill of materials and command/API artifacts are produced from approved values, never from documentation addresses. Unresolved site values remain explicit blockers at their relevant stage.</w:t>
      </w:r>
    </w:p>
    <w:p>
      <w:pPr>
        <w:keepLines/>
        <w:spacing w:before="140" w:after="200"/>
        <w:shd w:fill="EEF5F7" w:val="clear"/>
        <w:pBdr>
          <w:left w:val="single" w:sz="12" w:space="8" w:color="0B6B70"/>
        </w:pBdr>
      </w:pPr>
      <w:r>
        <w:rPr>
          <w:b/>
        </w:rPr>
        <w:t>Engineering release is not platform qualification. A supported design still needs actual build results, boundary tests, performance and recovery evidence.</w:t>
      </w:r>
    </w:p>
    <w:p>
      <w:r>
        <w:br w:type="page"/>
      </w:r>
    </w:p>
    <w:p>
      <w:pPr>
        <w:pStyle w:val="Heading1"/>
      </w:pPr>
      <w:r>
        <w:t>2. Site, equipment and physical foundation</w:t>
      </w:r>
      <w:bookmarkStart w:id="1001" w:name="EK_02"/>
      <w:bookmarkEnd w:id="1001"/>
    </w:p>
    <w:p>
      <w:r>
        <w:t>The physical design supplies the inventory behind the logical diagrams. Shared power, rack, uplink, storage or management dependencies must be visible before redundancy is claimed.</w:t>
      </w:r>
    </w:p>
    <w:p>
      <w:pPr>
        <w:pStyle w:val="Caption"/>
      </w:pPr>
      <w:r>
        <w:t xml:space="preserve">Baseline and related records: </w:t>
      </w:r>
      <w:hyperlink r:id="rId14">
        <w:r>
          <w:rPr>
            <w:color w:val="0B6B70"/>
            <w:u w:val="single"/>
          </w:rPr>
          <w:t>RA §3</w:t>
        </w:r>
      </w:hyperlink>
      <w:r>
        <w:t xml:space="preserve">  •  </w:t>
      </w:r>
      <w:hyperlink r:id="rId15">
        <w:r>
          <w:rPr>
            <w:color w:val="0B6B70"/>
            <w:u w:val="single"/>
          </w:rPr>
          <w:t>RA §4</w:t>
        </w:r>
      </w:hyperlink>
      <w:r>
        <w:t xml:space="preserve">  •  </w:t>
      </w:r>
      <w:hyperlink r:id="rId16">
        <w:r>
          <w:rPr>
            <w:color w:val="0B6B70"/>
            <w:u w:val="single"/>
          </w:rPr>
          <w:t>RA §5</w:t>
        </w:r>
      </w:hyperlink>
      <w:r>
        <w:t xml:space="preserve">  •  </w:t>
      </w:r>
      <w:hyperlink r:id="rId17">
        <w:r>
          <w:rPr>
            <w:color w:val="0B6B70"/>
            <w:u w:val="single"/>
          </w:rPr>
          <w:t>ET §2</w:t>
        </w:r>
      </w:hyperlink>
    </w:p>
    <w:tbl>
      <w:tblPr>
        <w:tblW w:type="auto" w:w="0"/>
        <w:jc w:val="center"/>
        <w:tblLayout w:type="fixed"/>
        <w:tblLook w:firstColumn="1" w:firstRow="1" w:lastColumn="0" w:lastRow="0" w:noHBand="0" w:noVBand="1" w:val="04A0"/>
      </w:tblPr>
      <w:tblGrid>
        <w:gridCol w:w="2506"/>
        <w:gridCol w:w="7776"/>
      </w:tblGrid>
      <w:tr>
        <w:trPr>
          <w:tblHeader/>
        </w:trPr>
        <w:tc>
          <w:tcPr>
            <w:tcW w:type="dxa" w:w="2506"/>
            <w:shd w:fill="15384A" w:val="clear"/>
            <w:tcMar>
              <w:top w:w="70" w:type="dxa"/>
              <w:start w:w="90" w:type="dxa"/>
              <w:bottom w:w="70" w:type="dxa"/>
              <w:end w:w="90" w:type="dxa"/>
            </w:tcMar>
          </w:tcPr>
          <w:p>
            <w:r>
              <w:rPr>
                <w:b/>
                <w:color w:val="FFFFFF"/>
                <w:sz w:val="18"/>
              </w:rPr>
              <w:t>Schedule</w:t>
            </w:r>
          </w:p>
        </w:tc>
        <w:tc>
          <w:tcPr>
            <w:tcW w:type="dxa" w:w="7776"/>
            <w:shd w:fill="15384A" w:val="clear"/>
            <w:tcMar>
              <w:top w:w="70" w:type="dxa"/>
              <w:start w:w="90" w:type="dxa"/>
              <w:bottom w:w="70" w:type="dxa"/>
              <w:end w:w="90" w:type="dxa"/>
            </w:tcMar>
          </w:tcPr>
          <w:p>
            <w:r>
              <w:rPr>
                <w:b/>
                <w:color w:val="FFFFFF"/>
                <w:sz w:val="18"/>
              </w:rPr>
              <w:t>Required fields / engineering checks</w:t>
            </w:r>
          </w:p>
        </w:tc>
      </w:tr>
      <w:tr>
        <w:trPr>
          <w:cantSplit/>
        </w:trPr>
        <w:tc>
          <w:tcPr>
            <w:tcW w:type="dxa" w:w="2506"/>
            <w:tcMar>
              <w:top w:w="70" w:type="dxa"/>
              <w:start w:w="90" w:type="dxa"/>
              <w:bottom w:w="70" w:type="dxa"/>
              <w:end w:w="90" w:type="dxa"/>
            </w:tcMar>
            <w:vAlign w:val="top"/>
          </w:tcPr>
          <w:p>
            <w:pPr>
              <w:spacing w:after="40" w:line="245" w:lineRule="auto"/>
            </w:pPr>
            <w:r>
              <w:rPr>
                <w:sz w:val="18"/>
              </w:rPr>
              <w:t>Equipment and bill of materials</w:t>
            </w:r>
          </w:p>
        </w:tc>
        <w:tc>
          <w:tcPr>
            <w:tcW w:type="dxa" w:w="7776"/>
            <w:tcMar>
              <w:top w:w="70" w:type="dxa"/>
              <w:start w:w="90" w:type="dxa"/>
              <w:bottom w:w="70" w:type="dxa"/>
              <w:end w:w="90" w:type="dxa"/>
            </w:tcMar>
            <w:vAlign w:val="top"/>
          </w:tcPr>
          <w:p>
            <w:pPr>
              <w:spacing w:after="40" w:line="245" w:lineRule="auto"/>
            </w:pPr>
            <w:r>
              <w:rPr>
                <w:sz w:val="18"/>
              </w:rPr>
              <w:t>Asset role, model/quantity, CPU/memory/storage/NIC, firmware, rails/optics/cables, support/entitlement, spare policy and procurement assumption.</w:t>
            </w:r>
          </w:p>
        </w:tc>
      </w:tr>
      <w:tr>
        <w:trPr>
          <w:cantSplit/>
        </w:trPr>
        <w:tc>
          <w:tcPr>
            <w:tcW w:type="dxa" w:w="2506"/>
            <w:tcMar>
              <w:top w:w="70" w:type="dxa"/>
              <w:start w:w="90" w:type="dxa"/>
              <w:bottom w:w="70" w:type="dxa"/>
              <w:end w:w="90" w:type="dxa"/>
            </w:tcMar>
            <w:vAlign w:val="top"/>
            <w:shd w:fill="F4F7F9" w:val="clear"/>
          </w:tcPr>
          <w:p>
            <w:pPr>
              <w:spacing w:after="40" w:line="245" w:lineRule="auto"/>
            </w:pPr>
            <w:r>
              <w:rPr>
                <w:sz w:val="18"/>
              </w:rPr>
              <w:t>Rack and facility allocation</w:t>
            </w:r>
          </w:p>
        </w:tc>
        <w:tc>
          <w:tcPr>
            <w:tcW w:type="dxa" w:w="7776"/>
            <w:tcMar>
              <w:top w:w="70" w:type="dxa"/>
              <w:start w:w="90" w:type="dxa"/>
              <w:bottom w:w="70" w:type="dxa"/>
              <w:end w:w="90" w:type="dxa"/>
            </w:tcMar>
            <w:vAlign w:val="top"/>
            <w:shd w:fill="F4F7F9" w:val="clear"/>
          </w:tcPr>
          <w:p>
            <w:pPr>
              <w:spacing w:after="40" w:line="245" w:lineRule="auto"/>
            </w:pPr>
            <w:r>
              <w:rPr>
                <w:sz w:val="18"/>
              </w:rPr>
              <w:t>Rack/U position, power-feed assignment, load/cooling capacity, access restrictions, dependency group and facility acceptance reference.</w:t>
            </w:r>
          </w:p>
        </w:tc>
      </w:tr>
      <w:tr>
        <w:trPr>
          <w:cantSplit/>
        </w:trPr>
        <w:tc>
          <w:tcPr>
            <w:tcW w:type="dxa" w:w="2506"/>
            <w:tcMar>
              <w:top w:w="70" w:type="dxa"/>
              <w:start w:w="90" w:type="dxa"/>
              <w:bottom w:w="70" w:type="dxa"/>
              <w:end w:w="90" w:type="dxa"/>
            </w:tcMar>
            <w:vAlign w:val="top"/>
          </w:tcPr>
          <w:p>
            <w:pPr>
              <w:spacing w:after="40" w:line="245" w:lineRule="auto"/>
            </w:pPr>
            <w:r>
              <w:rPr>
                <w:sz w:val="18"/>
              </w:rPr>
              <w:t>Ports and cables</w:t>
            </w:r>
          </w:p>
        </w:tc>
        <w:tc>
          <w:tcPr>
            <w:tcW w:type="dxa" w:w="7776"/>
            <w:tcMar>
              <w:top w:w="70" w:type="dxa"/>
              <w:start w:w="90" w:type="dxa"/>
              <w:bottom w:w="70" w:type="dxa"/>
              <w:end w:w="90" w:type="dxa"/>
            </w:tcMar>
            <w:vAlign w:val="top"/>
          </w:tcPr>
          <w:p>
            <w:pPr>
              <w:spacing w:after="40" w:line="245" w:lineRule="auto"/>
            </w:pPr>
            <w:r>
              <w:rPr>
                <w:sz w:val="18"/>
              </w:rPr>
              <w:t>Link ID; both devices and ports; medium/speed/length; optic compatibility; host team or LAG; VLAN/transport role; labeling and test record.</w:t>
            </w:r>
          </w:p>
        </w:tc>
      </w:tr>
      <w:tr>
        <w:trPr>
          <w:cantSplit/>
        </w:trPr>
        <w:tc>
          <w:tcPr>
            <w:tcW w:type="dxa" w:w="2506"/>
            <w:tcMar>
              <w:top w:w="70" w:type="dxa"/>
              <w:start w:w="90" w:type="dxa"/>
              <w:bottom w:w="70" w:type="dxa"/>
              <w:end w:w="90" w:type="dxa"/>
            </w:tcMar>
            <w:vAlign w:val="top"/>
            <w:shd w:fill="F4F7F9" w:val="clear"/>
          </w:tcPr>
          <w:p>
            <w:pPr>
              <w:spacing w:after="40" w:line="245" w:lineRule="auto"/>
            </w:pPr>
            <w:r>
              <w:rPr>
                <w:sz w:val="18"/>
              </w:rPr>
              <w:t>Fabric and borders</w:t>
            </w:r>
          </w:p>
        </w:tc>
        <w:tc>
          <w:tcPr>
            <w:tcW w:type="dxa" w:w="7776"/>
            <w:tcMar>
              <w:top w:w="70" w:type="dxa"/>
              <w:start w:w="90" w:type="dxa"/>
              <w:bottom w:w="70" w:type="dxa"/>
              <w:end w:w="90" w:type="dxa"/>
            </w:tcMar>
            <w:vAlign w:val="top"/>
            <w:shd w:fill="F4F7F9" w:val="clear"/>
          </w:tcPr>
          <w:p>
            <w:pPr>
              <w:spacing w:after="40" w:line="245" w:lineRule="auto"/>
            </w:pPr>
            <w:r>
              <w:rPr>
                <w:sz w:val="18"/>
              </w:rPr>
              <w:t>Topology, loopbacks/link addresses, ASNs, neighbour/import/export policy, ECMP, optional EVPN RD/RT/VNI authority and external handoff.</w:t>
            </w:r>
          </w:p>
        </w:tc>
      </w:tr>
      <w:tr>
        <w:trPr>
          <w:cantSplit/>
        </w:trPr>
        <w:tc>
          <w:tcPr>
            <w:tcW w:type="dxa" w:w="2506"/>
            <w:tcMar>
              <w:top w:w="70" w:type="dxa"/>
              <w:start w:w="90" w:type="dxa"/>
              <w:bottom w:w="70" w:type="dxa"/>
              <w:end w:w="90" w:type="dxa"/>
            </w:tcMar>
            <w:vAlign w:val="top"/>
          </w:tcPr>
          <w:p>
            <w:pPr>
              <w:spacing w:after="40" w:line="245" w:lineRule="auto"/>
            </w:pPr>
            <w:r>
              <w:rPr>
                <w:sz w:val="18"/>
              </w:rPr>
              <w:t>OOB and management</w:t>
            </w:r>
          </w:p>
        </w:tc>
        <w:tc>
          <w:tcPr>
            <w:tcW w:type="dxa" w:w="7776"/>
            <w:tcMar>
              <w:top w:w="70" w:type="dxa"/>
              <w:start w:w="90" w:type="dxa"/>
              <w:bottom w:w="70" w:type="dxa"/>
              <w:end w:w="90" w:type="dxa"/>
            </w:tcMar>
            <w:vAlign w:val="top"/>
          </w:tcPr>
          <w:p>
            <w:pPr>
              <w:spacing w:after="40" w:line="245" w:lineRule="auto"/>
            </w:pPr>
            <w:r>
              <w:rPr>
                <w:sz w:val="18"/>
              </w:rPr>
              <w:t>Independent access path, actual switches/interfaces, permitted targets, privileged path and recovery dependency.</w:t>
            </w:r>
          </w:p>
        </w:tc>
      </w:tr>
      <w:tr>
        <w:trPr>
          <w:cantSplit/>
        </w:trPr>
        <w:tc>
          <w:tcPr>
            <w:tcW w:type="dxa" w:w="2506"/>
            <w:tcMar>
              <w:top w:w="70" w:type="dxa"/>
              <w:start w:w="90" w:type="dxa"/>
              <w:bottom w:w="70" w:type="dxa"/>
              <w:end w:w="90" w:type="dxa"/>
            </w:tcMar>
            <w:vAlign w:val="top"/>
            <w:shd w:fill="F4F7F9" w:val="clear"/>
          </w:tcPr>
          <w:p>
            <w:pPr>
              <w:spacing w:after="40" w:line="245" w:lineRule="auto"/>
            </w:pPr>
            <w:r>
              <w:rPr>
                <w:sz w:val="18"/>
              </w:rPr>
              <w:t>Staging and support</w:t>
            </w:r>
          </w:p>
        </w:tc>
        <w:tc>
          <w:tcPr>
            <w:tcW w:type="dxa" w:w="7776"/>
            <w:tcMar>
              <w:top w:w="70" w:type="dxa"/>
              <w:start w:w="90" w:type="dxa"/>
              <w:bottom w:w="70" w:type="dxa"/>
              <w:end w:w="90" w:type="dxa"/>
            </w:tcMar>
            <w:vAlign w:val="top"/>
            <w:shd w:fill="F4F7F9" w:val="clear"/>
          </w:tcPr>
          <w:p>
            <w:pPr>
              <w:spacing w:after="40" w:line="245" w:lineRule="auto"/>
            </w:pPr>
            <w:r>
              <w:rPr>
                <w:sz w:val="18"/>
              </w:rPr>
              <w:t>Trusted firmware/images, secured initial configuration, asset matching, diagnostic handling and manufacturer-specific install/replacement method.</w:t>
            </w:r>
          </w:p>
        </w:tc>
      </w:tr>
    </w:tbl>
    <w:p>
      <w:pPr>
        <w:spacing w:after="0"/>
      </w:pPr>
      <w:r/>
    </w:p>
    <w:p>
      <w:r>
        <w:t>Choose qualified MLAG, EVPN multihoming or another supported host attachment pattern. Document peer-link/keepalive or Ethernet-segment behaviour, orphan endpoints, split-brain containment and supported drain/reload order. Do not equate matching feature names with interoperability.</w:t>
      </w:r>
    </w:p>
    <w:p>
      <w:r>
        <w:t>Physical installation and electrical/facility work are performed by qualified personnel following site and manufacturer procedures. This kit records approvals, labels and acceptance; it does not replace lifting, electrical, optical or equipment safety instructions.</w:t>
      </w:r>
    </w:p>
    <w:p>
      <w:r>
        <w:br w:type="page"/>
      </w:r>
    </w:p>
    <w:p>
      <w:pPr>
        <w:pStyle w:val="Heading1"/>
      </w:pPr>
      <w:r>
        <w:t>3. Addressing, routing, policy and attachment schedules</w:t>
      </w:r>
      <w:bookmarkStart w:id="1002" w:name="EK_03"/>
      <w:bookmarkEnd w:id="1002"/>
    </w:p>
    <w:p>
      <w:r>
        <w:t>Keep three records distinct: address ownership, routing reachability and permitted communication. A correct prefix allocation does not prove a correct route, and a route does not authorize a flow.</w:t>
      </w:r>
    </w:p>
    <w:p>
      <w:pPr>
        <w:pStyle w:val="Caption"/>
      </w:pPr>
      <w:r>
        <w:t xml:space="preserve">Baseline and related records: </w:t>
      </w:r>
      <w:hyperlink r:id="rId18">
        <w:r>
          <w:rPr>
            <w:color w:val="0B6B70"/>
            <w:u w:val="single"/>
          </w:rPr>
          <w:t>NET §1</w:t>
        </w:r>
      </w:hyperlink>
      <w:r>
        <w:t xml:space="preserve">  •  </w:t>
      </w:r>
      <w:hyperlink r:id="rId19">
        <w:r>
          <w:rPr>
            <w:color w:val="0B6B70"/>
            <w:u w:val="single"/>
          </w:rPr>
          <w:t>NET §3</w:t>
        </w:r>
      </w:hyperlink>
      <w:r>
        <w:t xml:space="preserve">  •  </w:t>
      </w:r>
      <w:hyperlink r:id="rId20">
        <w:r>
          <w:rPr>
            <w:color w:val="0B6B70"/>
            <w:u w:val="single"/>
          </w:rPr>
          <w:t>NET §4</w:t>
        </w:r>
      </w:hyperlink>
      <w:r>
        <w:t xml:space="preserve">  •  </w:t>
      </w:r>
      <w:hyperlink r:id="rId21">
        <w:r>
          <w:rPr>
            <w:color w:val="0B6B70"/>
            <w:u w:val="single"/>
          </w:rPr>
          <w:t>WD §6</w:t>
        </w:r>
      </w:hyperlink>
      <w:r>
        <w:t xml:space="preserve">  •  </w:t>
      </w:r>
      <w:hyperlink r:id="rId22">
        <w:r>
          <w:rPr>
            <w:color w:val="0B6B70"/>
            <w:u w:val="single"/>
          </w:rPr>
          <w:t>ET §3</w:t>
        </w:r>
      </w:hyperlink>
    </w:p>
    <w:tbl>
      <w:tblPr>
        <w:tblW w:type="auto" w:w="0"/>
        <w:jc w:val="center"/>
        <w:tblLayout w:type="fixed"/>
        <w:tblLook w:firstColumn="1" w:firstRow="1" w:lastColumn="0" w:lastRow="0" w:noHBand="0" w:noVBand="1" w:val="04A0"/>
      </w:tblPr>
      <w:tblGrid>
        <w:gridCol w:w="2390"/>
        <w:gridCol w:w="7891"/>
      </w:tblGrid>
      <w:tr>
        <w:trPr>
          <w:tblHeader/>
        </w:trPr>
        <w:tc>
          <w:tcPr>
            <w:tcW w:type="dxa" w:w="2390"/>
            <w:shd w:fill="15384A" w:val="clear"/>
            <w:tcMar>
              <w:top w:w="70" w:type="dxa"/>
              <w:start w:w="90" w:type="dxa"/>
              <w:bottom w:w="70" w:type="dxa"/>
              <w:end w:w="90" w:type="dxa"/>
            </w:tcMar>
          </w:tcPr>
          <w:p>
            <w:r>
              <w:rPr>
                <w:b/>
                <w:color w:val="FFFFFF"/>
                <w:sz w:val="18"/>
              </w:rPr>
              <w:t>Record</w:t>
            </w:r>
          </w:p>
        </w:tc>
        <w:tc>
          <w:tcPr>
            <w:tcW w:type="dxa" w:w="7891"/>
            <w:shd w:fill="15384A" w:val="clear"/>
            <w:tcMar>
              <w:top w:w="70" w:type="dxa"/>
              <w:start w:w="90" w:type="dxa"/>
              <w:bottom w:w="70" w:type="dxa"/>
              <w:end w:w="90" w:type="dxa"/>
            </w:tcMar>
          </w:tcPr>
          <w:p>
            <w:r>
              <w:rPr>
                <w:b/>
                <w:color w:val="FFFFFF"/>
                <w:sz w:val="18"/>
              </w:rPr>
              <w:t>What the implementer must receive</w:t>
            </w:r>
          </w:p>
        </w:tc>
      </w:tr>
      <w:tr>
        <w:trPr>
          <w:cantSplit/>
        </w:trPr>
        <w:tc>
          <w:tcPr>
            <w:tcW w:type="dxa" w:w="2390"/>
            <w:tcMar>
              <w:top w:w="70" w:type="dxa"/>
              <w:start w:w="90" w:type="dxa"/>
              <w:bottom w:w="70" w:type="dxa"/>
              <w:end w:w="90" w:type="dxa"/>
            </w:tcMar>
            <w:vAlign w:val="top"/>
          </w:tcPr>
          <w:p>
            <w:pPr>
              <w:spacing w:after="40" w:line="245" w:lineRule="auto"/>
            </w:pPr>
            <w:r>
              <w:rPr>
                <w:sz w:val="18"/>
              </w:rPr>
              <w:t>Network and domain schedule</w:t>
            </w:r>
          </w:p>
        </w:tc>
        <w:tc>
          <w:tcPr>
            <w:tcW w:type="dxa" w:w="7891"/>
            <w:tcMar>
              <w:top w:w="70" w:type="dxa"/>
              <w:start w:w="90" w:type="dxa"/>
              <w:bottom w:w="70" w:type="dxa"/>
              <w:end w:w="90" w:type="dxa"/>
            </w:tcMar>
            <w:vAlign w:val="top"/>
          </w:tcPr>
          <w:p>
            <w:pPr>
              <w:spacing w:after="40" w:line="245" w:lineRule="auto"/>
            </w:pPr>
            <w:r>
              <w:rPr>
                <w:sz w:val="18"/>
              </w:rPr>
              <w:t>Owner, zone/domain instance, native context, family mode, actual prefix/gateway, IPAM authority and DHCP/DNS policy.</w:t>
            </w:r>
          </w:p>
        </w:tc>
      </w:tr>
      <w:tr>
        <w:trPr>
          <w:cantSplit/>
        </w:trPr>
        <w:tc>
          <w:tcPr>
            <w:tcW w:type="dxa" w:w="2390"/>
            <w:tcMar>
              <w:top w:w="70" w:type="dxa"/>
              <w:start w:w="90" w:type="dxa"/>
              <w:bottom w:w="70" w:type="dxa"/>
              <w:end w:w="90" w:type="dxa"/>
            </w:tcMar>
            <w:vAlign w:val="top"/>
            <w:shd w:fill="F4F7F9" w:val="clear"/>
          </w:tcPr>
          <w:p>
            <w:pPr>
              <w:spacing w:after="40" w:line="245" w:lineRule="auto"/>
            </w:pPr>
            <w:r>
              <w:rPr>
                <w:sz w:val="18"/>
              </w:rPr>
              <w:t>Route schedule</w:t>
            </w:r>
          </w:p>
        </w:tc>
        <w:tc>
          <w:tcPr>
            <w:tcW w:type="dxa" w:w="7891"/>
            <w:tcMar>
              <w:top w:w="70" w:type="dxa"/>
              <w:start w:w="90" w:type="dxa"/>
              <w:bottom w:w="70" w:type="dxa"/>
              <w:end w:w="90" w:type="dxa"/>
            </w:tcMar>
            <w:vAlign w:val="top"/>
            <w:shd w:fill="F4F7F9" w:val="clear"/>
          </w:tcPr>
          <w:p>
            <w:pPr>
              <w:spacing w:after="40" w:line="245" w:lineRule="auto"/>
            </w:pPr>
            <w:r>
              <w:rPr>
                <w:sz w:val="18"/>
              </w:rPr>
              <w:t>Routing owner, family, destination, next hop and egress interface, import/export origin, related boundary, return-route owner and prohibited alternatives.</w:t>
            </w:r>
          </w:p>
        </w:tc>
      </w:tr>
      <w:tr>
        <w:trPr>
          <w:cantSplit/>
        </w:trPr>
        <w:tc>
          <w:tcPr>
            <w:tcW w:type="dxa" w:w="2390"/>
            <w:tcMar>
              <w:top w:w="70" w:type="dxa"/>
              <w:start w:w="90" w:type="dxa"/>
              <w:bottom w:w="70" w:type="dxa"/>
              <w:end w:w="90" w:type="dxa"/>
            </w:tcMar>
            <w:vAlign w:val="top"/>
          </w:tcPr>
          <w:p>
            <w:pPr>
              <w:spacing w:after="40" w:line="245" w:lineRule="auto"/>
            </w:pPr>
            <w:r>
              <w:rPr>
                <w:sz w:val="18"/>
              </w:rPr>
              <w:t>Flow schedule</w:t>
            </w:r>
          </w:p>
        </w:tc>
        <w:tc>
          <w:tcPr>
            <w:tcW w:type="dxa" w:w="7891"/>
            <w:tcMar>
              <w:top w:w="70" w:type="dxa"/>
              <w:start w:w="90" w:type="dxa"/>
              <w:bottom w:w="70" w:type="dxa"/>
              <w:end w:w="90" w:type="dxa"/>
            </w:tcMar>
            <w:vAlign w:val="top"/>
          </w:tcPr>
          <w:p>
            <w:pPr>
              <w:spacing w:after="40" w:line="245" w:lineRule="auto"/>
            </w:pPr>
            <w:r>
              <w:rPr>
                <w:sz w:val="18"/>
              </w:rPr>
              <w:t>Initiator and target identity, protocol/service operation, port/type detail as needed, authentication, encryption, stateful replies, log policy and expiry.</w:t>
            </w:r>
          </w:p>
        </w:tc>
      </w:tr>
      <w:tr>
        <w:trPr>
          <w:cantSplit/>
        </w:trPr>
        <w:tc>
          <w:tcPr>
            <w:tcW w:type="dxa" w:w="2390"/>
            <w:tcMar>
              <w:top w:w="70" w:type="dxa"/>
              <w:start w:w="90" w:type="dxa"/>
              <w:bottom w:w="70" w:type="dxa"/>
              <w:end w:w="90" w:type="dxa"/>
            </w:tcMar>
            <w:vAlign w:val="top"/>
            <w:shd w:fill="F4F7F9" w:val="clear"/>
          </w:tcPr>
          <w:p>
            <w:pPr>
              <w:spacing w:after="40" w:line="245" w:lineRule="auto"/>
            </w:pPr>
            <w:r>
              <w:rPr>
                <w:sz w:val="18"/>
              </w:rPr>
              <w:t>Attachment inventory</w:t>
            </w:r>
          </w:p>
        </w:tc>
        <w:tc>
          <w:tcPr>
            <w:tcW w:type="dxa" w:w="7891"/>
            <w:tcMar>
              <w:top w:w="70" w:type="dxa"/>
              <w:start w:w="90" w:type="dxa"/>
              <w:bottom w:w="70" w:type="dxa"/>
              <w:end w:w="90" w:type="dxa"/>
            </w:tcMar>
            <w:vAlign w:val="top"/>
            <w:shd w:fill="F4F7F9" w:val="clear"/>
          </w:tcPr>
          <w:p>
            <w:pPr>
              <w:spacing w:after="40" w:line="245" w:lineRule="auto"/>
            </w:pPr>
            <w:r>
              <w:rPr>
                <w:sz w:val="18"/>
              </w:rPr>
              <w:t>Domain-to-edge and edge-to-service units separately counted; physical members and HA overhead additional; reuse/quarantine rules.</w:t>
            </w:r>
          </w:p>
        </w:tc>
      </w:tr>
      <w:tr>
        <w:trPr>
          <w:cantSplit/>
        </w:trPr>
        <w:tc>
          <w:tcPr>
            <w:tcW w:type="dxa" w:w="2390"/>
            <w:tcMar>
              <w:top w:w="70" w:type="dxa"/>
              <w:start w:w="90" w:type="dxa"/>
              <w:bottom w:w="70" w:type="dxa"/>
              <w:end w:w="90" w:type="dxa"/>
            </w:tcMar>
            <w:vAlign w:val="top"/>
          </w:tcPr>
          <w:p>
            <w:pPr>
              <w:spacing w:after="40" w:line="245" w:lineRule="auto"/>
            </w:pPr>
            <w:r>
              <w:rPr>
                <w:sz w:val="18"/>
              </w:rPr>
              <w:t>Boundary design</w:t>
            </w:r>
          </w:p>
        </w:tc>
        <w:tc>
          <w:tcPr>
            <w:tcW w:type="dxa" w:w="7891"/>
            <w:tcMar>
              <w:top w:w="70" w:type="dxa"/>
              <w:start w:w="90" w:type="dxa"/>
              <w:bottom w:w="70" w:type="dxa"/>
              <w:end w:w="90" w:type="dxa"/>
            </w:tcMar>
            <w:vAlign w:val="top"/>
          </w:tcPr>
          <w:p>
            <w:pPr>
              <w:spacing w:after="40" w:line="245" w:lineRule="auto"/>
            </w:pPr>
            <w:r>
              <w:rPr>
                <w:sz w:val="18"/>
              </w:rPr>
              <w:t>Every required ZIP function located; policy precedence, shared connected routes, native distributed routing, NAT/PBR and fault paths analyzed.</w:t>
            </w:r>
          </w:p>
        </w:tc>
      </w:tr>
      <w:tr>
        <w:trPr>
          <w:cantSplit/>
        </w:trPr>
        <w:tc>
          <w:tcPr>
            <w:tcW w:type="dxa" w:w="2390"/>
            <w:tcMar>
              <w:top w:w="70" w:type="dxa"/>
              <w:start w:w="90" w:type="dxa"/>
              <w:bottom w:w="70" w:type="dxa"/>
              <w:end w:w="90" w:type="dxa"/>
            </w:tcMar>
            <w:vAlign w:val="top"/>
            <w:shd w:fill="F4F7F9" w:val="clear"/>
          </w:tcPr>
          <w:p>
            <w:pPr>
              <w:spacing w:after="40" w:line="245" w:lineRule="auto"/>
            </w:pPr>
            <w:r>
              <w:rPr>
                <w:sz w:val="18"/>
              </w:rPr>
              <w:t>Service reply design</w:t>
            </w:r>
          </w:p>
        </w:tc>
        <w:tc>
          <w:tcPr>
            <w:tcW w:type="dxa" w:w="7891"/>
            <w:tcMar>
              <w:top w:w="70" w:type="dxa"/>
              <w:start w:w="90" w:type="dxa"/>
              <w:bottom w:w="70" w:type="dxa"/>
              <w:end w:w="90" w:type="dxa"/>
            </w:tcMar>
            <w:vAlign w:val="top"/>
            <w:shd w:fill="F4F7F9" w:val="clear"/>
          </w:tcPr>
          <w:p>
            <w:pPr>
              <w:spacing w:after="40" w:line="245" w:lineRule="auto"/>
            </w:pPr>
            <w:r>
              <w:rPr>
                <w:sz w:val="18"/>
              </w:rPr>
              <w:t>Origin-specific return routing or a supported mediation pattern; no broad default masking asymmetric enforcement.</w:t>
            </w:r>
          </w:p>
        </w:tc>
      </w:tr>
    </w:tbl>
    <w:p>
      <w:pPr>
        <w:spacing w:after="0"/>
      </w:pPr>
      <w:r/>
    </w:p>
    <w:p>
      <w:r>
        <w:t>Record IPv4-only, IPv6-only or dual-stack as an offered capability. Include neighbour/discovery and required ICMPv6/PMTU behaviour, source validation, DNS transport and recovery paths for every enabled family. The WD address ranges remain documentation examples only.</w:t>
      </w:r>
    </w:p>
    <w:p>
      <w:pPr>
        <w:keepLines/>
        <w:spacing w:before="140" w:after="200"/>
        <w:shd w:fill="EEF5F7" w:val="clear"/>
        <w:pBdr>
          <w:left w:val="single" w:sz="12" w:space="8" w:color="0B6B70"/>
        </w:pBdr>
      </w:pPr>
      <w:r>
        <w:rPr>
          <w:b/>
        </w:rPr>
        <w:t>Review by walking an allowed request and reply, unsolicited reverse initiation, same-domain traffic and a cross-tenant denial. Inspect actual forwarding candidates; a failed ping from a dead endpoint is not proof.</w:t>
      </w:r>
    </w:p>
    <w:p>
      <w:r>
        <w:br w:type="page"/>
      </w:r>
    </w:p>
    <w:p>
      <w:pPr>
        <w:pStyle w:val="Heading1"/>
      </w:pPr>
      <w:r>
        <w:t>4. Compute, storage and protected data</w:t>
      </w:r>
      <w:bookmarkStart w:id="1003" w:name="EK_04"/>
      <w:bookmarkEnd w:id="1003"/>
    </w:p>
    <w:p>
      <w:r>
        <w:t>Bind resources to the approved isolation and failure scopes before sizing or placement. Include maintenance evacuation, restart and restore, not only initial VM creation.</w:t>
      </w:r>
    </w:p>
    <w:p>
      <w:pPr>
        <w:pStyle w:val="Caption"/>
      </w:pPr>
      <w:r>
        <w:t xml:space="preserve">Baseline and related records: </w:t>
      </w:r>
      <w:hyperlink r:id="rId23">
        <w:r>
          <w:rPr>
            <w:color w:val="0B6B70"/>
            <w:u w:val="single"/>
          </w:rPr>
          <w:t>RA §11</w:t>
        </w:r>
      </w:hyperlink>
      <w:r>
        <w:t xml:space="preserve">  •  </w:t>
      </w:r>
      <w:hyperlink r:id="rId24">
        <w:r>
          <w:rPr>
            <w:color w:val="0B6B70"/>
            <w:u w:val="single"/>
          </w:rPr>
          <w:t>RA §12</w:t>
        </w:r>
      </w:hyperlink>
      <w:r>
        <w:t xml:space="preserve">  •  </w:t>
      </w:r>
      <w:hyperlink r:id="rId25">
        <w:r>
          <w:rPr>
            <w:color w:val="0B6B70"/>
            <w:u w:val="single"/>
          </w:rPr>
          <w:t>WD §7</w:t>
        </w:r>
      </w:hyperlink>
      <w:r>
        <w:t xml:space="preserve">  •  </w:t>
      </w:r>
      <w:hyperlink r:id="rId26">
        <w:r>
          <w:rPr>
            <w:color w:val="0B6B70"/>
            <w:u w:val="single"/>
          </w:rPr>
          <w:t>ET §5</w:t>
        </w:r>
      </w:hyperlink>
    </w:p>
    <w:tbl>
      <w:tblPr>
        <w:tblW w:type="auto" w:w="0"/>
        <w:jc w:val="center"/>
        <w:tblLayout w:type="fixed"/>
        <w:tblLook w:firstColumn="1" w:firstRow="1" w:lastColumn="0" w:lastRow="0" w:noHBand="0" w:noVBand="1" w:val="04A0"/>
      </w:tblPr>
      <w:tblGrid>
        <w:gridCol w:w="2362"/>
        <w:gridCol w:w="7920"/>
      </w:tblGrid>
      <w:tr>
        <w:trPr>
          <w:tblHeader/>
        </w:trPr>
        <w:tc>
          <w:tcPr>
            <w:tcW w:type="dxa" w:w="2362"/>
            <w:shd w:fill="15384A" w:val="clear"/>
            <w:tcMar>
              <w:top w:w="70" w:type="dxa"/>
              <w:start w:w="90" w:type="dxa"/>
              <w:bottom w:w="70" w:type="dxa"/>
              <w:end w:w="90" w:type="dxa"/>
            </w:tcMar>
          </w:tcPr>
          <w:p>
            <w:r>
              <w:rPr>
                <w:b/>
                <w:color w:val="FFFFFF"/>
                <w:sz w:val="18"/>
              </w:rPr>
              <w:t>Layer</w:t>
            </w:r>
          </w:p>
        </w:tc>
        <w:tc>
          <w:tcPr>
            <w:tcW w:type="dxa" w:w="7920"/>
            <w:shd w:fill="15384A" w:val="clear"/>
            <w:tcMar>
              <w:top w:w="70" w:type="dxa"/>
              <w:start w:w="90" w:type="dxa"/>
              <w:bottom w:w="70" w:type="dxa"/>
              <w:end w:w="90" w:type="dxa"/>
            </w:tcMar>
          </w:tcPr>
          <w:p>
            <w:r>
              <w:rPr>
                <w:b/>
                <w:color w:val="FFFFFF"/>
                <w:sz w:val="18"/>
              </w:rPr>
              <w:t>Detailed engineering content</w:t>
            </w:r>
          </w:p>
        </w:tc>
      </w:tr>
      <w:tr>
        <w:trPr>
          <w:cantSplit/>
        </w:trPr>
        <w:tc>
          <w:tcPr>
            <w:tcW w:type="dxa" w:w="2362"/>
            <w:tcMar>
              <w:top w:w="70" w:type="dxa"/>
              <w:start w:w="90" w:type="dxa"/>
              <w:bottom w:w="70" w:type="dxa"/>
              <w:end w:w="90" w:type="dxa"/>
            </w:tcMar>
            <w:vAlign w:val="top"/>
          </w:tcPr>
          <w:p>
            <w:pPr>
              <w:spacing w:after="40" w:line="245" w:lineRule="auto"/>
            </w:pPr>
            <w:r>
              <w:rPr>
                <w:sz w:val="18"/>
              </w:rPr>
              <w:t>Host pools</w:t>
            </w:r>
          </w:p>
        </w:tc>
        <w:tc>
          <w:tcPr>
            <w:tcW w:type="dxa" w:w="7920"/>
            <w:tcMar>
              <w:top w:w="70" w:type="dxa"/>
              <w:start w:w="90" w:type="dxa"/>
              <w:bottom w:w="70" w:type="dxa"/>
              <w:end w:w="90" w:type="dxa"/>
            </w:tcMar>
            <w:vAlign w:val="top"/>
          </w:tcPr>
          <w:p>
            <w:pPr>
              <w:spacing w:after="40" w:line="245" w:lineRule="auto"/>
            </w:pPr>
            <w:r>
              <w:rPr>
                <w:sz w:val="18"/>
              </w:rPr>
              <w:t>Actual eligible hosts/clusters, zone/domain sharing, hardware/CPU compatibility, reservations, scheduling/anti-affinity and restart constraints.</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VM/image profile</w:t>
            </w:r>
          </w:p>
        </w:tc>
        <w:tc>
          <w:tcPr>
            <w:tcW w:type="dxa" w:w="7920"/>
            <w:tcMar>
              <w:top w:w="70" w:type="dxa"/>
              <w:start w:w="90" w:type="dxa"/>
              <w:bottom w:w="70" w:type="dxa"/>
              <w:end w:w="90" w:type="dxa"/>
            </w:tcMar>
            <w:vAlign w:val="top"/>
            <w:shd w:fill="F4F7F9" w:val="clear"/>
          </w:tcPr>
          <w:p>
            <w:pPr>
              <w:spacing w:after="40" w:line="245" w:lineRule="auto"/>
            </w:pPr>
            <w:r>
              <w:rPr>
                <w:sz w:val="18"/>
              </w:rPr>
              <w:t>Approved template/image digest, guest OS/driver/tooling, boot mode, vCPU/memory, virtual devices, management and guest configuration owner.</w:t>
            </w:r>
          </w:p>
        </w:tc>
      </w:tr>
      <w:tr>
        <w:trPr>
          <w:cantSplit/>
        </w:trPr>
        <w:tc>
          <w:tcPr>
            <w:tcW w:type="dxa" w:w="2362"/>
            <w:tcMar>
              <w:top w:w="70" w:type="dxa"/>
              <w:start w:w="90" w:type="dxa"/>
              <w:bottom w:w="70" w:type="dxa"/>
              <w:end w:w="90" w:type="dxa"/>
            </w:tcMar>
            <w:vAlign w:val="top"/>
          </w:tcPr>
          <w:p>
            <w:pPr>
              <w:spacing w:after="40" w:line="245" w:lineRule="auto"/>
            </w:pPr>
            <w:r>
              <w:rPr>
                <w:sz w:val="18"/>
              </w:rPr>
              <w:t>Virtual disks</w:t>
            </w:r>
          </w:p>
        </w:tc>
        <w:tc>
          <w:tcPr>
            <w:tcW w:type="dxa" w:w="7920"/>
            <w:tcMar>
              <w:top w:w="70" w:type="dxa"/>
              <w:start w:w="90" w:type="dxa"/>
              <w:bottom w:w="70" w:type="dxa"/>
              <w:end w:w="90" w:type="dxa"/>
            </w:tcMar>
            <w:vAlign w:val="top"/>
          </w:tcPr>
          <w:p>
            <w:pPr>
              <w:spacing w:after="40" w:line="245" w:lineRule="auto"/>
            </w:pPr>
            <w:r>
              <w:rPr>
                <w:sz w:val="18"/>
              </w:rPr>
              <w:t>Owned volume/backing policy, attachment authority, encryption/key context, performance class and snapshots/clone restrictions.</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Guest data services</w:t>
            </w:r>
          </w:p>
        </w:tc>
        <w:tc>
          <w:tcPr>
            <w:tcW w:type="dxa" w:w="7920"/>
            <w:tcMar>
              <w:top w:w="70" w:type="dxa"/>
              <w:start w:w="90" w:type="dxa"/>
              <w:bottom w:w="70" w:type="dxa"/>
              <w:end w:w="90" w:type="dxa"/>
            </w:tcMar>
            <w:vAlign w:val="top"/>
            <w:shd w:fill="F4F7F9" w:val="clear"/>
          </w:tcPr>
          <w:p>
            <w:pPr>
              <w:spacing w:after="40" w:line="245" w:lineRule="auto"/>
            </w:pPr>
            <w:r>
              <w:rPr>
                <w:sz w:val="18"/>
              </w:rPr>
              <w:t>Selected block/file/object protocol, tenant namespace/ACL/policy, endpoint, credential scope, quotas and access-path control.</w:t>
            </w:r>
          </w:p>
        </w:tc>
      </w:tr>
      <w:tr>
        <w:trPr>
          <w:cantSplit/>
        </w:trPr>
        <w:tc>
          <w:tcPr>
            <w:tcW w:type="dxa" w:w="2362"/>
            <w:tcMar>
              <w:top w:w="70" w:type="dxa"/>
              <w:start w:w="90" w:type="dxa"/>
              <w:bottom w:w="70" w:type="dxa"/>
              <w:end w:w="90" w:type="dxa"/>
            </w:tcMar>
            <w:vAlign w:val="top"/>
          </w:tcPr>
          <w:p>
            <w:pPr>
              <w:spacing w:after="40" w:line="245" w:lineRule="auto"/>
            </w:pPr>
            <w:r>
              <w:rPr>
                <w:sz w:val="18"/>
              </w:rPr>
              <w:t>Backend data movement</w:t>
            </w:r>
          </w:p>
        </w:tc>
        <w:tc>
          <w:tcPr>
            <w:tcW w:type="dxa" w:w="7920"/>
            <w:tcMar>
              <w:top w:w="70" w:type="dxa"/>
              <w:start w:w="90" w:type="dxa"/>
              <w:bottom w:w="70" w:type="dxa"/>
              <w:end w:w="90" w:type="dxa"/>
            </w:tcMar>
            <w:vAlign w:val="top"/>
          </w:tcPr>
          <w:p>
            <w:pPr>
              <w:spacing w:after="40" w:line="245" w:lineRule="auto"/>
            </w:pPr>
            <w:r>
              <w:rPr>
                <w:sz w:val="18"/>
              </w:rPr>
              <w:t>Replication/rebuild membership, latency/loss limits, failure reserve, encryption as required and management boundaries.</w:t>
            </w:r>
          </w:p>
        </w:tc>
      </w:tr>
      <w:tr>
        <w:trPr>
          <w:cantSplit/>
        </w:trPr>
        <w:tc>
          <w:tcPr>
            <w:tcW w:type="dxa" w:w="2362"/>
            <w:tcMar>
              <w:top w:w="70" w:type="dxa"/>
              <w:start w:w="90" w:type="dxa"/>
              <w:bottom w:w="70" w:type="dxa"/>
              <w:end w:w="90" w:type="dxa"/>
            </w:tcMar>
            <w:vAlign w:val="top"/>
            <w:shd w:fill="F4F7F9" w:val="clear"/>
          </w:tcPr>
          <w:p>
            <w:pPr>
              <w:spacing w:after="40" w:line="245" w:lineRule="auto"/>
            </w:pPr>
            <w:r>
              <w:rPr>
                <w:sz w:val="18"/>
              </w:rPr>
              <w:t>Protected copies</w:t>
            </w:r>
          </w:p>
        </w:tc>
        <w:tc>
          <w:tcPr>
            <w:tcW w:type="dxa" w:w="7920"/>
            <w:tcMar>
              <w:top w:w="70" w:type="dxa"/>
              <w:start w:w="90" w:type="dxa"/>
              <w:bottom w:w="70" w:type="dxa"/>
              <w:end w:w="90" w:type="dxa"/>
            </w:tcMar>
            <w:vAlign w:val="top"/>
            <w:shd w:fill="F4F7F9" w:val="clear"/>
          </w:tcPr>
          <w:p>
            <w:pPr>
              <w:spacing w:after="40" w:line="245" w:lineRule="auto"/>
            </w:pPr>
            <w:r>
              <w:rPr>
                <w:sz w:val="18"/>
              </w:rPr>
              <w:t>Capture consistency, schedule/retention/hold, independent administration, catalogue/key location, restore path and disposal.</w:t>
            </w:r>
          </w:p>
        </w:tc>
      </w:tr>
    </w:tbl>
    <w:p>
      <w:pPr>
        <w:spacing w:after="0"/>
      </w:pPr>
      <w:r/>
    </w:p>
    <w:p>
      <w:r>
        <w:t>Do not add backend replication or hypervisor key access to the guest firewall permit list. A virtual-disk read can be mediated by the hypervisor/storage stack without using the guest NIC. A file/object client inside the guest uses its approved network and data-service authorization path.</w:t>
      </w:r>
    </w:p>
    <w:p>
      <w:r>
        <w:t>Calculate usable storage with the selected protection layout, growth, snapshots and rebuild headroom. Do not equate provisioned virtual capacity, physical used capacity, replicas and backups. Record how the chosen service behaves during contention and degraded operation.</w:t>
      </w:r>
    </w:p>
    <w:p>
      <w:r>
        <w:br w:type="page"/>
      </w:r>
    </w:p>
    <w:p>
      <w:pPr>
        <w:pStyle w:val="Heading1"/>
      </w:pPr>
      <w:r>
        <w:t>5. Management and shared-service interfaces</w:t>
      </w:r>
      <w:bookmarkStart w:id="1004" w:name="EK_05"/>
      <w:bookmarkEnd w:id="1004"/>
    </w:p>
    <w:p>
      <w:r>
        <w:t>Every shared service needs a consumption interface, an administrative interface, an authorization model and a recovery dependency. Record the actual client; it may be a host, service appliance, data mover or workload.</w:t>
      </w:r>
    </w:p>
    <w:p>
      <w:pPr>
        <w:pStyle w:val="Caption"/>
      </w:pPr>
      <w:r>
        <w:t xml:space="preserve">Baseline and related records: </w:t>
      </w:r>
      <w:hyperlink r:id="rId27">
        <w:r>
          <w:rPr>
            <w:color w:val="0B6B70"/>
            <w:u w:val="single"/>
          </w:rPr>
          <w:t>SVC §1</w:t>
        </w:r>
      </w:hyperlink>
      <w:r>
        <w:t xml:space="preserve">  •  </w:t>
      </w:r>
      <w:hyperlink r:id="rId28">
        <w:r>
          <w:rPr>
            <w:color w:val="0B6B70"/>
            <w:u w:val="single"/>
          </w:rPr>
          <w:t>SVC §2</w:t>
        </w:r>
      </w:hyperlink>
      <w:r>
        <w:t xml:space="preserve">  •  </w:t>
      </w:r>
      <w:hyperlink r:id="rId29">
        <w:r>
          <w:rPr>
            <w:color w:val="0B6B70"/>
            <w:u w:val="single"/>
          </w:rPr>
          <w:t>SVC §3</w:t>
        </w:r>
      </w:hyperlink>
      <w:r>
        <w:t xml:space="preserve">  •  </w:t>
      </w:r>
      <w:hyperlink r:id="rId30">
        <w:r>
          <w:rPr>
            <w:color w:val="0B6B70"/>
            <w:u w:val="single"/>
          </w:rPr>
          <w:t>ET §6</w:t>
        </w:r>
      </w:hyperlink>
    </w:p>
    <w:tbl>
      <w:tblPr>
        <w:tblW w:type="auto" w:w="0"/>
        <w:jc w:val="center"/>
        <w:tblLayout w:type="fixed"/>
        <w:tblLook w:firstColumn="1" w:firstRow="1" w:lastColumn="0" w:lastRow="0" w:noHBand="0" w:noVBand="1" w:val="04A0"/>
      </w:tblPr>
      <w:tblGrid>
        <w:gridCol w:w="2405"/>
        <w:gridCol w:w="7877"/>
      </w:tblGrid>
      <w:tr>
        <w:trPr>
          <w:tblHeader/>
        </w:trPr>
        <w:tc>
          <w:tcPr>
            <w:tcW w:type="dxa" w:w="2405"/>
            <w:shd w:fill="15384A" w:val="clear"/>
            <w:tcMar>
              <w:top w:w="70" w:type="dxa"/>
              <w:start w:w="90" w:type="dxa"/>
              <w:bottom w:w="70" w:type="dxa"/>
              <w:end w:w="90" w:type="dxa"/>
            </w:tcMar>
          </w:tcPr>
          <w:p>
            <w:r>
              <w:rPr>
                <w:b/>
                <w:color w:val="FFFFFF"/>
                <w:sz w:val="18"/>
              </w:rPr>
              <w:t>Service / plane</w:t>
            </w:r>
          </w:p>
        </w:tc>
        <w:tc>
          <w:tcPr>
            <w:tcW w:type="dxa" w:w="7877"/>
            <w:shd w:fill="15384A" w:val="clear"/>
            <w:tcMar>
              <w:top w:w="70" w:type="dxa"/>
              <w:start w:w="90" w:type="dxa"/>
              <w:bottom w:w="70" w:type="dxa"/>
              <w:end w:w="90" w:type="dxa"/>
            </w:tcMar>
          </w:tcPr>
          <w:p>
            <w:r>
              <w:rPr>
                <w:b/>
                <w:color w:val="FFFFFF"/>
                <w:sz w:val="18"/>
              </w:rPr>
              <w:t>Design and ownership inputs</w:t>
            </w:r>
          </w:p>
        </w:tc>
      </w:tr>
      <w:tr>
        <w:trPr>
          <w:cantSplit/>
        </w:trPr>
        <w:tc>
          <w:tcPr>
            <w:tcW w:type="dxa" w:w="2405"/>
            <w:tcMar>
              <w:top w:w="70" w:type="dxa"/>
              <w:start w:w="90" w:type="dxa"/>
              <w:bottom w:w="70" w:type="dxa"/>
              <w:end w:w="90" w:type="dxa"/>
            </w:tcMar>
            <w:vAlign w:val="top"/>
          </w:tcPr>
          <w:p>
            <w:pPr>
              <w:spacing w:after="40" w:line="245" w:lineRule="auto"/>
            </w:pPr>
            <w:r>
              <w:rPr>
                <w:sz w:val="18"/>
              </w:rPr>
              <w:t>Management and OOB</w:t>
            </w:r>
          </w:p>
        </w:tc>
        <w:tc>
          <w:tcPr>
            <w:tcW w:type="dxa" w:w="7877"/>
            <w:tcMar>
              <w:top w:w="70" w:type="dxa"/>
              <w:start w:w="90" w:type="dxa"/>
              <w:bottom w:w="70" w:type="dxa"/>
              <w:end w:w="90" w:type="dxa"/>
            </w:tcMar>
            <w:vAlign w:val="top"/>
          </w:tcPr>
          <w:p>
            <w:pPr>
              <w:spacing w:after="40" w:line="245" w:lineRule="auto"/>
            </w:pPr>
            <w:r>
              <w:rPr>
                <w:sz w:val="18"/>
              </w:rPr>
              <w:t>Hardened privileged origin, boundary path, roles, targets, MFA/PAM requirements, logs, emergency recovery and supplier sessions.</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IPAM/DNS/DHCP</w:t>
            </w:r>
          </w:p>
        </w:tc>
        <w:tc>
          <w:tcPr>
            <w:tcW w:type="dxa" w:w="7877"/>
            <w:tcMar>
              <w:top w:w="70" w:type="dxa"/>
              <w:start w:w="90" w:type="dxa"/>
              <w:bottom w:w="70" w:type="dxa"/>
              <w:end w:w="90" w:type="dxa"/>
            </w:tcMar>
            <w:vAlign w:val="top"/>
            <w:shd w:fill="F4F7F9" w:val="clear"/>
          </w:tcPr>
          <w:p>
            <w:pPr>
              <w:spacing w:after="40" w:line="245" w:lineRule="auto"/>
            </w:pPr>
            <w:r>
              <w:rPr>
                <w:sz w:val="18"/>
              </w:rPr>
              <w:t>Authoritative or delegated scope, reservation/release ownership, forward/reverse zones, resolver endpoints, leases/TTLs and reuse quarantine.</w:t>
            </w:r>
          </w:p>
        </w:tc>
      </w:tr>
      <w:tr>
        <w:trPr>
          <w:cantSplit/>
        </w:trPr>
        <w:tc>
          <w:tcPr>
            <w:tcW w:type="dxa" w:w="2405"/>
            <w:tcMar>
              <w:top w:w="70" w:type="dxa"/>
              <w:start w:w="90" w:type="dxa"/>
              <w:bottom w:w="70" w:type="dxa"/>
              <w:end w:w="90" w:type="dxa"/>
            </w:tcMar>
            <w:vAlign w:val="top"/>
          </w:tcPr>
          <w:p>
            <w:pPr>
              <w:spacing w:after="40" w:line="245" w:lineRule="auto"/>
            </w:pPr>
            <w:r>
              <w:rPr>
                <w:sz w:val="18"/>
              </w:rPr>
              <w:t>Time and logging</w:t>
            </w:r>
          </w:p>
        </w:tc>
        <w:tc>
          <w:tcPr>
            <w:tcW w:type="dxa" w:w="7877"/>
            <w:tcMar>
              <w:top w:w="70" w:type="dxa"/>
              <w:start w:w="90" w:type="dxa"/>
              <w:bottom w:w="70" w:type="dxa"/>
              <w:end w:w="90" w:type="dxa"/>
            </w:tcMar>
            <w:vAlign w:val="top"/>
          </w:tcPr>
          <w:p>
            <w:pPr>
              <w:spacing w:after="40" w:line="245" w:lineRule="auto"/>
            </w:pPr>
            <w:r>
              <w:rPr>
                <w:sz w:val="18"/>
              </w:rPr>
              <w:t>Approved time source, skew treatment; authenticated ingestion/collection, event identity, buffering, loss detection and retention/access.</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Identity/PKI/KMS</w:t>
            </w:r>
          </w:p>
        </w:tc>
        <w:tc>
          <w:tcPr>
            <w:tcW w:type="dxa" w:w="7877"/>
            <w:tcMar>
              <w:top w:w="70" w:type="dxa"/>
              <w:start w:w="90" w:type="dxa"/>
              <w:bottom w:w="70" w:type="dxa"/>
              <w:end w:w="90" w:type="dxa"/>
            </w:tcMar>
            <w:vAlign w:val="top"/>
            <w:shd w:fill="F4F7F9" w:val="clear"/>
          </w:tcPr>
          <w:p>
            <w:pPr>
              <w:spacing w:after="40" w:line="245" w:lineRule="auto"/>
            </w:pPr>
            <w:r>
              <w:rPr>
                <w:sz w:val="18"/>
              </w:rPr>
              <w:t>Issuers/trust roots, service/client identities, role mapping, certificate renewal/revocation, key use/admin/recovery separation and cached/outage behaviour.</w:t>
            </w:r>
          </w:p>
        </w:tc>
      </w:tr>
      <w:tr>
        <w:trPr>
          <w:cantSplit/>
        </w:trPr>
        <w:tc>
          <w:tcPr>
            <w:tcW w:type="dxa" w:w="2405"/>
            <w:tcMar>
              <w:top w:w="70" w:type="dxa"/>
              <w:start w:w="90" w:type="dxa"/>
              <w:bottom w:w="70" w:type="dxa"/>
              <w:end w:w="90" w:type="dxa"/>
            </w:tcMar>
            <w:vAlign w:val="top"/>
          </w:tcPr>
          <w:p>
            <w:pPr>
              <w:spacing w:after="40" w:line="245" w:lineRule="auto"/>
            </w:pPr>
            <w:r>
              <w:rPr>
                <w:sz w:val="18"/>
              </w:rPr>
              <w:t>Backup and software supply</w:t>
            </w:r>
          </w:p>
        </w:tc>
        <w:tc>
          <w:tcPr>
            <w:tcW w:type="dxa" w:w="7877"/>
            <w:tcMar>
              <w:top w:w="70" w:type="dxa"/>
              <w:start w:w="90" w:type="dxa"/>
              <w:bottom w:w="70" w:type="dxa"/>
              <w:end w:w="90" w:type="dxa"/>
            </w:tcMar>
            <w:vAlign w:val="top"/>
          </w:tcPr>
          <w:p>
            <w:pPr>
              <w:spacing w:after="40" w:line="245" w:lineRule="auto"/>
            </w:pPr>
            <w:r>
              <w:rPr>
                <w:sz w:val="18"/>
              </w:rPr>
              <w:t>Capture API and transfer path; protected repository/catalogue; trusted images/packages and update source; publication versus retrieval authority.</w:t>
            </w:r>
          </w:p>
        </w:tc>
      </w:tr>
      <w:tr>
        <w:trPr>
          <w:cantSplit/>
        </w:trPr>
        <w:tc>
          <w:tcPr>
            <w:tcW w:type="dxa" w:w="2405"/>
            <w:tcMar>
              <w:top w:w="70" w:type="dxa"/>
              <w:start w:w="90" w:type="dxa"/>
              <w:bottom w:w="70" w:type="dxa"/>
              <w:end w:w="90" w:type="dxa"/>
            </w:tcMar>
            <w:vAlign w:val="top"/>
            <w:shd w:fill="F4F7F9" w:val="clear"/>
          </w:tcPr>
          <w:p>
            <w:pPr>
              <w:spacing w:after="40" w:line="245" w:lineRule="auto"/>
            </w:pPr>
            <w:r>
              <w:rPr>
                <w:sz w:val="18"/>
              </w:rPr>
              <w:t>Bootstrap transition</w:t>
            </w:r>
          </w:p>
        </w:tc>
        <w:tc>
          <w:tcPr>
            <w:tcW w:type="dxa" w:w="7877"/>
            <w:tcMar>
              <w:top w:w="70" w:type="dxa"/>
              <w:start w:w="90" w:type="dxa"/>
              <w:bottom w:w="70" w:type="dxa"/>
              <w:end w:w="90" w:type="dxa"/>
            </w:tcMar>
            <w:vAlign w:val="top"/>
            <w:shd w:fill="F4F7F9" w:val="clear"/>
          </w:tcPr>
          <w:p>
            <w:pPr>
              <w:spacing w:after="40" w:line="245" w:lineRule="auto"/>
            </w:pPr>
            <w:r>
              <w:rPr>
                <w:sz w:val="18"/>
              </w:rPr>
              <w:t>Temporary service location, permitted scope, owner/expiry, steady-state migration and independent recovery retained after cleanup.</w:t>
            </w:r>
          </w:p>
        </w:tc>
      </w:tr>
    </w:tbl>
    <w:p>
      <w:pPr>
        <w:spacing w:after="0"/>
      </w:pPr>
      <w:r/>
    </w:p>
    <w:p>
      <w:r>
        <w:t>Define exact protocol configurations against the adopted security profile and applicable source editions. ITSP.40.062 is protocol-configuration guidance; use it with the selected algorithms and actual product modes rather than assuming an encryption checkbox proves a safe channel. [K10]</w:t>
      </w:r>
    </w:p>
    <w:p>
      <w:pPr>
        <w:pStyle w:val="Caption"/>
      </w:pPr>
      <w:r>
        <w:t xml:space="preserve">External mechanism context: </w:t>
      </w:r>
      <w:hyperlink r:id="rId31">
        <w:r>
          <w:rPr>
            <w:color w:val="0B6B70"/>
            <w:u w:val="single"/>
          </w:rPr>
          <w:t>K10 — Guidance on securely configuring network protocols (ITSP.40.062)</w:t>
        </w:r>
      </w:hyperlink>
    </w:p>
    <w:p>
      <w:pPr>
        <w:keepLines/>
        <w:spacing w:before="140" w:after="200"/>
        <w:shd w:fill="EEF5F7" w:val="clear"/>
        <w:pBdr>
          <w:left w:val="single" w:sz="12" w:space="8" w:color="0B6B70"/>
        </w:pBdr>
      </w:pPr>
      <w:r>
        <w:rPr>
          <w:b/>
        </w:rPr>
        <w:t>A service handoff must include failure behaviour and operational ownership. “Another team will configure it later” is not an accepted dependency.</w:t>
      </w:r>
    </w:p>
    <w:p>
      <w:r>
        <w:br w:type="page"/>
      </w:r>
    </w:p>
    <w:p>
      <w:pPr>
        <w:pStyle w:val="Heading1"/>
      </w:pPr>
      <w:r>
        <w:t>6. Capacity, MTU, performance and failure analysis</w:t>
      </w:r>
      <w:bookmarkStart w:id="1005" w:name="EK_06"/>
      <w:bookmarkEnd w:id="1005"/>
    </w:p>
    <w:p>
      <w:r>
        <w:t>The engineering workbook contains labelled calculators and a separate worked fixture. Inputs are editable; derived values are formulas. Unknown real capacity remains unknown rather than silently becoming zero or a guessed safe default.</w:t>
      </w:r>
    </w:p>
    <w:p>
      <w:pPr>
        <w:pStyle w:val="Caption"/>
      </w:pPr>
      <w:r>
        <w:t xml:space="preserve">Baseline and related records: </w:t>
      </w:r>
      <w:hyperlink r:id="rId32">
        <w:r>
          <w:rPr>
            <w:color w:val="0B6B70"/>
            <w:u w:val="single"/>
          </w:rPr>
          <w:t>QUAL §3</w:t>
        </w:r>
      </w:hyperlink>
      <w:r>
        <w:t xml:space="preserve">  •  </w:t>
      </w:r>
      <w:hyperlink r:id="rId33">
        <w:r>
          <w:rPr>
            <w:color w:val="0B6B70"/>
            <w:u w:val="single"/>
          </w:rPr>
          <w:t>WD §11</w:t>
        </w:r>
      </w:hyperlink>
      <w:r>
        <w:t xml:space="preserve">  •  </w:t>
      </w:r>
      <w:hyperlink r:id="rId34">
        <w:r>
          <w:rPr>
            <w:color w:val="0B6B70"/>
            <w:u w:val="single"/>
          </w:rPr>
          <w:t>NET §5</w:t>
        </w:r>
      </w:hyperlink>
      <w:r>
        <w:t xml:space="preserve">  •  </w:t>
      </w:r>
      <w:hyperlink r:id="rId35">
        <w:r>
          <w:rPr>
            <w:color w:val="0B6B70"/>
            <w:u w:val="single"/>
          </w:rPr>
          <w:t>ET §7</w:t>
        </w:r>
      </w:hyperlink>
    </w:p>
    <w:tbl>
      <w:tblPr>
        <w:tblW w:type="auto" w:w="0"/>
        <w:jc w:val="center"/>
        <w:tblLayout w:type="fixed"/>
        <w:tblLook w:firstColumn="1" w:firstRow="1" w:lastColumn="0" w:lastRow="0" w:noHBand="0" w:noVBand="1" w:val="04A0"/>
      </w:tblPr>
      <w:tblGrid>
        <w:gridCol w:w="2448"/>
        <w:gridCol w:w="7834"/>
      </w:tblGrid>
      <w:tr>
        <w:trPr>
          <w:tblHeader/>
        </w:trPr>
        <w:tc>
          <w:tcPr>
            <w:tcW w:type="dxa" w:w="2448"/>
            <w:shd w:fill="15384A" w:val="clear"/>
            <w:tcMar>
              <w:top w:w="70" w:type="dxa"/>
              <w:start w:w="90" w:type="dxa"/>
              <w:bottom w:w="70" w:type="dxa"/>
              <w:end w:w="90" w:type="dxa"/>
            </w:tcMar>
          </w:tcPr>
          <w:p>
            <w:r>
              <w:rPr>
                <w:b/>
                <w:color w:val="FFFFFF"/>
                <w:sz w:val="18"/>
              </w:rPr>
              <w:t>Calculation</w:t>
            </w:r>
          </w:p>
        </w:tc>
        <w:tc>
          <w:tcPr>
            <w:tcW w:type="dxa" w:w="7834"/>
            <w:shd w:fill="15384A" w:val="clear"/>
            <w:tcMar>
              <w:top w:w="70" w:type="dxa"/>
              <w:start w:w="90" w:type="dxa"/>
              <w:bottom w:w="70" w:type="dxa"/>
              <w:end w:w="90" w:type="dxa"/>
            </w:tcMar>
          </w:tcPr>
          <w:p>
            <w:r>
              <w:rPr>
                <w:b/>
                <w:color w:val="FFFFFF"/>
                <w:sz w:val="18"/>
              </w:rPr>
              <w:t>Basis and review requirement</w:t>
            </w:r>
          </w:p>
        </w:tc>
      </w:tr>
      <w:tr>
        <w:trPr>
          <w:cantSplit/>
        </w:trPr>
        <w:tc>
          <w:tcPr>
            <w:tcW w:type="dxa" w:w="2448"/>
            <w:tcMar>
              <w:top w:w="70" w:type="dxa"/>
              <w:start w:w="90" w:type="dxa"/>
              <w:bottom w:w="70" w:type="dxa"/>
              <w:end w:w="90" w:type="dxa"/>
            </w:tcMar>
            <w:vAlign w:val="top"/>
          </w:tcPr>
          <w:p>
            <w:pPr>
              <w:spacing w:after="40" w:line="245" w:lineRule="auto"/>
            </w:pPr>
            <w:r>
              <w:rPr>
                <w:sz w:val="18"/>
              </w:rPr>
              <w:t>Surviving service capacity</w:t>
            </w:r>
          </w:p>
        </w:tc>
        <w:tc>
          <w:tcPr>
            <w:tcW w:type="dxa" w:w="7834"/>
            <w:tcMar>
              <w:top w:w="70" w:type="dxa"/>
              <w:start w:w="90" w:type="dxa"/>
              <w:bottom w:w="70" w:type="dxa"/>
              <w:end w:w="90" w:type="dxa"/>
            </w:tcMar>
            <w:vAlign w:val="top"/>
          </w:tcPr>
          <w:p>
            <w:pPr>
              <w:spacing w:after="40" w:line="245" w:lineRule="auto"/>
            </w:pPr>
            <w:r>
              <w:rPr>
                <w:sz w:val="18"/>
              </w:rPr>
              <w:t>Measured sustainable capacity remaining after the covered failure, minus operational reserve and existing committed demand. Test all limiting units independently.</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New demand</w:t>
            </w:r>
          </w:p>
        </w:tc>
        <w:tc>
          <w:tcPr>
            <w:tcW w:type="dxa" w:w="7834"/>
            <w:tcMar>
              <w:top w:w="70" w:type="dxa"/>
              <w:start w:w="90" w:type="dxa"/>
              <w:bottom w:w="70" w:type="dxa"/>
              <w:end w:w="90" w:type="dxa"/>
            </w:tcMar>
            <w:vAlign w:val="top"/>
            <w:shd w:fill="F4F7F9" w:val="clear"/>
          </w:tcPr>
          <w:p>
            <w:pPr>
              <w:spacing w:after="40" w:line="245" w:lineRule="auto"/>
            </w:pPr>
            <w:r>
              <w:rPr>
                <w:sz w:val="18"/>
              </w:rPr>
              <w:t>Workload plus required temporary test resources and provider overhead. Account for existing commitment once; do not add usage already included in that commitment.</w:t>
            </w:r>
          </w:p>
        </w:tc>
      </w:tr>
      <w:tr>
        <w:trPr>
          <w:cantSplit/>
        </w:trPr>
        <w:tc>
          <w:tcPr>
            <w:tcW w:type="dxa" w:w="2448"/>
            <w:tcMar>
              <w:top w:w="70" w:type="dxa"/>
              <w:start w:w="90" w:type="dxa"/>
              <w:bottom w:w="70" w:type="dxa"/>
              <w:end w:w="90" w:type="dxa"/>
            </w:tcMar>
            <w:vAlign w:val="top"/>
          </w:tcPr>
          <w:p>
            <w:pPr>
              <w:spacing w:after="40" w:line="245" w:lineRule="auto"/>
            </w:pPr>
            <w:r>
              <w:rPr>
                <w:sz w:val="18"/>
              </w:rPr>
              <w:t>Headroom and growth</w:t>
            </w:r>
          </w:p>
        </w:tc>
        <w:tc>
          <w:tcPr>
            <w:tcW w:type="dxa" w:w="7834"/>
            <w:tcMar>
              <w:top w:w="70" w:type="dxa"/>
              <w:start w:w="90" w:type="dxa"/>
              <w:bottom w:w="70" w:type="dxa"/>
              <w:end w:w="90" w:type="dxa"/>
            </w:tcMar>
            <w:vAlign w:val="top"/>
          </w:tcPr>
          <w:p>
            <w:pPr>
              <w:spacing w:after="40" w:line="245" w:lineRule="auto"/>
            </w:pPr>
            <w:r>
              <w:rPr>
                <w:sz w:val="18"/>
              </w:rPr>
              <w:t>New demand must fit every applicable bottleneck. Record lead time and forecast trigger; a free host cannot compensate for exhausted inspected sessions.</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Storage</w:t>
            </w:r>
          </w:p>
        </w:tc>
        <w:tc>
          <w:tcPr>
            <w:tcW w:type="dxa" w:w="7834"/>
            <w:tcMar>
              <w:top w:w="70" w:type="dxa"/>
              <w:start w:w="90" w:type="dxa"/>
              <w:bottom w:w="70" w:type="dxa"/>
              <w:end w:w="90" w:type="dxa"/>
            </w:tcMar>
            <w:vAlign w:val="top"/>
            <w:shd w:fill="F4F7F9" w:val="clear"/>
          </w:tcPr>
          <w:p>
            <w:pPr>
              <w:spacing w:after="40" w:line="245" w:lineRule="auto"/>
            </w:pPr>
            <w:r>
              <w:rPr>
                <w:sz w:val="18"/>
              </w:rPr>
              <w:t>Capacity/performance under protection overhead, rebuild, copies and retention; specify raw versus usable units and evidence.</w:t>
            </w:r>
          </w:p>
        </w:tc>
      </w:tr>
      <w:tr>
        <w:trPr>
          <w:cantSplit/>
        </w:trPr>
        <w:tc>
          <w:tcPr>
            <w:tcW w:type="dxa" w:w="2448"/>
            <w:tcMar>
              <w:top w:w="70" w:type="dxa"/>
              <w:start w:w="90" w:type="dxa"/>
              <w:bottom w:w="70" w:type="dxa"/>
              <w:end w:w="90" w:type="dxa"/>
            </w:tcMar>
            <w:vAlign w:val="top"/>
          </w:tcPr>
          <w:p>
            <w:pPr>
              <w:spacing w:after="40" w:line="245" w:lineRule="auto"/>
            </w:pPr>
            <w:r>
              <w:rPr>
                <w:sz w:val="18"/>
              </w:rPr>
              <w:t>MTU</w:t>
            </w:r>
          </w:p>
        </w:tc>
        <w:tc>
          <w:tcPr>
            <w:tcW w:type="dxa" w:w="7834"/>
            <w:tcMar>
              <w:top w:w="70" w:type="dxa"/>
              <w:start w:w="90" w:type="dxa"/>
              <w:bottom w:w="70" w:type="dxa"/>
              <w:end w:w="90" w:type="dxa"/>
            </w:tcMar>
            <w:vAlign w:val="top"/>
          </w:tcPr>
          <w:p>
            <w:pPr>
              <w:spacing w:after="40" w:line="245" w:lineRule="auto"/>
            </w:pPr>
            <w:r>
              <w:rPr>
                <w:sz w:val="18"/>
              </w:rPr>
              <w:t>Workload packet plus actual inner framing, encapsulation, outer headers and options; compare against the smallest active/surviving path limit.</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Recovery timing</w:t>
            </w:r>
          </w:p>
        </w:tc>
        <w:tc>
          <w:tcPr>
            <w:tcW w:type="dxa" w:w="7834"/>
            <w:tcMar>
              <w:top w:w="70" w:type="dxa"/>
              <w:start w:w="90" w:type="dxa"/>
              <w:bottom w:w="70" w:type="dxa"/>
              <w:end w:w="90" w:type="dxa"/>
            </w:tcMar>
            <w:vAlign w:val="top"/>
            <w:shd w:fill="F4F7F9" w:val="clear"/>
          </w:tcPr>
          <w:p>
            <w:pPr>
              <w:spacing w:after="40" w:line="245" w:lineRule="auto"/>
            </w:pPr>
            <w:r>
              <w:rPr>
                <w:sz w:val="18"/>
              </w:rPr>
              <w:t>RTO dependency sequence and decision/cutover time; RPO from the recoverable consistency point; constraints remain enforced.</w:t>
            </w:r>
          </w:p>
        </w:tc>
      </w:tr>
    </w:tbl>
    <w:p>
      <w:pPr>
        <w:spacing w:after="0"/>
      </w:pPr>
      <w:r/>
    </w:p>
    <w:p>
      <w:r>
        <w:t>The WD fixture has four permanent endpoints and one sequential temporary probe: 10 vCPU, 20 GiB guest memory and 400 GiB requested virtual disks at peak. These are not host minima or physical-storage totals. Provider, edge, management, copies and failure reserves are additional.</w:t>
      </w:r>
    </w:p>
    <w:p>
      <w:r>
        <w:t>The basic VXLAN arithmetic in WD is one encapsulation case, not a universal tunnel allowance. Record inner tags, outer family, Geneve/options, IPsec or nested encapsulation separately. Link-frame MTU and outer-IP MTU may be reported differently by products.</w:t>
      </w:r>
    </w:p>
    <w:p>
      <w:r>
        <w:br w:type="page"/>
      </w:r>
    </w:p>
    <w:p>
      <w:pPr>
        <w:pStyle w:val="Heading1"/>
      </w:pPr>
      <w:r>
        <w:t>7. Supported stack and provisioning operation coverage</w:t>
      </w:r>
      <w:bookmarkStart w:id="1006" w:name="EK_07"/>
      <w:bookmarkEnd w:id="1006"/>
    </w:p>
    <w:p>
      <w:r>
        <w:t>Use one support record for the exact installed combination and a separate operation matrix for what the tools can actually manage. Documentation availability is not measured qualification.</w:t>
      </w:r>
    </w:p>
    <w:p>
      <w:pPr>
        <w:pStyle w:val="Caption"/>
      </w:pPr>
      <w:r>
        <w:t xml:space="preserve">Baseline and related records: </w:t>
      </w:r>
      <w:hyperlink r:id="rId36">
        <w:r>
          <w:rPr>
            <w:color w:val="0B6B70"/>
            <w:u w:val="single"/>
          </w:rPr>
          <w:t>VND §7</w:t>
        </w:r>
      </w:hyperlink>
      <w:r>
        <w:t xml:space="preserve">  •  </w:t>
      </w:r>
      <w:hyperlink r:id="rId37">
        <w:r>
          <w:rPr>
            <w:color w:val="0B6B70"/>
            <w:u w:val="single"/>
          </w:rPr>
          <w:t>PROV §3</w:t>
        </w:r>
      </w:hyperlink>
      <w:r>
        <w:t xml:space="preserve">  •  </w:t>
      </w:r>
      <w:hyperlink r:id="rId38">
        <w:r>
          <w:rPr>
            <w:color w:val="0B6B70"/>
            <w:u w:val="single"/>
          </w:rPr>
          <w:t>VC §7</w:t>
        </w:r>
      </w:hyperlink>
      <w:r>
        <w:t xml:space="preserve">  •  </w:t>
      </w:r>
      <w:hyperlink r:id="rId39">
        <w:r>
          <w:rPr>
            <w:color w:val="0B6B70"/>
            <w:u w:val="single"/>
          </w:rPr>
          <w:t>ET §8</w:t>
        </w:r>
      </w:hyperlink>
    </w:p>
    <w:tbl>
      <w:tblPr>
        <w:tblW w:type="auto" w:w="0"/>
        <w:jc w:val="center"/>
        <w:tblLayout w:type="fixed"/>
        <w:tblLook w:firstColumn="1" w:firstRow="1" w:lastColumn="0" w:lastRow="0" w:noHBand="0" w:noVBand="1" w:val="04A0"/>
      </w:tblPr>
      <w:tblGrid>
        <w:gridCol w:w="2448"/>
        <w:gridCol w:w="7834"/>
      </w:tblGrid>
      <w:tr>
        <w:trPr>
          <w:tblHeader/>
        </w:trPr>
        <w:tc>
          <w:tcPr>
            <w:tcW w:type="dxa" w:w="2448"/>
            <w:shd w:fill="15384A" w:val="clear"/>
            <w:tcMar>
              <w:top w:w="70" w:type="dxa"/>
              <w:start w:w="90" w:type="dxa"/>
              <w:bottom w:w="70" w:type="dxa"/>
              <w:end w:w="90" w:type="dxa"/>
            </w:tcMar>
          </w:tcPr>
          <w:p>
            <w:r>
              <w:rPr>
                <w:b/>
                <w:color w:val="FFFFFF"/>
                <w:sz w:val="18"/>
              </w:rPr>
              <w:t>Support dimension</w:t>
            </w:r>
          </w:p>
        </w:tc>
        <w:tc>
          <w:tcPr>
            <w:tcW w:type="dxa" w:w="7834"/>
            <w:shd w:fill="15384A" w:val="clear"/>
            <w:tcMar>
              <w:top w:w="70" w:type="dxa"/>
              <w:start w:w="90" w:type="dxa"/>
              <w:bottom w:w="70" w:type="dxa"/>
              <w:end w:w="90" w:type="dxa"/>
            </w:tcMar>
          </w:tcPr>
          <w:p>
            <w:r>
              <w:rPr>
                <w:b/>
                <w:color w:val="FFFFFF"/>
                <w:sz w:val="18"/>
              </w:rPr>
              <w:t>Evidence to capture</w:t>
            </w:r>
          </w:p>
        </w:tc>
      </w:tr>
      <w:tr>
        <w:trPr>
          <w:cantSplit/>
        </w:trPr>
        <w:tc>
          <w:tcPr>
            <w:tcW w:type="dxa" w:w="2448"/>
            <w:tcMar>
              <w:top w:w="70" w:type="dxa"/>
              <w:start w:w="90" w:type="dxa"/>
              <w:bottom w:w="70" w:type="dxa"/>
              <w:end w:w="90" w:type="dxa"/>
            </w:tcMar>
            <w:vAlign w:val="top"/>
          </w:tcPr>
          <w:p>
            <w:pPr>
              <w:spacing w:after="40" w:line="245" w:lineRule="auto"/>
            </w:pPr>
            <w:r>
              <w:rPr>
                <w:sz w:val="18"/>
              </w:rPr>
              <w:t>Installed tuple</w:t>
            </w:r>
          </w:p>
        </w:tc>
        <w:tc>
          <w:tcPr>
            <w:tcW w:type="dxa" w:w="7834"/>
            <w:tcMar>
              <w:top w:w="70" w:type="dxa"/>
              <w:start w:w="90" w:type="dxa"/>
              <w:bottom w:w="70" w:type="dxa"/>
              <w:end w:w="90" w:type="dxa"/>
            </w:tcMar>
            <w:vAlign w:val="top"/>
          </w:tcPr>
          <w:p>
            <w:pPr>
              <w:spacing w:after="40" w:line="245" w:lineRule="auto"/>
            </w:pPr>
            <w:r>
              <w:rPr>
                <w:sz w:val="18"/>
              </w:rPr>
              <w:t>Hardware/NIC/firmware, OS/hypervisor, managers, network backend, storage/protection, APIs, provider/installer versions and enabled entitlements.</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Operation coverage</w:t>
            </w:r>
          </w:p>
        </w:tc>
        <w:tc>
          <w:tcPr>
            <w:tcW w:type="dxa" w:w="7834"/>
            <w:tcMar>
              <w:top w:w="70" w:type="dxa"/>
              <w:start w:w="90" w:type="dxa"/>
              <w:bottom w:w="70" w:type="dxa"/>
              <w:end w:w="90" w:type="dxa"/>
            </w:tcMar>
            <w:vAlign w:val="top"/>
            <w:shd w:fill="F4F7F9" w:val="clear"/>
          </w:tcPr>
          <w:p>
            <w:pPr>
              <w:spacing w:after="40" w:line="245" w:lineRule="auto"/>
            </w:pPr>
            <w:r>
              <w:rPr>
                <w:sz w:val="18"/>
              </w:rPr>
              <w:t>Observe, create, update, adopt/import, replace, delete and discover uncertain outcome per native resource family.</w:t>
            </w:r>
          </w:p>
        </w:tc>
      </w:tr>
      <w:tr>
        <w:trPr>
          <w:cantSplit/>
        </w:trPr>
        <w:tc>
          <w:tcPr>
            <w:tcW w:type="dxa" w:w="2448"/>
            <w:tcMar>
              <w:top w:w="70" w:type="dxa"/>
              <w:start w:w="90" w:type="dxa"/>
              <w:bottom w:w="70" w:type="dxa"/>
              <w:end w:w="90" w:type="dxa"/>
            </w:tcMar>
            <w:vAlign w:val="top"/>
          </w:tcPr>
          <w:p>
            <w:pPr>
              <w:spacing w:after="40" w:line="245" w:lineRule="auto"/>
            </w:pPr>
            <w:r>
              <w:rPr>
                <w:sz w:val="18"/>
              </w:rPr>
              <w:t>Single writer</w:t>
            </w:r>
          </w:p>
        </w:tc>
        <w:tc>
          <w:tcPr>
            <w:tcW w:type="dxa" w:w="7834"/>
            <w:tcMar>
              <w:top w:w="70" w:type="dxa"/>
              <w:start w:w="90" w:type="dxa"/>
              <w:bottom w:w="70" w:type="dxa"/>
              <w:end w:w="90" w:type="dxa"/>
            </w:tcMar>
            <w:vAlign w:val="top"/>
          </w:tcPr>
          <w:p>
            <w:pPr>
              <w:spacing w:after="40" w:line="245" w:lineRule="auto"/>
            </w:pPr>
            <w:r>
              <w:rPr>
                <w:sz w:val="18"/>
              </w:rPr>
              <w:t>Exactly which tool/team owns the native object and any independently managed subresource; protected handoff boundaries.</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Lifecycle semantics</w:t>
            </w:r>
          </w:p>
        </w:tc>
        <w:tc>
          <w:tcPr>
            <w:tcW w:type="dxa" w:w="7834"/>
            <w:tcMar>
              <w:top w:w="70" w:type="dxa"/>
              <w:start w:w="90" w:type="dxa"/>
              <w:bottom w:w="70" w:type="dxa"/>
              <w:end w:w="90" w:type="dxa"/>
            </w:tcMar>
            <w:vAlign w:val="top"/>
            <w:shd w:fill="F4F7F9" w:val="clear"/>
          </w:tcPr>
          <w:p>
            <w:pPr>
              <w:spacing w:after="40" w:line="245" w:lineRule="auto"/>
            </w:pPr>
            <w:r>
              <w:rPr>
                <w:sz w:val="18"/>
              </w:rPr>
              <w:t>Asynchronous completion, retry/discovery, replacement/destruction, upgrade/rollback constraints and cleanup.</w:t>
            </w:r>
          </w:p>
        </w:tc>
      </w:tr>
      <w:tr>
        <w:trPr>
          <w:cantSplit/>
        </w:trPr>
        <w:tc>
          <w:tcPr>
            <w:tcW w:type="dxa" w:w="2448"/>
            <w:tcMar>
              <w:top w:w="70" w:type="dxa"/>
              <w:start w:w="90" w:type="dxa"/>
              <w:bottom w:w="70" w:type="dxa"/>
              <w:end w:w="90" w:type="dxa"/>
            </w:tcMar>
            <w:vAlign w:val="top"/>
          </w:tcPr>
          <w:p>
            <w:pPr>
              <w:spacing w:after="40" w:line="245" w:lineRule="auto"/>
            </w:pPr>
            <w:r>
              <w:rPr>
                <w:sz w:val="18"/>
              </w:rPr>
              <w:t>Reproducibility</w:t>
            </w:r>
          </w:p>
        </w:tc>
        <w:tc>
          <w:tcPr>
            <w:tcW w:type="dxa" w:w="7834"/>
            <w:tcMar>
              <w:top w:w="70" w:type="dxa"/>
              <w:start w:w="90" w:type="dxa"/>
              <w:bottom w:w="70" w:type="dxa"/>
              <w:end w:w="90" w:type="dxa"/>
            </w:tcMar>
            <w:vAlign w:val="top"/>
          </w:tcPr>
          <w:p>
            <w:pPr>
              <w:spacing w:after="40" w:line="245" w:lineRule="auto"/>
            </w:pPr>
            <w:r>
              <w:rPr>
                <w:sz w:val="18"/>
              </w:rPr>
              <w:t>Trusted package provenance, reviewed provider lock, separately fixed module/runner versions, artifact integrity and controlled credentials.</w:t>
            </w:r>
          </w:p>
        </w:tc>
      </w:tr>
      <w:tr>
        <w:trPr>
          <w:cantSplit/>
        </w:trPr>
        <w:tc>
          <w:tcPr>
            <w:tcW w:type="dxa" w:w="2448"/>
            <w:tcMar>
              <w:top w:w="70" w:type="dxa"/>
              <w:start w:w="90" w:type="dxa"/>
              <w:bottom w:w="70" w:type="dxa"/>
              <w:end w:w="90" w:type="dxa"/>
            </w:tcMar>
            <w:vAlign w:val="top"/>
            <w:shd w:fill="F4F7F9" w:val="clear"/>
          </w:tcPr>
          <w:p>
            <w:pPr>
              <w:spacing w:after="40" w:line="245" w:lineRule="auto"/>
            </w:pPr>
            <w:r>
              <w:rPr>
                <w:sz w:val="18"/>
              </w:rPr>
              <w:t>Unsupported case</w:t>
            </w:r>
          </w:p>
        </w:tc>
        <w:tc>
          <w:tcPr>
            <w:tcW w:type="dxa" w:w="7834"/>
            <w:tcMar>
              <w:top w:w="70" w:type="dxa"/>
              <w:start w:w="90" w:type="dxa"/>
              <w:bottom w:w="70" w:type="dxa"/>
              <w:end w:w="90" w:type="dxa"/>
            </w:tcMar>
            <w:vAlign w:val="top"/>
            <w:shd w:fill="F4F7F9" w:val="clear"/>
          </w:tcPr>
          <w:p>
            <w:pPr>
              <w:spacing w:after="40" w:line="245" w:lineRule="auto"/>
            </w:pPr>
            <w:r>
              <w:rPr>
                <w:sz w:val="18"/>
              </w:rPr>
              <w:t>Supported native alternative with owner/evidence, or excluded capability. No shim or empty root is called complete provisioning.</w:t>
            </w:r>
          </w:p>
        </w:tc>
      </w:tr>
    </w:tbl>
    <w:p>
      <w:pPr>
        <w:spacing w:after="0"/>
      </w:pPr>
      <w:r/>
    </w:p>
    <w:p>
      <w:r>
        <w:t>HashiCorp documents provider configurations and inheritance within modules, while provider dependency locks do not lock remote module versions. Keep those controls separate in the engineering release. [K03, K04]</w:t>
      </w:r>
    </w:p>
    <w:p>
      <w:pPr>
        <w:pStyle w:val="Caption"/>
      </w:pPr>
      <w:r>
        <w:t xml:space="preserve">External mechanism context: </w:t>
      </w:r>
      <w:hyperlink r:id="rId40">
        <w:r>
          <w:rPr>
            <w:color w:val="0B6B70"/>
            <w:u w:val="single"/>
          </w:rPr>
          <w:t>K03 — Terraform providers within modules</w:t>
        </w:r>
      </w:hyperlink>
      <w:r>
        <w:t xml:space="preserve">  •  </w:t>
      </w:r>
      <w:hyperlink r:id="rId41">
        <w:r>
          <w:rPr>
            <w:color w:val="0B6B70"/>
            <w:u w:val="single"/>
          </w:rPr>
          <w:t>K04 — Terraform dependency lock file</w:t>
        </w:r>
      </w:hyperlink>
    </w:p>
    <w:p>
      <w:r>
        <w:br w:type="page"/>
      </w:r>
    </w:p>
    <w:p>
      <w:pPr>
        <w:pStyle w:val="Heading1"/>
      </w:pPr>
      <w:r>
        <w:t>8. Build, test and implementation handoff</w:t>
      </w:r>
      <w:bookmarkStart w:id="1007" w:name="EK_08"/>
      <w:bookmarkEnd w:id="1007"/>
    </w:p>
    <w:p>
      <w:r>
        <w:t>The implementation team must receive both how to change the environment and how to determine whether the change succeeded safely. The expected observation is part of every material step.</w:t>
      </w:r>
    </w:p>
    <w:p>
      <w:pPr>
        <w:pStyle w:val="Caption"/>
      </w:pPr>
      <w:r>
        <w:t xml:space="preserve">Baseline and related records: </w:t>
      </w:r>
      <w:hyperlink r:id="rId42">
        <w:r>
          <w:rPr>
            <w:color w:val="0B6B70"/>
            <w:u w:val="single"/>
          </w:rPr>
          <w:t>PROV §4</w:t>
        </w:r>
      </w:hyperlink>
      <w:r>
        <w:t xml:space="preserve">  •  </w:t>
      </w:r>
      <w:hyperlink r:id="rId43">
        <w:r>
          <w:rPr>
            <w:color w:val="0B6B70"/>
            <w:u w:val="single"/>
          </w:rPr>
          <w:t>PROV §5</w:t>
        </w:r>
      </w:hyperlink>
      <w:r>
        <w:t xml:space="preserve">  •  </w:t>
      </w:r>
      <w:hyperlink r:id="rId44">
        <w:r>
          <w:rPr>
            <w:color w:val="0B6B70"/>
            <w:u w:val="single"/>
          </w:rPr>
          <w:t>QUAL §5</w:t>
        </w:r>
      </w:hyperlink>
      <w:r>
        <w:t xml:space="preserve">  •  </w:t>
      </w:r>
      <w:hyperlink r:id="rId45">
        <w:r>
          <w:rPr>
            <w:color w:val="0B6B70"/>
            <w:u w:val="single"/>
          </w:rPr>
          <w:t>ET §9</w:t>
        </w:r>
      </w:hyperlink>
      <w:r>
        <w:t xml:space="preserve">  •  </w:t>
      </w:r>
      <w:hyperlink r:id="rId46">
        <w:r>
          <w:rPr>
            <w:color w:val="0B6B70"/>
            <w:u w:val="single"/>
          </w:rPr>
          <w:t>IT §1</w:t>
        </w:r>
      </w:hyperlink>
    </w:p>
    <w:tbl>
      <w:tblPr>
        <w:tblW w:type="auto" w:w="0"/>
        <w:jc w:val="center"/>
        <w:tblLayout w:type="fixed"/>
        <w:tblLook w:firstColumn="1" w:firstRow="1" w:lastColumn="0" w:lastRow="0" w:noHBand="0" w:noVBand="1" w:val="04A0"/>
      </w:tblPr>
      <w:tblGrid>
        <w:gridCol w:w="2376"/>
        <w:gridCol w:w="7906"/>
      </w:tblGrid>
      <w:tr>
        <w:trPr>
          <w:tblHeader/>
        </w:trPr>
        <w:tc>
          <w:tcPr>
            <w:tcW w:type="dxa" w:w="2376"/>
            <w:shd w:fill="15384A" w:val="clear"/>
            <w:tcMar>
              <w:top w:w="70" w:type="dxa"/>
              <w:start w:w="90" w:type="dxa"/>
              <w:bottom w:w="70" w:type="dxa"/>
              <w:end w:w="90" w:type="dxa"/>
            </w:tcMar>
          </w:tcPr>
          <w:p>
            <w:r>
              <w:rPr>
                <w:b/>
                <w:color w:val="FFFFFF"/>
                <w:sz w:val="18"/>
              </w:rPr>
              <w:t>Release item</w:t>
            </w:r>
          </w:p>
        </w:tc>
        <w:tc>
          <w:tcPr>
            <w:tcW w:type="dxa" w:w="7906"/>
            <w:shd w:fill="15384A" w:val="clear"/>
            <w:tcMar>
              <w:top w:w="70" w:type="dxa"/>
              <w:start w:w="90" w:type="dxa"/>
              <w:bottom w:w="70" w:type="dxa"/>
              <w:end w:w="90" w:type="dxa"/>
            </w:tcMar>
          </w:tcPr>
          <w:p>
            <w:r>
              <w:rPr>
                <w:b/>
                <w:color w:val="FFFFFF"/>
                <w:sz w:val="18"/>
              </w:rPr>
              <w:t>Required content</w:t>
            </w:r>
          </w:p>
        </w:tc>
      </w:tr>
      <w:tr>
        <w:trPr>
          <w:cantSplit/>
        </w:trPr>
        <w:tc>
          <w:tcPr>
            <w:tcW w:type="dxa" w:w="2376"/>
            <w:tcMar>
              <w:top w:w="70" w:type="dxa"/>
              <w:start w:w="90" w:type="dxa"/>
              <w:bottom w:w="70" w:type="dxa"/>
              <w:end w:w="90" w:type="dxa"/>
            </w:tcMar>
            <w:vAlign w:val="top"/>
          </w:tcPr>
          <w:p>
            <w:pPr>
              <w:spacing w:after="40" w:line="245" w:lineRule="auto"/>
            </w:pPr>
            <w:r>
              <w:rPr>
                <w:sz w:val="18"/>
              </w:rPr>
              <w:t>Controlled design</w:t>
            </w:r>
          </w:p>
        </w:tc>
        <w:tc>
          <w:tcPr>
            <w:tcW w:type="dxa" w:w="7906"/>
            <w:tcMar>
              <w:top w:w="70" w:type="dxa"/>
              <w:start w:w="90" w:type="dxa"/>
              <w:bottom w:w="70" w:type="dxa"/>
              <w:end w:w="90" w:type="dxa"/>
            </w:tcMar>
            <w:vAlign w:val="top"/>
          </w:tcPr>
          <w:p>
            <w:pPr>
              <w:spacing w:after="40" w:line="245" w:lineRule="auto"/>
            </w:pPr>
            <w:r>
              <w:rPr>
                <w:sz w:val="18"/>
              </w:rPr>
              <w:t>HLD/LLD revision, accepted decisions, actual schedules, diagrams, scope and unresolved blockers.</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Build artifacts</w:t>
            </w:r>
          </w:p>
        </w:tc>
        <w:tc>
          <w:tcPr>
            <w:tcW w:type="dxa" w:w="7906"/>
            <w:tcMar>
              <w:top w:w="70" w:type="dxa"/>
              <w:start w:w="90" w:type="dxa"/>
              <w:bottom w:w="70" w:type="dxa"/>
              <w:end w:w="90" w:type="dxa"/>
            </w:tcMar>
            <w:vAlign w:val="top"/>
            <w:shd w:fill="F4F7F9" w:val="clear"/>
          </w:tcPr>
          <w:p>
            <w:pPr>
              <w:spacing w:after="40" w:line="245" w:lineRule="auto"/>
            </w:pPr>
            <w:r>
              <w:rPr>
                <w:sz w:val="18"/>
              </w:rPr>
              <w:t>Configuration/module/installer inputs, checksums, exact tool versions, credential references and ownership.</w:t>
            </w:r>
          </w:p>
        </w:tc>
      </w:tr>
      <w:tr>
        <w:trPr>
          <w:cantSplit/>
        </w:trPr>
        <w:tc>
          <w:tcPr>
            <w:tcW w:type="dxa" w:w="2376"/>
            <w:tcMar>
              <w:top w:w="70" w:type="dxa"/>
              <w:start w:w="90" w:type="dxa"/>
              <w:bottom w:w="70" w:type="dxa"/>
              <w:end w:w="90" w:type="dxa"/>
            </w:tcMar>
            <w:vAlign w:val="top"/>
          </w:tcPr>
          <w:p>
            <w:pPr>
              <w:spacing w:after="40" w:line="245" w:lineRule="auto"/>
            </w:pPr>
            <w:r>
              <w:rPr>
                <w:sz w:val="18"/>
              </w:rPr>
              <w:t>Method of procedure</w:t>
            </w:r>
          </w:p>
        </w:tc>
        <w:tc>
          <w:tcPr>
            <w:tcW w:type="dxa" w:w="7906"/>
            <w:tcMar>
              <w:top w:w="70" w:type="dxa"/>
              <w:start w:w="90" w:type="dxa"/>
              <w:bottom w:w="70" w:type="dxa"/>
              <w:end w:w="90" w:type="dxa"/>
            </w:tcMar>
            <w:vAlign w:val="top"/>
          </w:tcPr>
          <w:p>
            <w:pPr>
              <w:spacing w:after="40" w:line="245" w:lineRule="auto"/>
            </w:pPr>
            <w:r>
              <w:rPr>
                <w:sz w:val="18"/>
              </w:rPr>
              <w:t>Prerequisites, actual target, action, expected observation, timeout, safe stop, operator and evidence receipt per step.</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Recovery of change</w:t>
            </w:r>
          </w:p>
        </w:tc>
        <w:tc>
          <w:tcPr>
            <w:tcW w:type="dxa" w:w="7906"/>
            <w:tcMar>
              <w:top w:w="70" w:type="dxa"/>
              <w:start w:w="90" w:type="dxa"/>
              <w:bottom w:w="70" w:type="dxa"/>
              <w:end w:w="90" w:type="dxa"/>
            </w:tcMar>
            <w:vAlign w:val="top"/>
            <w:shd w:fill="F4F7F9" w:val="clear"/>
          </w:tcPr>
          <w:p>
            <w:pPr>
              <w:spacing w:after="40" w:line="245" w:lineRule="auto"/>
            </w:pPr>
            <w:r>
              <w:rPr>
                <w:sz w:val="18"/>
              </w:rPr>
              <w:t>Rollback eligibility, irreversible/data-changing points, forward repair, outstanding task discovery and restart authority.</w:t>
            </w:r>
          </w:p>
        </w:tc>
      </w:tr>
      <w:tr>
        <w:trPr>
          <w:cantSplit/>
        </w:trPr>
        <w:tc>
          <w:tcPr>
            <w:tcW w:type="dxa" w:w="2376"/>
            <w:tcMar>
              <w:top w:w="70" w:type="dxa"/>
              <w:start w:w="90" w:type="dxa"/>
              <w:bottom w:w="70" w:type="dxa"/>
              <w:end w:w="90" w:type="dxa"/>
            </w:tcMar>
            <w:vAlign w:val="top"/>
          </w:tcPr>
          <w:p>
            <w:pPr>
              <w:spacing w:after="40" w:line="245" w:lineRule="auto"/>
            </w:pPr>
            <w:r>
              <w:rPr>
                <w:sz w:val="18"/>
              </w:rPr>
              <w:t>Qualification design</w:t>
            </w:r>
          </w:p>
        </w:tc>
        <w:tc>
          <w:tcPr>
            <w:tcW w:type="dxa" w:w="7906"/>
            <w:tcMar>
              <w:top w:w="70" w:type="dxa"/>
              <w:start w:w="90" w:type="dxa"/>
              <w:bottom w:w="70" w:type="dxa"/>
              <w:end w:w="90" w:type="dxa"/>
            </w:tcMar>
            <w:vAlign w:val="top"/>
          </w:tcPr>
          <w:p>
            <w:pPr>
              <w:spacing w:after="40" w:line="245" w:lineRule="auto"/>
            </w:pPr>
            <w:r>
              <w:rPr>
                <w:sz w:val="18"/>
              </w:rPr>
              <w:t>Applicable requirements/assertions, healthy controls, test topology, families, failure/load scenarios, evidence and review method.</w:t>
            </w:r>
          </w:p>
        </w:tc>
      </w:tr>
      <w:tr>
        <w:trPr>
          <w:cantSplit/>
        </w:trPr>
        <w:tc>
          <w:tcPr>
            <w:tcW w:type="dxa" w:w="2376"/>
            <w:tcMar>
              <w:top w:w="70" w:type="dxa"/>
              <w:start w:w="90" w:type="dxa"/>
              <w:bottom w:w="70" w:type="dxa"/>
              <w:end w:w="90" w:type="dxa"/>
            </w:tcMar>
            <w:vAlign w:val="top"/>
            <w:shd w:fill="F4F7F9" w:val="clear"/>
          </w:tcPr>
          <w:p>
            <w:pPr>
              <w:spacing w:after="40" w:line="245" w:lineRule="auto"/>
            </w:pPr>
            <w:r>
              <w:rPr>
                <w:sz w:val="18"/>
              </w:rPr>
              <w:t>Activation and handover</w:t>
            </w:r>
          </w:p>
        </w:tc>
        <w:tc>
          <w:tcPr>
            <w:tcW w:type="dxa" w:w="7906"/>
            <w:tcMar>
              <w:top w:w="70" w:type="dxa"/>
              <w:start w:w="90" w:type="dxa"/>
              <w:bottom w:w="70" w:type="dxa"/>
              <w:end w:w="90" w:type="dxa"/>
            </w:tcMar>
            <w:vAlign w:val="top"/>
            <w:shd w:fill="F4F7F9" w:val="clear"/>
          </w:tcPr>
          <w:p>
            <w:pPr>
              <w:spacing w:after="40" w:line="245" w:lineRule="auto"/>
            </w:pPr>
            <w:r>
              <w:rPr>
                <w:sz w:val="18"/>
              </w:rPr>
              <w:t>Initial G4 obligations, valid authority, current checks, reversible exposure, post-change observation and as-built records.</w:t>
            </w:r>
          </w:p>
        </w:tc>
      </w:tr>
    </w:tbl>
    <w:p>
      <w:pPr>
        <w:spacing w:after="0"/>
      </w:pPr>
      <w:r/>
    </w:p>
    <w:p>
      <w:r>
        <w:t>Walk the MOP with operations before the window. Ensure a test-only fixture cannot accidentally carry production data. Confirm spare test capacity and restore material. Review brownfield plans for unintentional replacements and remove dual ownership before mutation.</w:t>
      </w:r>
    </w:p>
    <w:p>
      <w:pPr>
        <w:keepLines/>
        <w:spacing w:before="140" w:after="200"/>
        <w:shd w:fill="EEF5F7" w:val="clear"/>
        <w:pBdr>
          <w:left w:val="single" w:sz="12" w:space="8" w:color="0B6B70"/>
        </w:pBdr>
      </w:pPr>
      <w:r>
        <w:rPr>
          <w:b/>
        </w:rPr>
        <w:t>Engineering handoff is complete only when a named implementation owner can identify every required input and safe stop. No unknown native command, route or privileged credential is supplied by assumption.</w:t>
      </w:r>
    </w:p>
    <w:sectPr w:rsidR="00FC693F" w:rsidRPr="0006063C" w:rsidSect="00034616">
      <w:headerReference w:type="default" r:id="rId9"/>
      <w:footerReference w:type="default" r:id="rId10"/>
      <w:pgSz w:w="12240" w:h="15840"/>
      <w:pgMar w:top="936" w:right="979" w:bottom="936"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v1.0  •  Architecture baseline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30" TargetMode="External"/><Relationship Id="rId12" Type="http://schemas.openxmlformats.org/officeDocument/2006/relationships/hyperlink" Target="../05_Reference_v1_4/06_Site_Design_Qualification_and_Operations_v1_4.docx#QUAL_s_002" TargetMode="External"/><Relationship Id="rId13" Type="http://schemas.openxmlformats.org/officeDocument/2006/relationships/hyperlink" Target="LLD_and_Engineering_Review_Template.docx#ET_01" TargetMode="External"/><Relationship Id="rId14" Type="http://schemas.openxmlformats.org/officeDocument/2006/relationships/hyperlink" Target="../05_Reference_v1_4/00_Reference_Architecture_v1_4.docx#RA_s_003" TargetMode="External"/><Relationship Id="rId15" Type="http://schemas.openxmlformats.org/officeDocument/2006/relationships/hyperlink" Target="../05_Reference_v1_4/00_Reference_Architecture_v1_4.docx#RA_s_004" TargetMode="External"/><Relationship Id="rId16" Type="http://schemas.openxmlformats.org/officeDocument/2006/relationships/hyperlink" Target="../05_Reference_v1_4/00_Reference_Architecture_v1_4.docx#RA_s_005" TargetMode="External"/><Relationship Id="rId17" Type="http://schemas.openxmlformats.org/officeDocument/2006/relationships/hyperlink" Target="LLD_and_Engineering_Review_Template.docx#ET_02" TargetMode="External"/><Relationship Id="rId18" Type="http://schemas.openxmlformats.org/officeDocument/2006/relationships/hyperlink" Target="../05_Reference_v1_4/02_Fabric_Security_and_Interfaces_v1_4.docx#NET_s_001" TargetMode="External"/><Relationship Id="rId19" Type="http://schemas.openxmlformats.org/officeDocument/2006/relationships/hyperlink" Target="../05_Reference_v1_4/02_Fabric_Security_and_Interfaces_v1_4.docx#NET_s_003" TargetMode="External"/><Relationship Id="rId20" Type="http://schemas.openxmlformats.org/officeDocument/2006/relationships/hyperlink" Target="../05_Reference_v1_4/02_Fabric_Security_and_Interfaces_v1_4.docx#NET_s_004" TargetMode="External"/><Relationship Id="rId21" Type="http://schemas.openxmlformats.org/officeDocument/2006/relationships/hyperlink" Target="../05_Reference_v1_4/07_Worked_Infrastructure_Design_and_Acceptance_v1_4.docx#WD14_S06" TargetMode="External"/><Relationship Id="rId22" Type="http://schemas.openxmlformats.org/officeDocument/2006/relationships/hyperlink" Target="LLD_and_Engineering_Review_Template.docx#ET_03" TargetMode="External"/><Relationship Id="rId23" Type="http://schemas.openxmlformats.org/officeDocument/2006/relationships/hyperlink" Target="../05_Reference_v1_4/00_Reference_Architecture_v1_4.docx#RA_s_011" TargetMode="External"/><Relationship Id="rId24" Type="http://schemas.openxmlformats.org/officeDocument/2006/relationships/hyperlink" Target="../05_Reference_v1_4/00_Reference_Architecture_v1_4.docx#RA_s_012" TargetMode="External"/><Relationship Id="rId25" Type="http://schemas.openxmlformats.org/officeDocument/2006/relationships/hyperlink" Target="../05_Reference_v1_4/07_Worked_Infrastructure_Design_and_Acceptance_v1_4.docx#WD14_S07" TargetMode="External"/><Relationship Id="rId26" Type="http://schemas.openxmlformats.org/officeDocument/2006/relationships/hyperlink" Target="LLD_and_Engineering_Review_Template.docx#ET_05" TargetMode="External"/><Relationship Id="rId27" Type="http://schemas.openxmlformats.org/officeDocument/2006/relationships/hyperlink" Target="../05_Reference_v1_4/05_Shared_Services_Data_and_Recovery_v1_4.docx#SVC_s_001" TargetMode="External"/><Relationship Id="rId28" Type="http://schemas.openxmlformats.org/officeDocument/2006/relationships/hyperlink" Target="../05_Reference_v1_4/05_Shared_Services_Data_and_Recovery_v1_4.docx#SVC_s_002" TargetMode="External"/><Relationship Id="rId29" Type="http://schemas.openxmlformats.org/officeDocument/2006/relationships/hyperlink" Target="../05_Reference_v1_4/05_Shared_Services_Data_and_Recovery_v1_4.docx#SVC_s_003" TargetMode="External"/><Relationship Id="rId30" Type="http://schemas.openxmlformats.org/officeDocument/2006/relationships/hyperlink" Target="LLD_and_Engineering_Review_Template.docx#ET_06" TargetMode="External"/><Relationship Id="rId31" Type="http://schemas.openxmlformats.org/officeDocument/2006/relationships/hyperlink" Target="https://www.cyber.gc.ca/en/guidance/guidance-securely-configuring-network-protocols-itsp40062" TargetMode="External"/><Relationship Id="rId32" Type="http://schemas.openxmlformats.org/officeDocument/2006/relationships/hyperlink" Target="../05_Reference_v1_4/06_Site_Design_Qualification_and_Operations_v1_4.docx#QUAL_s_003" TargetMode="External"/><Relationship Id="rId33" Type="http://schemas.openxmlformats.org/officeDocument/2006/relationships/hyperlink" Target="../05_Reference_v1_4/07_Worked_Infrastructure_Design_and_Acceptance_v1_4.docx#WD14_S11" TargetMode="External"/><Relationship Id="rId34" Type="http://schemas.openxmlformats.org/officeDocument/2006/relationships/hyperlink" Target="../05_Reference_v1_4/02_Fabric_Security_and_Interfaces_v1_4.docx#NET_s_005" TargetMode="External"/><Relationship Id="rId35" Type="http://schemas.openxmlformats.org/officeDocument/2006/relationships/hyperlink" Target="LLD_and_Engineering_Review_Template.docx#ET_07" TargetMode="External"/><Relationship Id="rId36" Type="http://schemas.openxmlformats.org/officeDocument/2006/relationships/hyperlink" Target="../05_Reference_v1_4/03_Vendor_Stack_Realizations_v1_4.docx#VND_s_007" TargetMode="External"/><Relationship Id="rId37" Type="http://schemas.openxmlformats.org/officeDocument/2006/relationships/hyperlink" Target="../05_Reference_v1_4/04_Provisioning_and_Commissioning_v1_4.docx#PROV_s_003" TargetMode="External"/><Relationship Id="rId38" Type="http://schemas.openxmlformats.org/officeDocument/2006/relationships/hyperlink" Target="Vendor_Realization_Cards.docx#VC_07" TargetMode="External"/><Relationship Id="rId39" Type="http://schemas.openxmlformats.org/officeDocument/2006/relationships/hyperlink" Target="LLD_and_Engineering_Review_Template.docx#ET_08" TargetMode="External"/><Relationship Id="rId40" Type="http://schemas.openxmlformats.org/officeDocument/2006/relationships/hyperlink" Target="https://developer.hashicorp.com/terraform/language/modules/develop/providers" TargetMode="External"/><Relationship Id="rId41" Type="http://schemas.openxmlformats.org/officeDocument/2006/relationships/hyperlink" Target="https://developer.hashicorp.com/terraform/language/files/dependency-lock" TargetMode="External"/><Relationship Id="rId42" Type="http://schemas.openxmlformats.org/officeDocument/2006/relationships/hyperlink" Target="../05_Reference_v1_4/04_Provisioning_and_Commissioning_v1_4.docx#PROV_s_004" TargetMode="External"/><Relationship Id="rId43" Type="http://schemas.openxmlformats.org/officeDocument/2006/relationships/hyperlink" Target="../05_Reference_v1_4/04_Provisioning_and_Commissioning_v1_4.docx#PROV_s_005" TargetMode="External"/><Relationship Id="rId44" Type="http://schemas.openxmlformats.org/officeDocument/2006/relationships/hyperlink" Target="../05_Reference_v1_4/06_Site_Design_Qualification_and_Operations_v1_4.docx#QUAL_s_005" TargetMode="External"/><Relationship Id="rId45" Type="http://schemas.openxmlformats.org/officeDocument/2006/relationships/hyperlink" Target="LLD_and_Engineering_Review_Template.docx#ET_09" TargetMode="External"/><Relationship Id="rId46" Type="http://schemas.openxmlformats.org/officeDocument/2006/relationships/hyperlink" Target="../03_Implementation/MOP_Test_and_Handover_Template.docx#IT_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Kit — Buildable Design and Verification</dc:title>
  <dc:subject>Infrastructure architecture, engineering and implementation delivery kit</dc:subject>
  <dc:creator/>
  <cp:keywords>Portable hosting, infrastructure, architecture, engineering, implementation</cp:keywords>
  <dc:description/>
  <cp:lastModifiedBy/>
  <cp:revision>1</cp:revision>
  <dcterms:created xsi:type="dcterms:W3CDTF">2013-12-23T23:15:00Z</dcterms:created>
  <dcterms:modified xsi:type="dcterms:W3CDTF">2013-12-23T23:15:00Z</dcterms:modified>
  <cp:category/>
</cp:coreProperties>
</file>