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6B70"/>
        </w:rPr>
        <w:t>DESIGN DEVELOPMENT  /  PBS</w:t>
      </w:r>
    </w:p>
    <w:p>
      <w:pPr>
        <w:pStyle w:val="Title"/>
      </w:pPr>
      <w:r>
        <w:t>Platform Engineering and Build Specifications</w:t>
      </w:r>
    </w:p>
    <w:p>
      <w:pPr>
        <w:pStyle w:val="Subtitle"/>
      </w:pPr>
      <w:r>
        <w:t>Assign native resource ownership, dependencies, build outputs and acceptance for each vendor stack.</w:t>
      </w:r>
    </w:p>
    <w:p>
      <w:r>
        <w:t>Kit release v1.1 • 17 September 2026 • Parent architecture v1.4 retained</w:t>
      </w:r>
    </w:p>
    <w:p>
      <w:pPr>
        <w:keepLines/>
        <w:spacing w:before="120"/>
        <w:shd w:fill="EEF5F7" w:val="clear"/>
        <w:pBdr>
          <w:left w:val="single" w:sz="12" w:space="8" w:color="0B6B70"/>
        </w:pBdr>
      </w:pPr>
      <w:r>
        <w:rPr>
          <w:b/>
        </w:rPr>
        <w:t>Proposed engineering development. Reference examples, site decisions, actual observations and approval remain separate.</w:t>
      </w:r>
    </w:p>
    <w:p>
      <w:r>
        <w:t>This supplement develops the earlier vendor cards into build specifications. Select one platform track plus the required shared infrastructure. Every native object still needs the actual supported release and environment values from the LLD. No commands, provider versions, platform installation or live test result are invented.</w:t>
      </w:r>
    </w:p>
    <w:p>
      <w:pPr>
        <w:pStyle w:val="Heading2"/>
      </w:pPr>
      <w:r>
        <w:t>Section navigation</w:t>
      </w:r>
    </w:p>
    <w:p>
      <w:pPr>
        <w:spacing w:after="60"/>
      </w:pPr>
      <w:hyperlink w:anchor="PBS_01">
        <w:r>
          <w:rPr>
            <w:color w:val="0B6B70"/>
            <w:u w:val="single"/>
          </w:rPr>
          <w:t>1. Choose the platform boundary and configuration owner</w:t>
        </w:r>
      </w:hyperlink>
    </w:p>
    <w:p>
      <w:pPr>
        <w:spacing w:after="60"/>
      </w:pPr>
      <w:hyperlink w:anchor="PBS_02">
        <w:r>
          <w:rPr>
            <w:color w:val="0B6B70"/>
            <w:u w:val="single"/>
          </w:rPr>
          <w:t>2. Nutanix: commission the hosting cell</w:t>
        </w:r>
      </w:hyperlink>
    </w:p>
    <w:p>
      <w:pPr>
        <w:spacing w:after="60"/>
      </w:pPr>
      <w:hyperlink w:anchor="PBS_03">
        <w:r>
          <w:rPr>
            <w:color w:val="0B6B70"/>
            <w:u w:val="single"/>
          </w:rPr>
          <w:t>3. Nutanix: realize a tenant and its workload domains</w:t>
        </w:r>
      </w:hyperlink>
    </w:p>
    <w:p>
      <w:pPr>
        <w:spacing w:after="60"/>
      </w:pPr>
      <w:hyperlink w:anchor="PBS_04">
        <w:r>
          <w:rPr>
            <w:color w:val="0B6B70"/>
            <w:u w:val="single"/>
          </w:rPr>
          <w:t>4. VMware/NSX: commission transport, compute and edge roles</w:t>
        </w:r>
      </w:hyperlink>
    </w:p>
    <w:p>
      <w:pPr>
        <w:spacing w:after="60"/>
      </w:pPr>
      <w:hyperlink w:anchor="PBS_05">
        <w:r>
          <w:rPr>
            <w:color w:val="0B6B70"/>
            <w:u w:val="single"/>
          </w:rPr>
          <w:t>5. VMware/NSX: bind domain, workload and policy lifecycles</w:t>
        </w:r>
      </w:hyperlink>
    </w:p>
    <w:p>
      <w:pPr>
        <w:spacing w:after="60"/>
      </w:pPr>
      <w:hyperlink w:anchor="PBS_06">
        <w:r>
          <w:rPr>
            <w:color w:val="0B6B70"/>
            <w:u w:val="single"/>
          </w:rPr>
          <w:t>6. OpenStack: commission a distribution, not a generic label</w:t>
        </w:r>
      </w:hyperlink>
    </w:p>
    <w:p>
      <w:pPr>
        <w:spacing w:after="60"/>
      </w:pPr>
      <w:hyperlink w:anchor="PBS_07">
        <w:r>
          <w:rPr>
            <w:color w:val="0B6B70"/>
            <w:u w:val="single"/>
          </w:rPr>
          <w:t>7. OpenStack: protect mandatory network mutation</w:t>
        </w:r>
      </w:hyperlink>
    </w:p>
    <w:p>
      <w:pPr>
        <w:spacing w:after="60"/>
      </w:pPr>
      <w:hyperlink w:anchor="PBS_08">
        <w:r>
          <w:rPr>
            <w:color w:val="0B6B70"/>
            <w:u w:val="single"/>
          </w:rPr>
          <w:t>8. Publish shared-service handoffs without sharing authority</w:t>
        </w:r>
      </w:hyperlink>
    </w:p>
    <w:p>
      <w:pPr>
        <w:spacing w:after="60"/>
      </w:pPr>
      <w:hyperlink w:anchor="PBS_09">
        <w:r>
          <w:rPr>
            <w:color w:val="0B6B70"/>
            <w:u w:val="single"/>
          </w:rPr>
          <w:t>9. Release a native build package that can be independently reviewed</w:t>
        </w:r>
      </w:hyperlink>
    </w:p>
    <w:p>
      <w:pPr>
        <w:pStyle w:val="Caption"/>
      </w:pPr>
      <w:r>
        <w:t>Basis: linked RA/WD and role-kit sections retain their original authority. The elaborations, record formats and calculations in this supplement are local proposals, not new government requirements. D-source references identify freshly checked public mechanisms, not installed compatibility. Exact source locators are in 04_Shared/development/source_reviews.csv.</w:t>
      </w:r>
    </w:p>
    <w:p>
      <w:r>
        <w:br w:type="page"/>
      </w:r>
    </w:p>
    <w:p>
      <w:pPr>
        <w:pStyle w:val="Heading1"/>
      </w:pPr>
      <w:r>
        <w:t>1. Choose the platform boundary and configuration owner</w:t>
      </w:r>
      <w:bookmarkStart w:id="113" w:name="PBS_01"/>
      <w:bookmarkEnd w:id="113"/>
    </w:p>
    <w:p>
      <w:r>
        <w:t>One WSD delivery spans several infrastructure owners. The selected hypervisor provider does not automatically establish the fabric, security edge, identity, addressing, backup and recovery services.</w:t>
      </w:r>
    </w:p>
    <w:p>
      <w:pPr>
        <w:pStyle w:val="Caption"/>
      </w:pPr>
      <w:r>
        <w:t xml:space="preserve">Design basis and related records: </w:t>
      </w:r>
      <w:hyperlink r:id="rId11">
        <w:r>
          <w:rPr>
            <w:color w:val="0B6B70"/>
            <w:u w:val="single"/>
          </w:rPr>
          <w:t>RA §15</w:t>
        </w:r>
      </w:hyperlink>
      <w:r>
        <w:t xml:space="preserve">  •  </w:t>
      </w:r>
      <w:hyperlink r:id="rId12">
        <w:r>
          <w:rPr>
            <w:color w:val="0B6B70"/>
            <w:u w:val="single"/>
          </w:rPr>
          <w:t>RA §20</w:t>
        </w:r>
      </w:hyperlink>
      <w:r>
        <w:t xml:space="preserve">  •  </w:t>
      </w:r>
      <w:hyperlink r:id="rId13">
        <w:r>
          <w:rPr>
            <w:color w:val="0B6B70"/>
            <w:u w:val="single"/>
          </w:rPr>
          <w:t>VC §1</w:t>
        </w:r>
      </w:hyperlink>
      <w:r>
        <w:t xml:space="preserve">  •  </w:t>
      </w:r>
      <w:hyperlink r:id="rId14">
        <w:r>
          <w:rPr>
            <w:color w:val="0B6B70"/>
            <w:u w:val="single"/>
          </w:rPr>
          <w:t>PROV §3</w:t>
        </w:r>
      </w:hyperlink>
    </w:p>
    <w:tbl>
      <w:tblPr>
        <w:tblW w:type="auto" w:w="0"/>
        <w:jc w:val="center"/>
        <w:tblLayout w:type="fixed"/>
        <w:tblLook w:firstColumn="1" w:firstRow="1" w:lastColumn="0" w:lastRow="0" w:noHBand="0" w:noVBand="1" w:val="04A0"/>
      </w:tblPr>
      <w:tblGrid>
        <w:gridCol w:w="2016"/>
        <w:gridCol w:w="4190"/>
        <w:gridCol w:w="4075"/>
      </w:tblGrid>
      <w:tr>
        <w:trPr>
          <w:tblHeader/>
        </w:trPr>
        <w:tc>
          <w:tcPr>
            <w:tcW w:type="dxa" w:w="2016"/>
            <w:tcMar>
              <w:top w:w="85" w:type="dxa"/>
              <w:bottom w:w="85" w:type="dxa"/>
              <w:start w:w="90" w:type="dxa"/>
              <w:end w:w="90" w:type="dxa"/>
            </w:tcMar>
            <w:vAlign w:val="top"/>
            <w:shd w:fill="15384A" w:val="clear"/>
          </w:tcPr>
          <w:p>
            <w:pPr>
              <w:spacing w:after="30" w:line="247" w:lineRule="auto"/>
            </w:pPr>
            <w:r>
              <w:rPr>
                <w:b/>
                <w:color w:val="FFFFFF"/>
                <w:sz w:val="18"/>
              </w:rPr>
              <w:t>Resource family</w:t>
            </w:r>
          </w:p>
        </w:tc>
        <w:tc>
          <w:tcPr>
            <w:tcW w:type="dxa" w:w="4190"/>
            <w:tcMar>
              <w:top w:w="85" w:type="dxa"/>
              <w:bottom w:w="85" w:type="dxa"/>
              <w:start w:w="90" w:type="dxa"/>
              <w:end w:w="90" w:type="dxa"/>
            </w:tcMar>
            <w:vAlign w:val="top"/>
            <w:shd w:fill="15384A" w:val="clear"/>
          </w:tcPr>
          <w:p>
            <w:pPr>
              <w:spacing w:after="30" w:line="247" w:lineRule="auto"/>
            </w:pPr>
            <w:r>
              <w:rPr>
                <w:b/>
                <w:color w:val="FFFFFF"/>
                <w:sz w:val="18"/>
              </w:rPr>
              <w:t>Commissioning / mutation owner</w:t>
            </w:r>
          </w:p>
        </w:tc>
        <w:tc>
          <w:tcPr>
            <w:tcW w:type="dxa" w:w="4075"/>
            <w:tcMar>
              <w:top w:w="85" w:type="dxa"/>
              <w:bottom w:w="85" w:type="dxa"/>
              <w:start w:w="90" w:type="dxa"/>
              <w:end w:w="90" w:type="dxa"/>
            </w:tcMar>
            <w:vAlign w:val="top"/>
            <w:shd w:fill="15384A" w:val="clear"/>
          </w:tcPr>
          <w:p>
            <w:pPr>
              <w:spacing w:after="30" w:line="247" w:lineRule="auto"/>
            </w:pPr>
            <w:r>
              <w:rPr>
                <w:b/>
                <w:color w:val="FFFFFF"/>
                <w:sz w:val="18"/>
              </w:rPr>
              <w:t>Accepted consumer output</w:t>
            </w:r>
          </w:p>
        </w:tc>
      </w:tr>
      <w:tr>
        <w:trPr>
          <w:cantSplit/>
        </w:trPr>
        <w:tc>
          <w:tcPr>
            <w:tcW w:type="dxa" w:w="2016"/>
            <w:tcMar>
              <w:top w:w="85" w:type="dxa"/>
              <w:bottom w:w="85" w:type="dxa"/>
              <w:start w:w="90" w:type="dxa"/>
              <w:end w:w="90" w:type="dxa"/>
            </w:tcMar>
            <w:vAlign w:val="top"/>
          </w:tcPr>
          <w:p>
            <w:pPr>
              <w:spacing w:after="30" w:line="247" w:lineRule="auto"/>
            </w:pPr>
            <w:r>
              <w:rPr>
                <w:b w:val="0"/>
                <w:sz w:val="18"/>
              </w:rPr>
              <w:t>Physical transport and OOB</w:t>
            </w:r>
          </w:p>
        </w:tc>
        <w:tc>
          <w:tcPr>
            <w:tcW w:type="dxa" w:w="4190"/>
            <w:tcMar>
              <w:top w:w="85" w:type="dxa"/>
              <w:bottom w:w="85" w:type="dxa"/>
              <w:start w:w="90" w:type="dxa"/>
              <w:end w:w="90" w:type="dxa"/>
            </w:tcMar>
            <w:vAlign w:val="top"/>
          </w:tcPr>
          <w:p>
            <w:pPr>
              <w:spacing w:after="30" w:line="247" w:lineRule="auto"/>
            </w:pPr>
            <w:r>
              <w:rPr>
                <w:b w:val="0"/>
                <w:sz w:val="18"/>
              </w:rPr>
              <w:t>P0/P1 foundation owner and selected network/hardware mechanism.</w:t>
            </w:r>
          </w:p>
        </w:tc>
        <w:tc>
          <w:tcPr>
            <w:tcW w:type="dxa" w:w="4075"/>
            <w:tcMar>
              <w:top w:w="85" w:type="dxa"/>
              <w:bottom w:w="85" w:type="dxa"/>
              <w:start w:w="90" w:type="dxa"/>
              <w:end w:w="90" w:type="dxa"/>
            </w:tcMar>
            <w:vAlign w:val="top"/>
          </w:tcPr>
          <w:p>
            <w:pPr>
              <w:spacing w:after="30" w:line="247" w:lineRule="auto"/>
            </w:pPr>
            <w:r>
              <w:rPr>
                <w:b w:val="0"/>
                <w:sz w:val="18"/>
              </w:rPr>
              <w:t>Actual paths, permitted transport, interface capacity and recovery access.</w:t>
            </w:r>
          </w:p>
        </w:tc>
      </w:tr>
      <w:tr>
        <w:trPr>
          <w:cantSplit/>
        </w:trPr>
        <w:tc>
          <w:tcPr>
            <w:tcW w:type="dxa" w:w="2016"/>
            <w:tcMar>
              <w:top w:w="85" w:type="dxa"/>
              <w:bottom w:w="85" w:type="dxa"/>
              <w:start w:w="90" w:type="dxa"/>
              <w:end w:w="90" w:type="dxa"/>
            </w:tcMar>
            <w:vAlign w:val="top"/>
            <w:shd w:fill="EEF5F7" w:val="clear"/>
          </w:tcPr>
          <w:p>
            <w:pPr>
              <w:spacing w:after="30" w:line="247" w:lineRule="auto"/>
            </w:pPr>
            <w:r>
              <w:rPr>
                <w:b w:val="0"/>
                <w:sz w:val="18"/>
              </w:rPr>
              <w:t>Native platform</w:t>
            </w:r>
          </w:p>
        </w:tc>
        <w:tc>
          <w:tcPr>
            <w:tcW w:type="dxa" w:w="4190"/>
            <w:tcMar>
              <w:top w:w="85" w:type="dxa"/>
              <w:bottom w:w="85" w:type="dxa"/>
              <w:start w:w="90" w:type="dxa"/>
              <w:end w:w="90" w:type="dxa"/>
            </w:tcMar>
            <w:vAlign w:val="top"/>
            <w:shd w:fill="EEF5F7" w:val="clear"/>
          </w:tcPr>
          <w:p>
            <w:pPr>
              <w:spacing w:after="30" w:line="247" w:lineRule="auto"/>
            </w:pPr>
            <w:r>
              <w:rPr>
                <w:b w:val="0"/>
                <w:sz w:val="18"/>
              </w:rPr>
              <w:t>P2 owner using the supported installer/lifecycle method and qualified APIs.</w:t>
            </w:r>
          </w:p>
        </w:tc>
        <w:tc>
          <w:tcPr>
            <w:tcW w:type="dxa" w:w="4075"/>
            <w:tcMar>
              <w:top w:w="85" w:type="dxa"/>
              <w:bottom w:w="85" w:type="dxa"/>
              <w:start w:w="90" w:type="dxa"/>
              <w:end w:w="90" w:type="dxa"/>
            </w:tcMar>
            <w:vAlign w:val="top"/>
            <w:shd w:fill="EEF5F7" w:val="clear"/>
          </w:tcPr>
          <w:p>
            <w:pPr>
              <w:spacing w:after="30" w:line="247" w:lineRule="auto"/>
            </w:pPr>
            <w:r>
              <w:rPr>
                <w:b w:val="0"/>
                <w:sz w:val="18"/>
              </w:rPr>
              <w:t>Healthy supported cluster/control scope, eligible pools, storage and network capability.</w:t>
            </w:r>
          </w:p>
        </w:tc>
      </w:tr>
      <w:tr>
        <w:trPr>
          <w:cantSplit/>
        </w:trPr>
        <w:tc>
          <w:tcPr>
            <w:tcW w:type="dxa" w:w="2016"/>
            <w:tcMar>
              <w:top w:w="85" w:type="dxa"/>
              <w:bottom w:w="85" w:type="dxa"/>
              <w:start w:w="90" w:type="dxa"/>
              <w:end w:w="90" w:type="dxa"/>
            </w:tcMar>
            <w:vAlign w:val="top"/>
          </w:tcPr>
          <w:p>
            <w:pPr>
              <w:spacing w:after="30" w:line="247" w:lineRule="auto"/>
            </w:pPr>
            <w:r>
              <w:rPr>
                <w:b w:val="0"/>
                <w:sz w:val="18"/>
              </w:rPr>
              <w:t>ZIP and common services</w:t>
            </w:r>
          </w:p>
        </w:tc>
        <w:tc>
          <w:tcPr>
            <w:tcW w:type="dxa" w:w="4190"/>
            <w:tcMar>
              <w:top w:w="85" w:type="dxa"/>
              <w:bottom w:w="85" w:type="dxa"/>
              <w:start w:w="90" w:type="dxa"/>
              <w:end w:w="90" w:type="dxa"/>
            </w:tcMar>
            <w:vAlign w:val="top"/>
          </w:tcPr>
          <w:p>
            <w:pPr>
              <w:spacing w:after="30" w:line="247" w:lineRule="auto"/>
            </w:pPr>
            <w:r>
              <w:rPr>
                <w:b w:val="0"/>
                <w:sz w:val="18"/>
              </w:rPr>
              <w:t>P3 security, network-service, identity, storage and protection owners.</w:t>
            </w:r>
          </w:p>
        </w:tc>
        <w:tc>
          <w:tcPr>
            <w:tcW w:type="dxa" w:w="4075"/>
            <w:tcMar>
              <w:top w:w="85" w:type="dxa"/>
              <w:bottom w:w="85" w:type="dxa"/>
              <w:start w:w="90" w:type="dxa"/>
              <w:end w:w="90" w:type="dxa"/>
            </w:tcMar>
            <w:vAlign w:val="top"/>
          </w:tcPr>
          <w:p>
            <w:pPr>
              <w:spacing w:after="30" w:line="247" w:lineRule="auto"/>
            </w:pPr>
            <w:r>
              <w:rPr>
                <w:b w:val="0"/>
                <w:sz w:val="18"/>
              </w:rPr>
              <w:t>Scoped attachments, endpoints, permissions, capacity, support and loss behaviour.</w:t>
            </w:r>
          </w:p>
        </w:tc>
      </w:tr>
      <w:tr>
        <w:trPr>
          <w:cantSplit/>
        </w:trPr>
        <w:tc>
          <w:tcPr>
            <w:tcW w:type="dxa" w:w="2016"/>
            <w:tcMar>
              <w:top w:w="85" w:type="dxa"/>
              <w:bottom w:w="85" w:type="dxa"/>
              <w:start w:w="90" w:type="dxa"/>
              <w:end w:w="90" w:type="dxa"/>
            </w:tcMar>
            <w:vAlign w:val="top"/>
            <w:shd w:fill="EEF5F7" w:val="clear"/>
          </w:tcPr>
          <w:p>
            <w:pPr>
              <w:spacing w:after="30" w:line="247" w:lineRule="auto"/>
            </w:pPr>
            <w:r>
              <w:rPr>
                <w:b w:val="0"/>
                <w:sz w:val="18"/>
              </w:rPr>
              <w:t>Tenant and workload</w:t>
            </w:r>
          </w:p>
        </w:tc>
        <w:tc>
          <w:tcPr>
            <w:tcW w:type="dxa" w:w="4190"/>
            <w:tcMar>
              <w:top w:w="85" w:type="dxa"/>
              <w:bottom w:w="85" w:type="dxa"/>
              <w:start w:w="90" w:type="dxa"/>
              <w:end w:w="90" w:type="dxa"/>
            </w:tcMar>
            <w:vAlign w:val="top"/>
            <w:shd w:fill="EEF5F7" w:val="clear"/>
          </w:tcPr>
          <w:p>
            <w:pPr>
              <w:spacing w:after="30" w:line="247" w:lineRule="auto"/>
            </w:pPr>
            <w:r>
              <w:rPr>
                <w:b w:val="0"/>
                <w:sz w:val="18"/>
              </w:rPr>
              <w:t>P4/P5 resource owners using approved modules/API operations.</w:t>
            </w:r>
          </w:p>
        </w:tc>
        <w:tc>
          <w:tcPr>
            <w:tcW w:type="dxa" w:w="4075"/>
            <w:tcMar>
              <w:top w:w="85" w:type="dxa"/>
              <w:bottom w:w="85" w:type="dxa"/>
              <w:start w:w="90" w:type="dxa"/>
              <w:end w:w="90" w:type="dxa"/>
            </w:tcMar>
            <w:vAlign w:val="top"/>
            <w:shd w:fill="EEF5F7" w:val="clear"/>
          </w:tcPr>
          <w:p>
            <w:pPr>
              <w:spacing w:after="30" w:line="247" w:lineRule="auto"/>
            </w:pPr>
            <w:r>
              <w:rPr>
                <w:b w:val="0"/>
                <w:sz w:val="18"/>
              </w:rPr>
              <w:t>Owned networks, compute/data attachments, protection and current activation evidence.</w:t>
            </w:r>
          </w:p>
        </w:tc>
      </w:tr>
      <w:tr>
        <w:trPr>
          <w:cantSplit/>
        </w:trPr>
        <w:tc>
          <w:tcPr>
            <w:tcW w:type="dxa" w:w="2016"/>
            <w:tcMar>
              <w:top w:w="85" w:type="dxa"/>
              <w:bottom w:w="85" w:type="dxa"/>
              <w:start w:w="90" w:type="dxa"/>
              <w:end w:w="90" w:type="dxa"/>
            </w:tcMar>
            <w:vAlign w:val="top"/>
          </w:tcPr>
          <w:p>
            <w:pPr>
              <w:spacing w:after="30" w:line="247" w:lineRule="auto"/>
            </w:pPr>
            <w:r>
              <w:rPr>
                <w:b w:val="0"/>
                <w:sz w:val="18"/>
              </w:rPr>
              <w:t>Lifecycle</w:t>
            </w:r>
          </w:p>
        </w:tc>
        <w:tc>
          <w:tcPr>
            <w:tcW w:type="dxa" w:w="4190"/>
            <w:tcMar>
              <w:top w:w="85" w:type="dxa"/>
              <w:bottom w:w="85" w:type="dxa"/>
              <w:start w:w="90" w:type="dxa"/>
              <w:end w:w="90" w:type="dxa"/>
            </w:tcMar>
            <w:vAlign w:val="top"/>
          </w:tcPr>
          <w:p>
            <w:pPr>
              <w:spacing w:after="30" w:line="247" w:lineRule="auto"/>
            </w:pPr>
            <w:r>
              <w:rPr>
                <w:b w:val="0"/>
                <w:sz w:val="18"/>
              </w:rPr>
              <w:t>P6 owner of each affected native resource, with coordinated dependencies.</w:t>
            </w:r>
          </w:p>
        </w:tc>
        <w:tc>
          <w:tcPr>
            <w:tcW w:type="dxa" w:w="4075"/>
            <w:tcMar>
              <w:top w:w="85" w:type="dxa"/>
              <w:bottom w:w="85" w:type="dxa"/>
              <w:start w:w="90" w:type="dxa"/>
              <w:end w:w="90" w:type="dxa"/>
            </w:tcMar>
            <w:vAlign w:val="top"/>
          </w:tcPr>
          <w:p>
            <w:pPr>
              <w:spacing w:after="30" w:line="247" w:lineRule="auto"/>
            </w:pPr>
            <w:r>
              <w:rPr>
                <w:b w:val="0"/>
                <w:sz w:val="18"/>
              </w:rPr>
              <w:t>Changed as-built, retained obligations, requalification and cleanup evidence.</w:t>
            </w:r>
          </w:p>
        </w:tc>
      </w:tr>
    </w:tbl>
    <w:p>
      <w:pPr>
        <w:spacing w:after="0" w:before="0" w:line="120"/>
      </w:pPr>
    </w:p>
    <w:p>
      <w:r>
        <w:t>A native installer may own controller databases, platform certificates, host configuration and transport setup. A Terraform module may own tenant VMs, networks or a supported policy resource. Record ownership at the smallest supported independent resource boundary; do not place overlapping controllers over the same field or object.</w:t>
      </w:r>
    </w:p>
    <w:p>
      <w:r>
        <w:t>The operation specification contains create, read/observe, update, adoption, replacement, deletion and uncertain-outcome recovery separately. For each operation identify its input artifact, privilege scope, completion signal and possible data effect. Read access to a product API cannot establish full lifecycle coverage.</w:t>
      </w:r>
    </w:p>
    <w:p>
      <w:pPr>
        <w:keepLines/>
        <w:spacing w:before="120"/>
        <w:shd w:fill="EEF5F7" w:val="clear"/>
        <w:pBdr>
          <w:left w:val="single" w:sz="12" w:space="8" w:color="0B6B70"/>
        </w:pBdr>
      </w:pPr>
      <w:r>
        <w:rPr>
          <w:b/>
        </w:rPr>
        <w:t>Build sequence is dependency-driven, not tool-driven. P2 can use accepted temporary P0 services; P2/P3 offered-service acceptance is resolved before ordinary tenant allocation.</w:t>
      </w:r>
    </w:p>
    <w:p>
      <w:pPr>
        <w:pStyle w:val="Caption"/>
      </w:pPr>
      <w:r>
        <w:t xml:space="preserve">Continue with: </w:t>
      </w:r>
      <w:hyperlink r:id="rId15">
        <w:r>
          <w:rPr>
            <w:color w:val="0B6B70"/>
            <w:u w:val="single"/>
          </w:rPr>
          <w:t>PBS §8</w:t>
        </w:r>
      </w:hyperlink>
      <w:r>
        <w:t xml:space="preserve">  •  </w:t>
      </w:r>
      <w:hyperlink r:id="rId16">
        <w:r>
          <w:rPr>
            <w:color w:val="0B6B70"/>
            <w:u w:val="single"/>
          </w:rPr>
          <w:t>PBS §9</w:t>
        </w:r>
      </w:hyperlink>
    </w:p>
    <w:p>
      <w:r>
        <w:br w:type="page"/>
      </w:r>
    </w:p>
    <w:p>
      <w:pPr>
        <w:pStyle w:val="Heading1"/>
      </w:pPr>
      <w:r>
        <w:t>2. Nutanix: commission the hosting cell</w:t>
      </w:r>
      <w:bookmarkStart w:id="114" w:name="PBS_02"/>
      <w:bookmarkEnd w:id="114"/>
    </w:p>
    <w:p>
      <w:r>
        <w:t>P2 establishes AHV/AOS and protected Prism/Flow management for a defined cell. Cluster installation is distinct from allocating a tenant’s VPC, VM or data.</w:t>
      </w:r>
    </w:p>
    <w:p>
      <w:pPr>
        <w:pStyle w:val="Caption"/>
      </w:pPr>
      <w:r>
        <w:t xml:space="preserve">Design basis and related records: </w:t>
      </w:r>
      <w:hyperlink r:id="rId17">
        <w:r>
          <w:rPr>
            <w:color w:val="0B6B70"/>
            <w:u w:val="single"/>
          </w:rPr>
          <w:t>RA §16</w:t>
        </w:r>
      </w:hyperlink>
      <w:r>
        <w:t xml:space="preserve">  •  </w:t>
      </w:r>
      <w:hyperlink r:id="rId18">
        <w:r>
          <w:rPr>
            <w:color w:val="0B6B70"/>
            <w:u w:val="single"/>
          </w:rPr>
          <w:t>VND §3</w:t>
        </w:r>
      </w:hyperlink>
      <w:r>
        <w:t xml:space="preserve">  •  </w:t>
      </w:r>
      <w:hyperlink r:id="rId19">
        <w:r>
          <w:rPr>
            <w:color w:val="0B6B70"/>
            <w:u w:val="single"/>
          </w:rPr>
          <w:t>VC §2</w:t>
        </w:r>
      </w:hyperlink>
    </w:p>
    <w:p>
      <w:r>
        <w:t>The engineering release supplies hardware and firmware compatibility, cluster membership, management and recovery paths, adopted co-residency, supported storage/protection classes, actual licences, and the selected AOS/Prism/Flow/API/provider combination. Treat controller/storage sharing as part of the security and failure analysis, not merely an internal implementation detail.</w:t>
      </w:r>
    </w:p>
    <w:tbl>
      <w:tblPr>
        <w:tblW w:type="auto" w:w="0"/>
        <w:jc w:val="center"/>
        <w:tblLayout w:type="fixed"/>
        <w:tblLook w:firstColumn="1" w:firstRow="1" w:lastColumn="0" w:lastRow="0" w:noHBand="0" w:noVBand="1" w:val="04A0"/>
      </w:tblPr>
      <w:tblGrid>
        <w:gridCol w:w="2261"/>
        <w:gridCol w:w="4032"/>
        <w:gridCol w:w="3989"/>
      </w:tblGrid>
      <w:tr>
        <w:trPr>
          <w:tblHeader/>
        </w:trPr>
        <w:tc>
          <w:tcPr>
            <w:tcW w:type="dxa" w:w="2261"/>
            <w:tcMar>
              <w:top w:w="85" w:type="dxa"/>
              <w:bottom w:w="85" w:type="dxa"/>
              <w:start w:w="90" w:type="dxa"/>
              <w:end w:w="90" w:type="dxa"/>
            </w:tcMar>
            <w:vAlign w:val="top"/>
            <w:shd w:fill="15384A" w:val="clear"/>
          </w:tcPr>
          <w:p>
            <w:pPr>
              <w:spacing w:after="30" w:line="247" w:lineRule="auto"/>
            </w:pPr>
            <w:r>
              <w:rPr>
                <w:b/>
                <w:color w:val="FFFFFF"/>
                <w:sz w:val="18"/>
              </w:rPr>
              <w:t>Commissioned output</w:t>
            </w:r>
          </w:p>
        </w:tc>
        <w:tc>
          <w:tcPr>
            <w:tcW w:type="dxa" w:w="4032"/>
            <w:tcMar>
              <w:top w:w="85" w:type="dxa"/>
              <w:bottom w:w="85" w:type="dxa"/>
              <w:start w:w="90" w:type="dxa"/>
              <w:end w:w="90" w:type="dxa"/>
            </w:tcMar>
            <w:vAlign w:val="top"/>
            <w:shd w:fill="15384A" w:val="clear"/>
          </w:tcPr>
          <w:p>
            <w:pPr>
              <w:spacing w:after="30" w:line="247" w:lineRule="auto"/>
            </w:pPr>
            <w:r>
              <w:rPr>
                <w:b/>
                <w:color w:val="FFFFFF"/>
                <w:sz w:val="18"/>
              </w:rPr>
              <w:t>Build specification</w:t>
            </w:r>
          </w:p>
        </w:tc>
        <w:tc>
          <w:tcPr>
            <w:tcW w:type="dxa" w:w="3989"/>
            <w:tcMar>
              <w:top w:w="85" w:type="dxa"/>
              <w:bottom w:w="85" w:type="dxa"/>
              <w:start w:w="90" w:type="dxa"/>
              <w:end w:w="90" w:type="dxa"/>
            </w:tcMar>
            <w:vAlign w:val="top"/>
            <w:shd w:fill="15384A" w:val="clear"/>
          </w:tcPr>
          <w:p>
            <w:pPr>
              <w:spacing w:after="30" w:line="247" w:lineRule="auto"/>
            </w:pPr>
            <w:r>
              <w:rPr>
                <w:b/>
                <w:color w:val="FFFFFF"/>
                <w:sz w:val="18"/>
              </w:rPr>
              <w:t>Acceptance observation</w:t>
            </w:r>
          </w:p>
        </w:tc>
      </w:tr>
      <w:tr>
        <w:trPr>
          <w:cantSplit/>
        </w:trPr>
        <w:tc>
          <w:tcPr>
            <w:tcW w:type="dxa" w:w="2261"/>
            <w:tcMar>
              <w:top w:w="85" w:type="dxa"/>
              <w:bottom w:w="85" w:type="dxa"/>
              <w:start w:w="90" w:type="dxa"/>
              <w:end w:w="90" w:type="dxa"/>
            </w:tcMar>
            <w:vAlign w:val="top"/>
          </w:tcPr>
          <w:p>
            <w:pPr>
              <w:spacing w:after="30" w:line="247" w:lineRule="auto"/>
            </w:pPr>
            <w:r>
              <w:rPr>
                <w:b w:val="0"/>
                <w:sz w:val="18"/>
              </w:rPr>
              <w:t>Cluster and management</w:t>
            </w:r>
          </w:p>
        </w:tc>
        <w:tc>
          <w:tcPr>
            <w:tcW w:type="dxa" w:w="4032"/>
            <w:tcMar>
              <w:top w:w="85" w:type="dxa"/>
              <w:bottom w:w="85" w:type="dxa"/>
              <w:start w:w="90" w:type="dxa"/>
              <w:end w:w="90" w:type="dxa"/>
            </w:tcMar>
            <w:vAlign w:val="top"/>
          </w:tcPr>
          <w:p>
            <w:pPr>
              <w:spacing w:after="30" w:line="247" w:lineRule="auto"/>
            </w:pPr>
            <w:r>
              <w:rPr>
                <w:b w:val="0"/>
                <w:sz w:val="18"/>
              </w:rPr>
              <w:t>Accepted installation artifacts; named management interfaces, trust and scoped roles.</w:t>
            </w:r>
          </w:p>
        </w:tc>
        <w:tc>
          <w:tcPr>
            <w:tcW w:type="dxa" w:w="3989"/>
            <w:tcMar>
              <w:top w:w="85" w:type="dxa"/>
              <w:bottom w:w="85" w:type="dxa"/>
              <w:start w:w="90" w:type="dxa"/>
              <w:end w:w="90" w:type="dxa"/>
            </w:tcMar>
            <w:vAlign w:val="top"/>
          </w:tcPr>
          <w:p>
            <w:pPr>
              <w:spacing w:after="30" w:line="247" w:lineRule="auto"/>
            </w:pPr>
            <w:r>
              <w:rPr>
                <w:b w:val="0"/>
                <w:sz w:val="18"/>
              </w:rPr>
              <w:t>Native health, expected membership, protected administrative access and recoverable configuration.</w:t>
            </w:r>
          </w:p>
        </w:tc>
      </w:tr>
      <w:tr>
        <w:trPr>
          <w:cantSplit/>
        </w:trPr>
        <w:tc>
          <w:tcPr>
            <w:tcW w:type="dxa" w:w="2261"/>
            <w:tcMar>
              <w:top w:w="85" w:type="dxa"/>
              <w:bottom w:w="85" w:type="dxa"/>
              <w:start w:w="90" w:type="dxa"/>
              <w:end w:w="90" w:type="dxa"/>
            </w:tcMar>
            <w:vAlign w:val="top"/>
            <w:shd w:fill="EEF5F7" w:val="clear"/>
          </w:tcPr>
          <w:p>
            <w:pPr>
              <w:spacing w:after="30" w:line="247" w:lineRule="auto"/>
            </w:pPr>
            <w:r>
              <w:rPr>
                <w:b w:val="0"/>
                <w:sz w:val="18"/>
              </w:rPr>
              <w:t>Eligible host/storage pools</w:t>
            </w:r>
          </w:p>
        </w:tc>
        <w:tc>
          <w:tcPr>
            <w:tcW w:type="dxa" w:w="4032"/>
            <w:tcMar>
              <w:top w:w="85" w:type="dxa"/>
              <w:bottom w:w="85" w:type="dxa"/>
              <w:start w:w="90" w:type="dxa"/>
              <w:end w:w="90" w:type="dxa"/>
            </w:tcMar>
            <w:vAlign w:val="top"/>
            <w:shd w:fill="EEF5F7" w:val="clear"/>
          </w:tcPr>
          <w:p>
            <w:pPr>
              <w:spacing w:after="30" w:line="247" w:lineRule="auto"/>
            </w:pPr>
            <w:r>
              <w:rPr>
                <w:b w:val="0"/>
                <w:sz w:val="18"/>
              </w:rPr>
              <w:t>Enforced workload placement, supported images/boot modes, data/key scope and reserve.</w:t>
            </w:r>
          </w:p>
        </w:tc>
        <w:tc>
          <w:tcPr>
            <w:tcW w:type="dxa" w:w="3989"/>
            <w:tcMar>
              <w:top w:w="85" w:type="dxa"/>
              <w:bottom w:w="85" w:type="dxa"/>
              <w:start w:w="90" w:type="dxa"/>
              <w:end w:w="90" w:type="dxa"/>
            </w:tcMar>
            <w:vAlign w:val="top"/>
            <w:shd w:fill="EEF5F7" w:val="clear"/>
          </w:tcPr>
          <w:p>
            <w:pPr>
              <w:spacing w:after="30" w:line="247" w:lineRule="auto"/>
            </w:pPr>
            <w:r>
              <w:rPr>
                <w:b w:val="0"/>
                <w:sz w:val="18"/>
              </w:rPr>
              <w:t>Disallowed placement rejected; intended disk access and protection prerequisites available.</w:t>
            </w:r>
          </w:p>
        </w:tc>
      </w:tr>
      <w:tr>
        <w:trPr>
          <w:cantSplit/>
        </w:trPr>
        <w:tc>
          <w:tcPr>
            <w:tcW w:type="dxa" w:w="2261"/>
            <w:tcMar>
              <w:top w:w="85" w:type="dxa"/>
              <w:bottom w:w="85" w:type="dxa"/>
              <w:start w:w="90" w:type="dxa"/>
              <w:end w:w="90" w:type="dxa"/>
            </w:tcMar>
            <w:vAlign w:val="top"/>
          </w:tcPr>
          <w:p>
            <w:pPr>
              <w:spacing w:after="30" w:line="247" w:lineRule="auto"/>
            </w:pPr>
            <w:r>
              <w:rPr>
                <w:b w:val="0"/>
                <w:sz w:val="18"/>
              </w:rPr>
              <w:t>Network and external capacity</w:t>
            </w:r>
          </w:p>
        </w:tc>
        <w:tc>
          <w:tcPr>
            <w:tcW w:type="dxa" w:w="4032"/>
            <w:tcMar>
              <w:top w:w="85" w:type="dxa"/>
              <w:bottom w:w="85" w:type="dxa"/>
              <w:start w:w="90" w:type="dxa"/>
              <w:end w:w="90" w:type="dxa"/>
            </w:tcMar>
            <w:vAlign w:val="top"/>
          </w:tcPr>
          <w:p>
            <w:pPr>
              <w:spacing w:after="30" w:line="247" w:lineRule="auto"/>
            </w:pPr>
            <w:r>
              <w:rPr>
                <w:b w:val="0"/>
                <w:sz w:val="18"/>
              </w:rPr>
              <w:t>Overlay transport plus isolated or explicitly qualified external handoff slots.</w:t>
            </w:r>
          </w:p>
        </w:tc>
        <w:tc>
          <w:tcPr>
            <w:tcW w:type="dxa" w:w="3989"/>
            <w:tcMar>
              <w:top w:w="85" w:type="dxa"/>
              <w:bottom w:w="85" w:type="dxa"/>
              <w:start w:w="90" w:type="dxa"/>
              <w:end w:w="90" w:type="dxa"/>
            </w:tcMar>
            <w:vAlign w:val="top"/>
          </w:tcPr>
          <w:p>
            <w:pPr>
              <w:spacing w:after="30" w:line="247" w:lineRule="auto"/>
            </w:pPr>
            <w:r>
              <w:rPr>
                <w:b w:val="0"/>
                <w:sz w:val="18"/>
              </w:rPr>
              <w:t>Transport MTU, actual gateway behaviour, route ownership and no common-connected bypass.</w:t>
            </w:r>
          </w:p>
        </w:tc>
      </w:tr>
      <w:tr>
        <w:trPr>
          <w:cantSplit/>
        </w:trPr>
        <w:tc>
          <w:tcPr>
            <w:tcW w:type="dxa" w:w="2261"/>
            <w:tcMar>
              <w:top w:w="85" w:type="dxa"/>
              <w:bottom w:w="85" w:type="dxa"/>
              <w:start w:w="90" w:type="dxa"/>
              <w:end w:w="90" w:type="dxa"/>
            </w:tcMar>
            <w:vAlign w:val="top"/>
            <w:shd w:fill="EEF5F7" w:val="clear"/>
          </w:tcPr>
          <w:p>
            <w:pPr>
              <w:spacing w:after="30" w:line="247" w:lineRule="auto"/>
            </w:pPr>
            <w:r>
              <w:rPr>
                <w:b w:val="0"/>
                <w:sz w:val="18"/>
              </w:rPr>
              <w:t>Mandatory policy foundation</w:t>
            </w:r>
          </w:p>
        </w:tc>
        <w:tc>
          <w:tcPr>
            <w:tcW w:type="dxa" w:w="4032"/>
            <w:tcMar>
              <w:top w:w="85" w:type="dxa"/>
              <w:bottom w:w="85" w:type="dxa"/>
              <w:start w:w="90" w:type="dxa"/>
              <w:end w:w="90" w:type="dxa"/>
            </w:tcMar>
            <w:vAlign w:val="top"/>
            <w:shd w:fill="EEF5F7" w:val="clear"/>
          </w:tcPr>
          <w:p>
            <w:pPr>
              <w:spacing w:after="30" w:line="247" w:lineRule="auto"/>
            </w:pPr>
            <w:r>
              <w:rPr>
                <w:b w:val="0"/>
                <w:sz w:val="18"/>
              </w:rPr>
              <w:t>Provider-controlled selectors, baseline rules and authorization limits.</w:t>
            </w:r>
          </w:p>
        </w:tc>
        <w:tc>
          <w:tcPr>
            <w:tcW w:type="dxa" w:w="3989"/>
            <w:tcMar>
              <w:top w:w="85" w:type="dxa"/>
              <w:bottom w:w="85" w:type="dxa"/>
              <w:start w:w="90" w:type="dxa"/>
              <w:end w:w="90" w:type="dxa"/>
            </w:tcMar>
            <w:vAlign w:val="top"/>
            <w:shd w:fill="EEF5F7" w:val="clear"/>
          </w:tcPr>
          <w:p>
            <w:pPr>
              <w:spacing w:after="30" w:line="247" w:lineRule="auto"/>
            </w:pPr>
            <w:r>
              <w:rPr>
                <w:b w:val="0"/>
                <w:sz w:val="18"/>
              </w:rPr>
              <w:t>Tenant identity cannot alter mandatory membership or expand baseline permissions.</w:t>
            </w:r>
          </w:p>
        </w:tc>
      </w:tr>
      <w:tr>
        <w:trPr>
          <w:cantSplit/>
        </w:trPr>
        <w:tc>
          <w:tcPr>
            <w:tcW w:type="dxa" w:w="2261"/>
            <w:tcMar>
              <w:top w:w="85" w:type="dxa"/>
              <w:bottom w:w="85" w:type="dxa"/>
              <w:start w:w="90" w:type="dxa"/>
              <w:end w:w="90" w:type="dxa"/>
            </w:tcMar>
            <w:vAlign w:val="top"/>
          </w:tcPr>
          <w:p>
            <w:pPr>
              <w:spacing w:after="30" w:line="247" w:lineRule="auto"/>
            </w:pPr>
            <w:r>
              <w:rPr>
                <w:b w:val="0"/>
                <w:sz w:val="18"/>
              </w:rPr>
              <w:t>Operational dependencies</w:t>
            </w:r>
          </w:p>
        </w:tc>
        <w:tc>
          <w:tcPr>
            <w:tcW w:type="dxa" w:w="4032"/>
            <w:tcMar>
              <w:top w:w="85" w:type="dxa"/>
              <w:bottom w:w="85" w:type="dxa"/>
              <w:start w:w="90" w:type="dxa"/>
              <w:end w:w="90" w:type="dxa"/>
            </w:tcMar>
            <w:vAlign w:val="top"/>
          </w:tcPr>
          <w:p>
            <w:pPr>
              <w:spacing w:after="30" w:line="247" w:lineRule="auto"/>
            </w:pPr>
            <w:r>
              <w:rPr>
                <w:b w:val="0"/>
                <w:sz w:val="18"/>
              </w:rPr>
              <w:t>Accepted names, time, logging, keys, images and backup/recovery interfaces.</w:t>
            </w:r>
          </w:p>
        </w:tc>
        <w:tc>
          <w:tcPr>
            <w:tcW w:type="dxa" w:w="3989"/>
            <w:tcMar>
              <w:top w:w="85" w:type="dxa"/>
              <w:bottom w:w="85" w:type="dxa"/>
              <w:start w:w="90" w:type="dxa"/>
              <w:end w:w="90" w:type="dxa"/>
            </w:tcMar>
            <w:vAlign w:val="top"/>
          </w:tcPr>
          <w:p>
            <w:pPr>
              <w:spacing w:after="30" w:line="247" w:lineRule="auto"/>
            </w:pPr>
            <w:r>
              <w:rPr>
                <w:b w:val="0"/>
                <w:sz w:val="18"/>
              </w:rPr>
              <w:t>Correct clients, scope and independent recovery of the dependencies needed to restart the cell.</w:t>
            </w:r>
          </w:p>
        </w:tc>
      </w:tr>
    </w:tbl>
    <w:p>
      <w:pPr>
        <w:spacing w:after="0" w:before="0" w:line="120"/>
      </w:pPr>
    </w:p>
    <w:p>
      <w:r>
        <w:t>The official provider repository publishes version-specific compatibility and resource/lifecycle notes. Use these as inputs to the actual support decision, not as proof that a named resource supports every intended update or recovery action. This document does not select a provider release. [D03]</w:t>
      </w:r>
    </w:p>
    <w:p>
      <w:pPr>
        <w:pStyle w:val="Caption"/>
      </w:pPr>
      <w:r>
        <w:t xml:space="preserve">Verified mechanism source: </w:t>
      </w:r>
      <w:hyperlink r:id="rId20">
        <w:r>
          <w:rPr>
            <w:color w:val="0B6B70"/>
            <w:u w:val="single"/>
          </w:rPr>
          <w:t>D03 — Nutanix Terraform provider official repository</w:t>
        </w:r>
      </w:hyperlink>
    </w:p>
    <w:p>
      <w:r>
        <w:t>The cell remains a safeguarded candidate until applicable qualification is complete. Record installation receipts separately from the later test campaign, and stop advertising any service class whose required attachment or policy behaviour remains unresolved.</w:t>
      </w:r>
    </w:p>
    <w:p>
      <w:pPr>
        <w:pStyle w:val="Caption"/>
      </w:pPr>
      <w:r>
        <w:t xml:space="preserve">Continue with: </w:t>
      </w:r>
      <w:hyperlink r:id="rId21">
        <w:r>
          <w:rPr>
            <w:color w:val="0B6B70"/>
            <w:u w:val="single"/>
          </w:rPr>
          <w:t>QCP §1</w:t>
        </w:r>
      </w:hyperlink>
      <w:r>
        <w:t xml:space="preserve">  •  </w:t>
      </w:r>
      <w:hyperlink r:id="rId22">
        <w:r>
          <w:rPr>
            <w:color w:val="0B6B70"/>
            <w:u w:val="single"/>
          </w:rPr>
          <w:t>PBS §3</w:t>
        </w:r>
      </w:hyperlink>
    </w:p>
    <w:p>
      <w:r>
        <w:br w:type="page"/>
      </w:r>
    </w:p>
    <w:p>
      <w:pPr>
        <w:pStyle w:val="Heading1"/>
      </w:pPr>
      <w:r>
        <w:t>3. Nutanix: realize a tenant and its workload domains</w:t>
      </w:r>
      <w:bookmarkStart w:id="115" w:name="PBS_03"/>
      <w:bookmarkEnd w:id="115"/>
    </w:p>
    <w:p>
      <w:r>
        <w:t>The domain routing, tenant entitlement and mandatory security selectors are different controls even when they are operated through related management services.</w:t>
      </w:r>
    </w:p>
    <w:p>
      <w:pPr>
        <w:pStyle w:val="Caption"/>
      </w:pPr>
      <w:r>
        <w:t xml:space="preserve">Design basis and related records: </w:t>
      </w:r>
      <w:hyperlink r:id="rId17">
        <w:r>
          <w:rPr>
            <w:color w:val="0B6B70"/>
            <w:u w:val="single"/>
          </w:rPr>
          <w:t>RA §16</w:t>
        </w:r>
      </w:hyperlink>
      <w:r>
        <w:t xml:space="preserve">  •  </w:t>
      </w:r>
      <w:hyperlink r:id="rId23">
        <w:r>
          <w:rPr>
            <w:color w:val="0B6B70"/>
            <w:u w:val="single"/>
          </w:rPr>
          <w:t>WD §8</w:t>
        </w:r>
      </w:hyperlink>
      <w:r>
        <w:t xml:space="preserve">  •  </w:t>
      </w:r>
      <w:hyperlink r:id="rId24">
        <w:r>
          <w:rPr>
            <w:color w:val="0B6B70"/>
            <w:u w:val="single"/>
          </w:rPr>
          <w:t>PROV §4</w:t>
        </w:r>
      </w:hyperlink>
    </w:p>
    <w:tbl>
      <w:tblPr>
        <w:tblW w:type="auto" w:w="0"/>
        <w:jc w:val="center"/>
        <w:tblLayout w:type="fixed"/>
        <w:tblLook w:firstColumn="1" w:firstRow="1" w:lastColumn="0" w:lastRow="0" w:noHBand="0" w:noVBand="1" w:val="04A0"/>
      </w:tblPr>
      <w:tblGrid>
        <w:gridCol w:w="2016"/>
        <w:gridCol w:w="4349"/>
        <w:gridCol w:w="3917"/>
      </w:tblGrid>
      <w:tr>
        <w:trPr>
          <w:tblHeader/>
        </w:trPr>
        <w:tc>
          <w:tcPr>
            <w:tcW w:type="dxa" w:w="2016"/>
            <w:tcMar>
              <w:top w:w="85" w:type="dxa"/>
              <w:bottom w:w="85" w:type="dxa"/>
              <w:start w:w="90" w:type="dxa"/>
              <w:end w:w="90" w:type="dxa"/>
            </w:tcMar>
            <w:vAlign w:val="top"/>
            <w:shd w:fill="15384A" w:val="clear"/>
          </w:tcPr>
          <w:p>
            <w:pPr>
              <w:spacing w:after="30" w:line="247" w:lineRule="auto"/>
            </w:pPr>
            <w:r>
              <w:rPr>
                <w:b/>
                <w:color w:val="FFFFFF"/>
                <w:sz w:val="18"/>
              </w:rPr>
              <w:t>Dependency order</w:t>
            </w:r>
          </w:p>
        </w:tc>
        <w:tc>
          <w:tcPr>
            <w:tcW w:type="dxa" w:w="4349"/>
            <w:tcMar>
              <w:top w:w="85" w:type="dxa"/>
              <w:bottom w:w="85" w:type="dxa"/>
              <w:start w:w="90" w:type="dxa"/>
              <w:end w:w="90" w:type="dxa"/>
            </w:tcMar>
            <w:vAlign w:val="top"/>
            <w:shd w:fill="15384A" w:val="clear"/>
          </w:tcPr>
          <w:p>
            <w:pPr>
              <w:spacing w:after="30" w:line="247" w:lineRule="auto"/>
            </w:pPr>
            <w:r>
              <w:rPr>
                <w:b/>
                <w:color w:val="FFFFFF"/>
                <w:sz w:val="18"/>
              </w:rPr>
              <w:t>Native realization to specify</w:t>
            </w:r>
          </w:p>
        </w:tc>
        <w:tc>
          <w:tcPr>
            <w:tcW w:type="dxa" w:w="3917"/>
            <w:tcMar>
              <w:top w:w="85" w:type="dxa"/>
              <w:bottom w:w="85" w:type="dxa"/>
              <w:start w:w="90" w:type="dxa"/>
              <w:end w:w="90" w:type="dxa"/>
            </w:tcMar>
            <w:vAlign w:val="top"/>
            <w:shd w:fill="15384A" w:val="clear"/>
          </w:tcPr>
          <w:p>
            <w:pPr>
              <w:spacing w:after="30" w:line="247" w:lineRule="auto"/>
            </w:pPr>
            <w:r>
              <w:rPr>
                <w:b/>
                <w:color w:val="FFFFFF"/>
                <w:sz w:val="18"/>
              </w:rPr>
              <w:t>Owning receipt</w:t>
            </w:r>
          </w:p>
        </w:tc>
      </w:tr>
      <w:tr>
        <w:trPr>
          <w:cantSplit/>
        </w:trPr>
        <w:tc>
          <w:tcPr>
            <w:tcW w:type="dxa" w:w="2016"/>
            <w:tcMar>
              <w:top w:w="85" w:type="dxa"/>
              <w:bottom w:w="85" w:type="dxa"/>
              <w:start w:w="90" w:type="dxa"/>
              <w:end w:w="90" w:type="dxa"/>
            </w:tcMar>
            <w:vAlign w:val="top"/>
          </w:tcPr>
          <w:p>
            <w:pPr>
              <w:spacing w:after="30" w:line="247" w:lineRule="auto"/>
            </w:pPr>
            <w:r>
              <w:rPr>
                <w:b w:val="0"/>
                <w:sz w:val="18"/>
              </w:rPr>
              <w:t>1. Scope and reservation</w:t>
            </w:r>
          </w:p>
        </w:tc>
        <w:tc>
          <w:tcPr>
            <w:tcW w:type="dxa" w:w="4349"/>
            <w:tcMar>
              <w:top w:w="85" w:type="dxa"/>
              <w:bottom w:w="85" w:type="dxa"/>
              <w:start w:w="90" w:type="dxa"/>
              <w:end w:w="90" w:type="dxa"/>
            </w:tcMar>
            <w:vAlign w:val="top"/>
          </w:tcPr>
          <w:p>
            <w:pPr>
              <w:spacing w:after="30" w:line="247" w:lineRule="auto"/>
            </w:pPr>
            <w:r>
              <w:rPr>
                <w:b w:val="0"/>
                <w:sz w:val="18"/>
              </w:rPr>
              <w:t>Entitled project/RBAC scope, eligible pool, actual IPAM allocation and available attachment slot.</w:t>
            </w:r>
          </w:p>
        </w:tc>
        <w:tc>
          <w:tcPr>
            <w:tcW w:type="dxa" w:w="3917"/>
            <w:tcMar>
              <w:top w:w="85" w:type="dxa"/>
              <w:bottom w:w="85" w:type="dxa"/>
              <w:start w:w="90" w:type="dxa"/>
              <w:end w:w="90" w:type="dxa"/>
            </w:tcMar>
            <w:vAlign w:val="top"/>
          </w:tcPr>
          <w:p>
            <w:pPr>
              <w:spacing w:after="30" w:line="247" w:lineRule="auto"/>
            </w:pPr>
            <w:r>
              <w:rPr>
                <w:b w:val="0"/>
                <w:sz w:val="18"/>
              </w:rPr>
              <w:t>P4 identity, capacity and address references; no public default.</w:t>
            </w:r>
          </w:p>
        </w:tc>
      </w:tr>
      <w:tr>
        <w:trPr>
          <w:cantSplit/>
        </w:trPr>
        <w:tc>
          <w:tcPr>
            <w:tcW w:type="dxa" w:w="2016"/>
            <w:tcMar>
              <w:top w:w="85" w:type="dxa"/>
              <w:bottom w:w="85" w:type="dxa"/>
              <w:start w:w="90" w:type="dxa"/>
              <w:end w:w="90" w:type="dxa"/>
            </w:tcMar>
            <w:vAlign w:val="top"/>
            <w:shd w:fill="EEF5F7" w:val="clear"/>
          </w:tcPr>
          <w:p>
            <w:pPr>
              <w:spacing w:after="30" w:line="247" w:lineRule="auto"/>
            </w:pPr>
            <w:r>
              <w:rPr>
                <w:b w:val="0"/>
                <w:sz w:val="18"/>
              </w:rPr>
              <w:t>2. Denied domain networks</w:t>
            </w:r>
          </w:p>
        </w:tc>
        <w:tc>
          <w:tcPr>
            <w:tcW w:type="dxa" w:w="4349"/>
            <w:tcMar>
              <w:top w:w="85" w:type="dxa"/>
              <w:bottom w:w="85" w:type="dxa"/>
              <w:start w:w="90" w:type="dxa"/>
              <w:end w:w="90" w:type="dxa"/>
            </w:tcMar>
            <w:vAlign w:val="top"/>
            <w:shd w:fill="EEF5F7" w:val="clear"/>
          </w:tcPr>
          <w:p>
            <w:pPr>
              <w:spacing w:after="30" w:line="247" w:lineRule="auto"/>
            </w:pPr>
            <w:r>
              <w:rPr>
                <w:b w:val="0"/>
                <w:sz w:val="18"/>
              </w:rPr>
              <w:t>Separate qualified VPC/routing context for each independent domain and its overlay subnets.</w:t>
            </w:r>
          </w:p>
        </w:tc>
        <w:tc>
          <w:tcPr>
            <w:tcW w:type="dxa" w:w="3917"/>
            <w:tcMar>
              <w:top w:w="85" w:type="dxa"/>
              <w:bottom w:w="85" w:type="dxa"/>
              <w:start w:w="90" w:type="dxa"/>
              <w:end w:w="90" w:type="dxa"/>
            </w:tcMar>
            <w:vAlign w:val="top"/>
            <w:shd w:fill="EEF5F7" w:val="clear"/>
          </w:tcPr>
          <w:p>
            <w:pPr>
              <w:spacing w:after="30" w:line="247" w:lineRule="auto"/>
            </w:pPr>
            <w:r>
              <w:rPr>
                <w:b w:val="0"/>
                <w:sz w:val="18"/>
              </w:rPr>
              <w:t>Native IDs, domain membership and effective baseline before endpoint access.</w:t>
            </w:r>
          </w:p>
        </w:tc>
      </w:tr>
      <w:tr>
        <w:trPr>
          <w:cantSplit/>
        </w:trPr>
        <w:tc>
          <w:tcPr>
            <w:tcW w:type="dxa" w:w="2016"/>
            <w:tcMar>
              <w:top w:w="85" w:type="dxa"/>
              <w:bottom w:w="85" w:type="dxa"/>
              <w:start w:w="90" w:type="dxa"/>
              <w:end w:w="90" w:type="dxa"/>
            </w:tcMar>
            <w:vAlign w:val="top"/>
          </w:tcPr>
          <w:p>
            <w:pPr>
              <w:spacing w:after="30" w:line="247" w:lineRule="auto"/>
            </w:pPr>
            <w:r>
              <w:rPr>
                <w:b w:val="0"/>
                <w:sz w:val="18"/>
              </w:rPr>
              <w:t>3. Edge and forwarding</w:t>
            </w:r>
          </w:p>
        </w:tc>
        <w:tc>
          <w:tcPr>
            <w:tcW w:type="dxa" w:w="4349"/>
            <w:tcMar>
              <w:top w:w="85" w:type="dxa"/>
              <w:bottom w:w="85" w:type="dxa"/>
              <w:start w:w="90" w:type="dxa"/>
              <w:end w:w="90" w:type="dxa"/>
            </w:tcMar>
            <w:vAlign w:val="top"/>
          </w:tcPr>
          <w:p>
            <w:pPr>
              <w:spacing w:after="30" w:line="247" w:lineRule="auto"/>
            </w:pPr>
            <w:r>
              <w:rPr>
                <w:b w:val="0"/>
                <w:sz w:val="18"/>
              </w:rPr>
              <w:t>Supported external handoff with matching EC routes, policy and reply path.</w:t>
            </w:r>
          </w:p>
        </w:tc>
        <w:tc>
          <w:tcPr>
            <w:tcW w:type="dxa" w:w="3917"/>
            <w:tcMar>
              <w:top w:w="85" w:type="dxa"/>
              <w:bottom w:w="85" w:type="dxa"/>
              <w:start w:w="90" w:type="dxa"/>
              <w:end w:w="90" w:type="dxa"/>
            </w:tcMar>
            <w:vAlign w:val="top"/>
          </w:tcPr>
          <w:p>
            <w:pPr>
              <w:spacing w:after="30" w:line="247" w:lineRule="auto"/>
            </w:pPr>
            <w:r>
              <w:rPr>
                <w:b w:val="0"/>
                <w:sz w:val="18"/>
              </w:rPr>
              <w:t>P3/P4 handoff acceptance; selected NAT/no-NAT behaviour and source identity.</w:t>
            </w:r>
          </w:p>
        </w:tc>
      </w:tr>
      <w:tr>
        <w:trPr>
          <w:cantSplit/>
        </w:trPr>
        <w:tc>
          <w:tcPr>
            <w:tcW w:type="dxa" w:w="2016"/>
            <w:tcMar>
              <w:top w:w="85" w:type="dxa"/>
              <w:bottom w:w="85" w:type="dxa"/>
              <w:start w:w="90" w:type="dxa"/>
              <w:end w:w="90" w:type="dxa"/>
            </w:tcMar>
            <w:vAlign w:val="top"/>
            <w:shd w:fill="EEF5F7" w:val="clear"/>
          </w:tcPr>
          <w:p>
            <w:pPr>
              <w:spacing w:after="30" w:line="247" w:lineRule="auto"/>
            </w:pPr>
            <w:r>
              <w:rPr>
                <w:b w:val="0"/>
                <w:sz w:val="18"/>
              </w:rPr>
              <w:t>4. Compute and data</w:t>
            </w:r>
          </w:p>
        </w:tc>
        <w:tc>
          <w:tcPr>
            <w:tcW w:type="dxa" w:w="4349"/>
            <w:tcMar>
              <w:top w:w="85" w:type="dxa"/>
              <w:bottom w:w="85" w:type="dxa"/>
              <w:start w:w="90" w:type="dxa"/>
              <w:end w:w="90" w:type="dxa"/>
            </w:tcMar>
            <w:vAlign w:val="top"/>
            <w:shd w:fill="EEF5F7" w:val="clear"/>
          </w:tcPr>
          <w:p>
            <w:pPr>
              <w:spacing w:after="30" w:line="247" w:lineRule="auto"/>
            </w:pPr>
            <w:r>
              <w:rPr>
                <w:b w:val="0"/>
                <w:sz w:val="18"/>
              </w:rPr>
              <w:t>Approved image, eligible host policy, VM/disks and only assigned networks.</w:t>
            </w:r>
          </w:p>
        </w:tc>
        <w:tc>
          <w:tcPr>
            <w:tcW w:type="dxa" w:w="3917"/>
            <w:tcMar>
              <w:top w:w="85" w:type="dxa"/>
              <w:bottom w:w="85" w:type="dxa"/>
              <w:start w:w="90" w:type="dxa"/>
              <w:end w:w="90" w:type="dxa"/>
            </w:tcMar>
            <w:vAlign w:val="top"/>
            <w:shd w:fill="EEF5F7" w:val="clear"/>
          </w:tcPr>
          <w:p>
            <w:pPr>
              <w:spacing w:after="30" w:line="247" w:lineRule="auto"/>
            </w:pPr>
            <w:r>
              <w:rPr>
                <w:b w:val="0"/>
                <w:sz w:val="18"/>
              </w:rPr>
              <w:t>P5 resource IDs, storage/key authority, required initialization and protection.</w:t>
            </w:r>
          </w:p>
        </w:tc>
      </w:tr>
      <w:tr>
        <w:trPr>
          <w:cantSplit/>
        </w:trPr>
        <w:tc>
          <w:tcPr>
            <w:tcW w:type="dxa" w:w="2016"/>
            <w:tcMar>
              <w:top w:w="85" w:type="dxa"/>
              <w:bottom w:w="85" w:type="dxa"/>
              <w:start w:w="90" w:type="dxa"/>
              <w:end w:w="90" w:type="dxa"/>
            </w:tcMar>
            <w:vAlign w:val="top"/>
          </w:tcPr>
          <w:p>
            <w:pPr>
              <w:spacing w:after="30" w:line="247" w:lineRule="auto"/>
            </w:pPr>
            <w:r>
              <w:rPr>
                <w:b w:val="0"/>
                <w:sz w:val="18"/>
              </w:rPr>
              <w:t>5. Verify and activate</w:t>
            </w:r>
          </w:p>
        </w:tc>
        <w:tc>
          <w:tcPr>
            <w:tcW w:type="dxa" w:w="4349"/>
            <w:tcMar>
              <w:top w:w="85" w:type="dxa"/>
              <w:bottom w:w="85" w:type="dxa"/>
              <w:start w:w="90" w:type="dxa"/>
              <w:end w:w="90" w:type="dxa"/>
            </w:tcMar>
            <w:vAlign w:val="top"/>
          </w:tcPr>
          <w:p>
            <w:pPr>
              <w:spacing w:after="30" w:line="247" w:lineRule="auto"/>
            </w:pPr>
            <w:r>
              <w:rPr>
                <w:b w:val="0"/>
                <w:sz w:val="18"/>
              </w:rPr>
              <w:t>Native realization observed, service bindings verified, required readiness and authority current.</w:t>
            </w:r>
          </w:p>
        </w:tc>
        <w:tc>
          <w:tcPr>
            <w:tcW w:type="dxa" w:w="3917"/>
            <w:tcMar>
              <w:top w:w="85" w:type="dxa"/>
              <w:bottom w:w="85" w:type="dxa"/>
              <w:start w:w="90" w:type="dxa"/>
              <w:end w:w="90" w:type="dxa"/>
            </w:tcMar>
            <w:vAlign w:val="top"/>
          </w:tcPr>
          <w:p>
            <w:pPr>
              <w:spacing w:after="30" w:line="247" w:lineRule="auto"/>
            </w:pPr>
            <w:r>
              <w:rPr>
                <w:b w:val="0"/>
                <w:sz w:val="18"/>
              </w:rPr>
              <w:t>Actual observations and reversible activation; no success inferred solely from API acceptance.</w:t>
            </w:r>
          </w:p>
        </w:tc>
      </w:tr>
    </w:tbl>
    <w:p>
      <w:pPr>
        <w:spacing w:after="0" w:before="0" w:line="120"/>
      </w:pPr>
    </w:p>
    <w:p>
      <w:r>
        <w:t>A common connected external subnet is not accepted simply because two VPCs are distinct. Native internal routing must not join OZ and RZ around the declared ZIP. No-NAT is an option only where the selected combination preserves the architecture; translation changes source attribution and return-path analysis and must be stated explicitly.</w:t>
      </w:r>
    </w:p>
    <w:p>
      <w:pPr>
        <w:pStyle w:val="Heading2"/>
      </w:pPr>
      <w:r>
        <w:t>Update and removal</w:t>
      </w:r>
    </w:p>
    <w:p>
      <w:r>
        <w:t>Before resize, image/customization change or network reassignment, review whether the selected resource operation updates in place, requires interruption or replaces the VM. A lost response triggers task/resource discovery under the original owner. Never interpret “unknown” as permission to create another copy or delete potentially written data.</w:t>
      </w:r>
    </w:p>
    <w:p>
      <w:r>
        <w:t>Retire only exclusively owned eligible resources. Withdraw obsolete routes and policy, reconcile outstanding tasks and address/DNS reuse, and preserve shared domains and retained copies. The actual protection and data owners decide when copy/key disposal is permissible.</w:t>
      </w:r>
    </w:p>
    <w:p>
      <w:pPr>
        <w:pStyle w:val="Caption"/>
      </w:pPr>
      <w:r>
        <w:t xml:space="preserve">Continue with: </w:t>
      </w:r>
      <w:hyperlink r:id="rId25">
        <w:r>
          <w:rPr>
            <w:color w:val="0B6B70"/>
            <w:u w:val="single"/>
          </w:rPr>
          <w:t>NBD §2</w:t>
        </w:r>
      </w:hyperlink>
      <w:r>
        <w:t xml:space="preserve">  •  </w:t>
      </w:r>
      <w:hyperlink r:id="rId26">
        <w:r>
          <w:rPr>
            <w:color w:val="0B6B70"/>
            <w:u w:val="single"/>
          </w:rPr>
          <w:t>OPS §3</w:t>
        </w:r>
      </w:hyperlink>
      <w:r>
        <w:t xml:space="preserve">  •  </w:t>
      </w:r>
      <w:hyperlink r:id="rId27">
        <w:r>
          <w:rPr>
            <w:color w:val="0B6B70"/>
            <w:u w:val="single"/>
          </w:rPr>
          <w:t>OPS §7</w:t>
        </w:r>
      </w:hyperlink>
    </w:p>
    <w:p>
      <w:r>
        <w:br w:type="page"/>
      </w:r>
    </w:p>
    <w:p>
      <w:pPr>
        <w:pStyle w:val="Heading1"/>
      </w:pPr>
      <w:r>
        <w:t>4. VMware/NSX: commission transport, compute and edge roles</w:t>
      </w:r>
      <w:bookmarkStart w:id="116" w:name="PBS_04"/>
      <w:bookmarkEnd w:id="116"/>
    </w:p>
    <w:p>
      <w:r>
        <w:t>The platform foundation identifies distributed forwarding, Edge-hosted service functions and external boundary enforcement separately.</w:t>
      </w:r>
    </w:p>
    <w:p>
      <w:pPr>
        <w:pStyle w:val="Caption"/>
      </w:pPr>
      <w:r>
        <w:t xml:space="preserve">Design basis and related records: </w:t>
      </w:r>
      <w:hyperlink r:id="rId28">
        <w:r>
          <w:rPr>
            <w:color w:val="0B6B70"/>
            <w:u w:val="single"/>
          </w:rPr>
          <w:t>RA §17</w:t>
        </w:r>
      </w:hyperlink>
      <w:r>
        <w:t xml:space="preserve">  •  </w:t>
      </w:r>
      <w:hyperlink r:id="rId29">
        <w:r>
          <w:rPr>
            <w:color w:val="0B6B70"/>
            <w:u w:val="single"/>
          </w:rPr>
          <w:t>VND §4</w:t>
        </w:r>
      </w:hyperlink>
      <w:r>
        <w:t xml:space="preserve">  •  </w:t>
      </w:r>
      <w:hyperlink r:id="rId30">
        <w:r>
          <w:rPr>
            <w:color w:val="0B6B70"/>
            <w:u w:val="single"/>
          </w:rPr>
          <w:t>VC §3</w:t>
        </w:r>
      </w:hyperlink>
    </w:p>
    <w:tbl>
      <w:tblPr>
        <w:tblW w:type="auto" w:w="0"/>
        <w:jc w:val="center"/>
        <w:tblLayout w:type="fixed"/>
        <w:tblLook w:firstColumn="1" w:firstRow="1" w:lastColumn="0" w:lastRow="0" w:noHBand="0" w:noVBand="1" w:val="04A0"/>
      </w:tblPr>
      <w:tblGrid>
        <w:gridCol w:w="2160"/>
        <w:gridCol w:w="4190"/>
        <w:gridCol w:w="3931"/>
      </w:tblGrid>
      <w:tr>
        <w:trPr>
          <w:tblHeader/>
        </w:trPr>
        <w:tc>
          <w:tcPr>
            <w:tcW w:type="dxa" w:w="2160"/>
            <w:tcMar>
              <w:top w:w="85" w:type="dxa"/>
              <w:bottom w:w="85" w:type="dxa"/>
              <w:start w:w="90" w:type="dxa"/>
              <w:end w:w="90" w:type="dxa"/>
            </w:tcMar>
            <w:vAlign w:val="top"/>
            <w:shd w:fill="15384A" w:val="clear"/>
          </w:tcPr>
          <w:p>
            <w:pPr>
              <w:spacing w:after="30" w:line="247" w:lineRule="auto"/>
            </w:pPr>
            <w:r>
              <w:rPr>
                <w:b/>
                <w:color w:val="FFFFFF"/>
                <w:sz w:val="18"/>
              </w:rPr>
              <w:t>Foundation</w:t>
            </w:r>
          </w:p>
        </w:tc>
        <w:tc>
          <w:tcPr>
            <w:tcW w:type="dxa" w:w="4190"/>
            <w:tcMar>
              <w:top w:w="85" w:type="dxa"/>
              <w:bottom w:w="85" w:type="dxa"/>
              <w:start w:w="90" w:type="dxa"/>
              <w:end w:w="90" w:type="dxa"/>
            </w:tcMar>
            <w:vAlign w:val="top"/>
            <w:shd w:fill="15384A" w:val="clear"/>
          </w:tcPr>
          <w:p>
            <w:pPr>
              <w:spacing w:after="30" w:line="247" w:lineRule="auto"/>
            </w:pPr>
            <w:r>
              <w:rPr>
                <w:b/>
                <w:color w:val="FFFFFF"/>
                <w:sz w:val="18"/>
              </w:rPr>
              <w:t>Required engineering release</w:t>
            </w:r>
          </w:p>
        </w:tc>
        <w:tc>
          <w:tcPr>
            <w:tcW w:type="dxa" w:w="3931"/>
            <w:tcMar>
              <w:top w:w="85" w:type="dxa"/>
              <w:bottom w:w="85" w:type="dxa"/>
              <w:start w:w="90" w:type="dxa"/>
              <w:end w:w="90" w:type="dxa"/>
            </w:tcMar>
            <w:vAlign w:val="top"/>
            <w:shd w:fill="15384A" w:val="clear"/>
          </w:tcPr>
          <w:p>
            <w:pPr>
              <w:spacing w:after="30" w:line="247" w:lineRule="auto"/>
            </w:pPr>
            <w:r>
              <w:rPr>
                <w:b/>
                <w:color w:val="FFFFFF"/>
                <w:sz w:val="18"/>
              </w:rPr>
              <w:t>Acceptance focus</w:t>
            </w:r>
          </w:p>
        </w:tc>
      </w:tr>
      <w:tr>
        <w:trPr>
          <w:cantSplit/>
        </w:trPr>
        <w:tc>
          <w:tcPr>
            <w:tcW w:type="dxa" w:w="2160"/>
            <w:tcMar>
              <w:top w:w="85" w:type="dxa"/>
              <w:bottom w:w="85" w:type="dxa"/>
              <w:start w:w="90" w:type="dxa"/>
              <w:end w:w="90" w:type="dxa"/>
            </w:tcMar>
            <w:vAlign w:val="top"/>
          </w:tcPr>
          <w:p>
            <w:pPr>
              <w:spacing w:after="30" w:line="247" w:lineRule="auto"/>
            </w:pPr>
            <w:r>
              <w:rPr>
                <w:b w:val="0"/>
                <w:sz w:val="18"/>
              </w:rPr>
              <w:t>vCenter/ESXi and storage</w:t>
            </w:r>
          </w:p>
        </w:tc>
        <w:tc>
          <w:tcPr>
            <w:tcW w:type="dxa" w:w="4190"/>
            <w:tcMar>
              <w:top w:w="85" w:type="dxa"/>
              <w:bottom w:w="85" w:type="dxa"/>
              <w:start w:w="90" w:type="dxa"/>
              <w:end w:w="90" w:type="dxa"/>
            </w:tcMar>
            <w:vAlign w:val="top"/>
          </w:tcPr>
          <w:p>
            <w:pPr>
              <w:spacing w:after="30" w:line="247" w:lineRule="auto"/>
            </w:pPr>
            <w:r>
              <w:rPr>
                <w:b w:val="0"/>
                <w:sz w:val="18"/>
              </w:rPr>
              <w:t>Actual supported hosts, images, eligible pools, datastore policies and maintenance constraints.</w:t>
            </w:r>
          </w:p>
        </w:tc>
        <w:tc>
          <w:tcPr>
            <w:tcW w:type="dxa" w:w="3931"/>
            <w:tcMar>
              <w:top w:w="85" w:type="dxa"/>
              <w:bottom w:w="85" w:type="dxa"/>
              <w:start w:w="90" w:type="dxa"/>
              <w:end w:w="90" w:type="dxa"/>
            </w:tcMar>
            <w:vAlign w:val="top"/>
          </w:tcPr>
          <w:p>
            <w:pPr>
              <w:spacing w:after="30" w:line="247" w:lineRule="auto"/>
            </w:pPr>
            <w:r>
              <w:rPr>
                <w:b w:val="0"/>
                <w:sz w:val="18"/>
              </w:rPr>
              <w:t>Placement and restart remain eligible; data/key access is scoped and recoverable.</w:t>
            </w:r>
          </w:p>
        </w:tc>
      </w:tr>
      <w:tr>
        <w:trPr>
          <w:cantSplit/>
        </w:trPr>
        <w:tc>
          <w:tcPr>
            <w:tcW w:type="dxa" w:w="2160"/>
            <w:tcMar>
              <w:top w:w="85" w:type="dxa"/>
              <w:bottom w:w="85" w:type="dxa"/>
              <w:start w:w="90" w:type="dxa"/>
              <w:end w:w="90" w:type="dxa"/>
            </w:tcMar>
            <w:vAlign w:val="top"/>
            <w:shd w:fill="EEF5F7" w:val="clear"/>
          </w:tcPr>
          <w:p>
            <w:pPr>
              <w:spacing w:after="30" w:line="247" w:lineRule="auto"/>
            </w:pPr>
            <w:r>
              <w:rPr>
                <w:b w:val="0"/>
                <w:sz w:val="18"/>
              </w:rPr>
              <w:t>NSX management and transport</w:t>
            </w:r>
          </w:p>
        </w:tc>
        <w:tc>
          <w:tcPr>
            <w:tcW w:type="dxa" w:w="4190"/>
            <w:tcMar>
              <w:top w:w="85" w:type="dxa"/>
              <w:bottom w:w="85" w:type="dxa"/>
              <w:start w:w="90" w:type="dxa"/>
              <w:end w:w="90" w:type="dxa"/>
            </w:tcMar>
            <w:vAlign w:val="top"/>
            <w:shd w:fill="EEF5F7" w:val="clear"/>
          </w:tcPr>
          <w:p>
            <w:pPr>
              <w:spacing w:after="30" w:line="247" w:lineRule="auto"/>
            </w:pPr>
            <w:r>
              <w:rPr>
                <w:b w:val="0"/>
                <w:sz w:val="18"/>
              </w:rPr>
              <w:t>Manager placement, administrative roles, transport-node/zone membership, TEP and uplink networks.</w:t>
            </w:r>
          </w:p>
        </w:tc>
        <w:tc>
          <w:tcPr>
            <w:tcW w:type="dxa" w:w="3931"/>
            <w:tcMar>
              <w:top w:w="85" w:type="dxa"/>
              <w:bottom w:w="85" w:type="dxa"/>
              <w:start w:w="90" w:type="dxa"/>
              <w:end w:w="90" w:type="dxa"/>
            </w:tcMar>
            <w:vAlign w:val="top"/>
            <w:shd w:fill="EEF5F7" w:val="clear"/>
          </w:tcPr>
          <w:p>
            <w:pPr>
              <w:spacing w:after="30" w:line="247" w:lineRule="auto"/>
            </w:pPr>
            <w:r>
              <w:rPr>
                <w:b w:val="0"/>
                <w:sz w:val="18"/>
              </w:rPr>
              <w:t>Management separation, transport reachability and full-size path behaviour.</w:t>
            </w:r>
          </w:p>
        </w:tc>
      </w:tr>
      <w:tr>
        <w:trPr>
          <w:cantSplit/>
        </w:trPr>
        <w:tc>
          <w:tcPr>
            <w:tcW w:type="dxa" w:w="2160"/>
            <w:tcMar>
              <w:top w:w="85" w:type="dxa"/>
              <w:bottom w:w="85" w:type="dxa"/>
              <w:start w:w="90" w:type="dxa"/>
              <w:end w:w="90" w:type="dxa"/>
            </w:tcMar>
            <w:vAlign w:val="top"/>
          </w:tcPr>
          <w:p>
            <w:pPr>
              <w:spacing w:after="30" w:line="247" w:lineRule="auto"/>
            </w:pPr>
            <w:r>
              <w:rPr>
                <w:b w:val="0"/>
                <w:sz w:val="18"/>
              </w:rPr>
              <w:t>Routing and service nodes</w:t>
            </w:r>
          </w:p>
        </w:tc>
        <w:tc>
          <w:tcPr>
            <w:tcW w:type="dxa" w:w="4190"/>
            <w:tcMar>
              <w:top w:w="85" w:type="dxa"/>
              <w:bottom w:w="85" w:type="dxa"/>
              <w:start w:w="90" w:type="dxa"/>
              <w:end w:w="90" w:type="dxa"/>
            </w:tcMar>
            <w:vAlign w:val="top"/>
          </w:tcPr>
          <w:p>
            <w:pPr>
              <w:spacing w:after="30" w:line="247" w:lineRule="auto"/>
            </w:pPr>
            <w:r>
              <w:rPr>
                <w:b w:val="0"/>
                <w:sz w:val="18"/>
              </w:rPr>
              <w:t>Domain Tier-1, isolated upstream context, Edge placement, route advertisements and gateway mode.</w:t>
            </w:r>
          </w:p>
        </w:tc>
        <w:tc>
          <w:tcPr>
            <w:tcW w:type="dxa" w:w="3931"/>
            <w:tcMar>
              <w:top w:w="85" w:type="dxa"/>
              <w:bottom w:w="85" w:type="dxa"/>
              <w:start w:w="90" w:type="dxa"/>
              <w:end w:w="90" w:type="dxa"/>
            </w:tcMar>
            <w:vAlign w:val="top"/>
          </w:tcPr>
          <w:p>
            <w:pPr>
              <w:spacing w:after="30" w:line="247" w:lineRule="auto"/>
            </w:pPr>
            <w:r>
              <w:rPr>
                <w:b w:val="0"/>
                <w:sz w:val="18"/>
              </w:rPr>
              <w:t>Actual native/distributed routes and the intended external ZIP path.</w:t>
            </w:r>
          </w:p>
        </w:tc>
      </w:tr>
      <w:tr>
        <w:trPr>
          <w:cantSplit/>
        </w:trPr>
        <w:tc>
          <w:tcPr>
            <w:tcW w:type="dxa" w:w="2160"/>
            <w:tcMar>
              <w:top w:w="85" w:type="dxa"/>
              <w:bottom w:w="85" w:type="dxa"/>
              <w:start w:w="90" w:type="dxa"/>
              <w:end w:w="90" w:type="dxa"/>
            </w:tcMar>
            <w:vAlign w:val="top"/>
            <w:shd w:fill="EEF5F7" w:val="clear"/>
          </w:tcPr>
          <w:p>
            <w:pPr>
              <w:spacing w:after="30" w:line="247" w:lineRule="auto"/>
            </w:pPr>
            <w:r>
              <w:rPr>
                <w:b w:val="0"/>
                <w:sz w:val="18"/>
              </w:rPr>
              <w:t>Policy and operations</w:t>
            </w:r>
          </w:p>
        </w:tc>
        <w:tc>
          <w:tcPr>
            <w:tcW w:type="dxa" w:w="4190"/>
            <w:tcMar>
              <w:top w:w="85" w:type="dxa"/>
              <w:bottom w:w="85" w:type="dxa"/>
              <w:start w:w="90" w:type="dxa"/>
              <w:end w:w="90" w:type="dxa"/>
            </w:tcMar>
            <w:vAlign w:val="top"/>
            <w:shd w:fill="EEF5F7" w:val="clear"/>
          </w:tcPr>
          <w:p>
            <w:pPr>
              <w:spacing w:after="30" w:line="247" w:lineRule="auto"/>
            </w:pPr>
            <w:r>
              <w:rPr>
                <w:b w:val="0"/>
                <w:sz w:val="18"/>
              </w:rPr>
              <w:t>Provider-owned groups/rule hierarchy, protected changes, logs, backup and recovery.</w:t>
            </w:r>
          </w:p>
        </w:tc>
        <w:tc>
          <w:tcPr>
            <w:tcW w:type="dxa" w:w="3931"/>
            <w:tcMar>
              <w:top w:w="85" w:type="dxa"/>
              <w:bottom w:w="85" w:type="dxa"/>
              <w:start w:w="90" w:type="dxa"/>
              <w:end w:w="90" w:type="dxa"/>
            </w:tcMar>
            <w:vAlign w:val="top"/>
            <w:shd w:fill="EEF5F7" w:val="clear"/>
          </w:tcPr>
          <w:p>
            <w:pPr>
              <w:spacing w:after="30" w:line="247" w:lineRule="auto"/>
            </w:pPr>
            <w:r>
              <w:rPr>
                <w:b w:val="0"/>
                <w:sz w:val="18"/>
              </w:rPr>
              <w:t>Mandatory policy cannot be widened by tenant labels or lower-authority rules.</w:t>
            </w:r>
          </w:p>
        </w:tc>
      </w:tr>
    </w:tbl>
    <w:p>
      <w:pPr>
        <w:spacing w:after="0" w:before="0" w:line="120"/>
      </w:pPr>
    </w:p>
    <w:p>
      <w:r>
        <w:t>Fresh mechanism check: Broadcom KB 442835 states that Tier-0 VRF gateways are not supported on an Active-Active Stateful parent Tier-0. It identifies Active-Active Stateless and Active-Standby alternatives for the stated use cases. Reconcile this constraint with the selected release, stateful services and availability requirement. The KB also warns that changing HA mode disrupts stateful contexts and routing; this is not an instruction to change a live gateway. [D01]</w:t>
      </w:r>
    </w:p>
    <w:p>
      <w:pPr>
        <w:pStyle w:val="Caption"/>
      </w:pPr>
      <w:r>
        <w:t xml:space="preserve">Verified mechanism source: </w:t>
      </w:r>
      <w:hyperlink r:id="rId31">
        <w:r>
          <w:rPr>
            <w:color w:val="0B6B70"/>
            <w:u w:val="single"/>
          </w:rPr>
          <w:t>D01 — Broadcom KB 442835: Tier-0 VRF and parent HA mode</w:t>
        </w:r>
      </w:hyperlink>
    </w:p>
    <w:p>
      <w:r>
        <w:t>A shared parent or Edge cluster can be a common capacity/failure dependency without being a common routing authority. Record precisely what is shared. Select the stateful inspection location before choosing the HA mode; a topology that has enough throughput but bypasses required inspection is not eligible.</w:t>
      </w:r>
    </w:p>
    <w:p>
      <w:pPr>
        <w:keepLines/>
        <w:spacing w:before="120"/>
        <w:shd w:fill="EEF5F7" w:val="clear"/>
        <w:pBdr>
          <w:left w:val="single" w:sz="12" w:space="8" w:color="0B6B70"/>
        </w:pBdr>
      </w:pPr>
      <w:r>
        <w:rPr>
          <w:b/>
        </w:rPr>
        <w:t>Stop when the actual gateway mode, isolation pattern or required stateful function is unsupported. A qualified alternative or excluded service capability is preferable to a misleading “equivalent” diagram.</w:t>
      </w:r>
    </w:p>
    <w:p>
      <w:pPr>
        <w:pStyle w:val="Caption"/>
      </w:pPr>
      <w:r>
        <w:t xml:space="preserve">Continue with: </w:t>
      </w:r>
      <w:hyperlink r:id="rId32">
        <w:r>
          <w:rPr>
            <w:color w:val="0B6B70"/>
            <w:u w:val="single"/>
          </w:rPr>
          <w:t>NBD §7</w:t>
        </w:r>
      </w:hyperlink>
      <w:r>
        <w:t xml:space="preserve">  •  </w:t>
      </w:r>
      <w:hyperlink r:id="rId33">
        <w:r>
          <w:rPr>
            <w:color w:val="0B6B70"/>
            <w:u w:val="single"/>
          </w:rPr>
          <w:t>PBS §5</w:t>
        </w:r>
      </w:hyperlink>
    </w:p>
    <w:p>
      <w:r>
        <w:br w:type="page"/>
      </w:r>
    </w:p>
    <w:p>
      <w:pPr>
        <w:pStyle w:val="Heading1"/>
      </w:pPr>
      <w:r>
        <w:t>5. VMware/NSX: bind domain, workload and policy lifecycles</w:t>
      </w:r>
      <w:bookmarkStart w:id="117" w:name="PBS_05"/>
      <w:bookmarkEnd w:id="117"/>
    </w:p>
    <w:p>
      <w:r>
        <w:t>The provisioning workflow coordinates vSphere resources, NSX resources and independently owned shared services; it does not merge their privileges into one unrestricted state.</w:t>
      </w:r>
    </w:p>
    <w:p>
      <w:pPr>
        <w:pStyle w:val="Caption"/>
      </w:pPr>
      <w:r>
        <w:t xml:space="preserve">Design basis and related records: </w:t>
      </w:r>
      <w:hyperlink r:id="rId28">
        <w:r>
          <w:rPr>
            <w:color w:val="0B6B70"/>
            <w:u w:val="single"/>
          </w:rPr>
          <w:t>RA §17</w:t>
        </w:r>
      </w:hyperlink>
      <w:r>
        <w:t xml:space="preserve">  •  </w:t>
      </w:r>
      <w:hyperlink r:id="rId34">
        <w:r>
          <w:rPr>
            <w:color w:val="0B6B70"/>
            <w:u w:val="single"/>
          </w:rPr>
          <w:t>RA §24</w:t>
        </w:r>
      </w:hyperlink>
      <w:r>
        <w:t xml:space="preserve">  •  </w:t>
      </w:r>
      <w:hyperlink r:id="rId23">
        <w:r>
          <w:rPr>
            <w:color w:val="0B6B70"/>
            <w:u w:val="single"/>
          </w:rPr>
          <w:t>WD §8</w:t>
        </w:r>
      </w:hyperlink>
    </w:p>
    <w:tbl>
      <w:tblPr>
        <w:tblW w:type="auto" w:w="0"/>
        <w:jc w:val="center"/>
        <w:tblLayout w:type="fixed"/>
        <w:tblLook w:firstColumn="1" w:firstRow="1" w:lastColumn="0" w:lastRow="0" w:noHBand="0" w:noVBand="1" w:val="04A0"/>
      </w:tblPr>
      <w:tblGrid>
        <w:gridCol w:w="2002"/>
        <w:gridCol w:w="4104"/>
        <w:gridCol w:w="4176"/>
      </w:tblGrid>
      <w:tr>
        <w:trPr>
          <w:tblHeader/>
        </w:trPr>
        <w:tc>
          <w:tcPr>
            <w:tcW w:type="dxa" w:w="2002"/>
            <w:tcMar>
              <w:top w:w="85" w:type="dxa"/>
              <w:bottom w:w="85" w:type="dxa"/>
              <w:start w:w="90" w:type="dxa"/>
              <w:end w:w="90" w:type="dxa"/>
            </w:tcMar>
            <w:vAlign w:val="top"/>
            <w:shd w:fill="15384A" w:val="clear"/>
          </w:tcPr>
          <w:p>
            <w:pPr>
              <w:spacing w:after="30" w:line="247" w:lineRule="auto"/>
            </w:pPr>
            <w:r>
              <w:rPr>
                <w:b/>
                <w:color w:val="FFFFFF"/>
                <w:sz w:val="18"/>
              </w:rPr>
              <w:t>Object group</w:t>
            </w:r>
          </w:p>
        </w:tc>
        <w:tc>
          <w:tcPr>
            <w:tcW w:type="dxa" w:w="4104"/>
            <w:tcMar>
              <w:top w:w="85" w:type="dxa"/>
              <w:bottom w:w="85" w:type="dxa"/>
              <w:start w:w="90" w:type="dxa"/>
              <w:end w:w="90" w:type="dxa"/>
            </w:tcMar>
            <w:vAlign w:val="top"/>
            <w:shd w:fill="15384A" w:val="clear"/>
          </w:tcPr>
          <w:p>
            <w:pPr>
              <w:spacing w:after="30" w:line="247" w:lineRule="auto"/>
            </w:pPr>
            <w:r>
              <w:rPr>
                <w:b/>
                <w:color w:val="FFFFFF"/>
                <w:sz w:val="18"/>
              </w:rPr>
              <w:t>Create / change responsibility</w:t>
            </w:r>
          </w:p>
        </w:tc>
        <w:tc>
          <w:tcPr>
            <w:tcW w:type="dxa" w:w="4176"/>
            <w:tcMar>
              <w:top w:w="85" w:type="dxa"/>
              <w:bottom w:w="85" w:type="dxa"/>
              <w:start w:w="90" w:type="dxa"/>
              <w:end w:w="90" w:type="dxa"/>
            </w:tcMar>
            <w:vAlign w:val="top"/>
            <w:shd w:fill="15384A" w:val="clear"/>
          </w:tcPr>
          <w:p>
            <w:pPr>
              <w:spacing w:after="30" w:line="247" w:lineRule="auto"/>
            </w:pPr>
            <w:r>
              <w:rPr>
                <w:b/>
                <w:color w:val="FFFFFF"/>
                <w:sz w:val="18"/>
              </w:rPr>
              <w:t>Required cross-owner evidence</w:t>
            </w:r>
          </w:p>
        </w:tc>
      </w:tr>
      <w:tr>
        <w:trPr>
          <w:cantSplit/>
        </w:trPr>
        <w:tc>
          <w:tcPr>
            <w:tcW w:type="dxa" w:w="2002"/>
            <w:tcMar>
              <w:top w:w="85" w:type="dxa"/>
              <w:bottom w:w="85" w:type="dxa"/>
              <w:start w:w="90" w:type="dxa"/>
              <w:end w:w="90" w:type="dxa"/>
            </w:tcMar>
            <w:vAlign w:val="top"/>
          </w:tcPr>
          <w:p>
            <w:pPr>
              <w:spacing w:after="30" w:line="247" w:lineRule="auto"/>
            </w:pPr>
            <w:r>
              <w:rPr>
                <w:b w:val="0"/>
                <w:sz w:val="18"/>
              </w:rPr>
              <w:t>Domain networking</w:t>
            </w:r>
          </w:p>
        </w:tc>
        <w:tc>
          <w:tcPr>
            <w:tcW w:type="dxa" w:w="4104"/>
            <w:tcMar>
              <w:top w:w="85" w:type="dxa"/>
              <w:bottom w:w="85" w:type="dxa"/>
              <w:start w:w="90" w:type="dxa"/>
              <w:end w:w="90" w:type="dxa"/>
            </w:tcMar>
            <w:vAlign w:val="top"/>
          </w:tcPr>
          <w:p>
            <w:pPr>
              <w:spacing w:after="30" w:line="247" w:lineRule="auto"/>
            </w:pPr>
            <w:r>
              <w:rPr>
                <w:b w:val="0"/>
                <w:sz w:val="18"/>
              </w:rPr>
              <w:t>NSX owner allocates segments, per-domain Tier-1 and the approved isolated upstream association.</w:t>
            </w:r>
          </w:p>
        </w:tc>
        <w:tc>
          <w:tcPr>
            <w:tcW w:type="dxa" w:w="4176"/>
            <w:tcMar>
              <w:top w:w="85" w:type="dxa"/>
              <w:bottom w:w="85" w:type="dxa"/>
              <w:start w:w="90" w:type="dxa"/>
              <w:end w:w="90" w:type="dxa"/>
            </w:tcMar>
            <w:vAlign w:val="top"/>
          </w:tcPr>
          <w:p>
            <w:pPr>
              <w:spacing w:after="30" w:line="247" w:lineRule="auto"/>
            </w:pPr>
            <w:r>
              <w:rPr>
                <w:b w:val="0"/>
                <w:sz w:val="18"/>
              </w:rPr>
              <w:t>Actual upstream route context and no unintended propagation between domains.</w:t>
            </w:r>
          </w:p>
        </w:tc>
      </w:tr>
      <w:tr>
        <w:trPr>
          <w:cantSplit/>
        </w:trPr>
        <w:tc>
          <w:tcPr>
            <w:tcW w:type="dxa" w:w="2002"/>
            <w:tcMar>
              <w:top w:w="85" w:type="dxa"/>
              <w:bottom w:w="85" w:type="dxa"/>
              <w:start w:w="90" w:type="dxa"/>
              <w:end w:w="90" w:type="dxa"/>
            </w:tcMar>
            <w:vAlign w:val="top"/>
            <w:shd w:fill="EEF5F7" w:val="clear"/>
          </w:tcPr>
          <w:p>
            <w:pPr>
              <w:spacing w:after="30" w:line="247" w:lineRule="auto"/>
            </w:pPr>
            <w:r>
              <w:rPr>
                <w:b w:val="0"/>
                <w:sz w:val="18"/>
              </w:rPr>
              <w:t>Mandatory segmentation</w:t>
            </w:r>
          </w:p>
        </w:tc>
        <w:tc>
          <w:tcPr>
            <w:tcW w:type="dxa" w:w="4104"/>
            <w:tcMar>
              <w:top w:w="85" w:type="dxa"/>
              <w:bottom w:w="85" w:type="dxa"/>
              <w:start w:w="90" w:type="dxa"/>
              <w:end w:w="90" w:type="dxa"/>
            </w:tcMar>
            <w:vAlign w:val="top"/>
            <w:shd w:fill="EEF5F7" w:val="clear"/>
          </w:tcPr>
          <w:p>
            <w:pPr>
              <w:spacing w:after="30" w:line="247" w:lineRule="auto"/>
            </w:pPr>
            <w:r>
              <w:rPr>
                <w:b w:val="0"/>
                <w:sz w:val="18"/>
              </w:rPr>
              <w:t>Security/platform owner establishes protected groups, membership and effective policy.</w:t>
            </w:r>
          </w:p>
        </w:tc>
        <w:tc>
          <w:tcPr>
            <w:tcW w:type="dxa" w:w="4176"/>
            <w:tcMar>
              <w:top w:w="85" w:type="dxa"/>
              <w:bottom w:w="85" w:type="dxa"/>
              <w:start w:w="90" w:type="dxa"/>
              <w:end w:w="90" w:type="dxa"/>
            </w:tcMar>
            <w:vAlign w:val="top"/>
            <w:shd w:fill="EEF5F7" w:val="clear"/>
          </w:tcPr>
          <w:p>
            <w:pPr>
              <w:spacing w:after="30" w:line="247" w:lineRule="auto"/>
            </w:pPr>
            <w:r>
              <w:rPr>
                <w:b w:val="0"/>
                <w:sz w:val="18"/>
              </w:rPr>
              <w:t>Same-host and cross-host denial plus the specifically approved flow.</w:t>
            </w:r>
          </w:p>
        </w:tc>
      </w:tr>
      <w:tr>
        <w:trPr>
          <w:cantSplit/>
        </w:trPr>
        <w:tc>
          <w:tcPr>
            <w:tcW w:type="dxa" w:w="2002"/>
            <w:tcMar>
              <w:top w:w="85" w:type="dxa"/>
              <w:bottom w:w="85" w:type="dxa"/>
              <w:start w:w="90" w:type="dxa"/>
              <w:end w:w="90" w:type="dxa"/>
            </w:tcMar>
            <w:vAlign w:val="top"/>
          </w:tcPr>
          <w:p>
            <w:pPr>
              <w:spacing w:after="30" w:line="247" w:lineRule="auto"/>
            </w:pPr>
            <w:r>
              <w:rPr>
                <w:b w:val="0"/>
                <w:sz w:val="18"/>
              </w:rPr>
              <w:t>ZIP handoff</w:t>
            </w:r>
          </w:p>
        </w:tc>
        <w:tc>
          <w:tcPr>
            <w:tcW w:type="dxa" w:w="4104"/>
            <w:tcMar>
              <w:top w:w="85" w:type="dxa"/>
              <w:bottom w:w="85" w:type="dxa"/>
              <w:start w:w="90" w:type="dxa"/>
              <w:end w:w="90" w:type="dxa"/>
            </w:tcMar>
            <w:vAlign w:val="top"/>
          </w:tcPr>
          <w:p>
            <w:pPr>
              <w:spacing w:after="30" w:line="247" w:lineRule="auto"/>
            </w:pPr>
            <w:r>
              <w:rPr>
                <w:b w:val="0"/>
                <w:sz w:val="18"/>
              </w:rPr>
              <w:t>Edge owner configures paired attachments, routes, stateful policy and required services.</w:t>
            </w:r>
          </w:p>
        </w:tc>
        <w:tc>
          <w:tcPr>
            <w:tcW w:type="dxa" w:w="4176"/>
            <w:tcMar>
              <w:top w:w="85" w:type="dxa"/>
              <w:bottom w:w="85" w:type="dxa"/>
              <w:start w:w="90" w:type="dxa"/>
              <w:end w:w="90" w:type="dxa"/>
            </w:tcMar>
            <w:vAlign w:val="top"/>
          </w:tcPr>
          <w:p>
            <w:pPr>
              <w:spacing w:after="30" w:line="247" w:lineRule="auto"/>
            </w:pPr>
            <w:r>
              <w:rPr>
                <w:b w:val="0"/>
                <w:sz w:val="18"/>
              </w:rPr>
              <w:t>F14-01 request and reply follow the accepted native and external enforcement path.</w:t>
            </w:r>
          </w:p>
        </w:tc>
      </w:tr>
      <w:tr>
        <w:trPr>
          <w:cantSplit/>
        </w:trPr>
        <w:tc>
          <w:tcPr>
            <w:tcW w:type="dxa" w:w="2002"/>
            <w:tcMar>
              <w:top w:w="85" w:type="dxa"/>
              <w:bottom w:w="85" w:type="dxa"/>
              <w:start w:w="90" w:type="dxa"/>
              <w:end w:w="90" w:type="dxa"/>
            </w:tcMar>
            <w:vAlign w:val="top"/>
            <w:shd w:fill="EEF5F7" w:val="clear"/>
          </w:tcPr>
          <w:p>
            <w:pPr>
              <w:spacing w:after="30" w:line="247" w:lineRule="auto"/>
            </w:pPr>
            <w:r>
              <w:rPr>
                <w:b w:val="0"/>
                <w:sz w:val="18"/>
              </w:rPr>
              <w:t>VM and storage</w:t>
            </w:r>
          </w:p>
        </w:tc>
        <w:tc>
          <w:tcPr>
            <w:tcW w:type="dxa" w:w="4104"/>
            <w:tcMar>
              <w:top w:w="85" w:type="dxa"/>
              <w:bottom w:w="85" w:type="dxa"/>
              <w:start w:w="90" w:type="dxa"/>
              <w:end w:w="90" w:type="dxa"/>
            </w:tcMar>
            <w:vAlign w:val="top"/>
            <w:shd w:fill="EEF5F7" w:val="clear"/>
          </w:tcPr>
          <w:p>
            <w:pPr>
              <w:spacing w:after="30" w:line="247" w:lineRule="auto"/>
            </w:pPr>
            <w:r>
              <w:rPr>
                <w:b w:val="0"/>
                <w:sz w:val="18"/>
              </w:rPr>
              <w:t>vSphere/data owners allocate approved image, eligible placement and owned disks.</w:t>
            </w:r>
          </w:p>
        </w:tc>
        <w:tc>
          <w:tcPr>
            <w:tcW w:type="dxa" w:w="4176"/>
            <w:tcMar>
              <w:top w:w="85" w:type="dxa"/>
              <w:bottom w:w="85" w:type="dxa"/>
              <w:start w:w="90" w:type="dxa"/>
              <w:end w:w="90" w:type="dxa"/>
            </w:tcMar>
            <w:vAlign w:val="top"/>
            <w:shd w:fill="EEF5F7" w:val="clear"/>
          </w:tcPr>
          <w:p>
            <w:pPr>
              <w:spacing w:after="30" w:line="247" w:lineRule="auto"/>
            </w:pPr>
            <w:r>
              <w:rPr>
                <w:b w:val="0"/>
                <w:sz w:val="18"/>
              </w:rPr>
              <w:t>Correct host eligibility, storage/key policy and protection assignment.</w:t>
            </w:r>
          </w:p>
        </w:tc>
      </w:tr>
      <w:tr>
        <w:trPr>
          <w:cantSplit/>
        </w:trPr>
        <w:tc>
          <w:tcPr>
            <w:tcW w:type="dxa" w:w="2002"/>
            <w:tcMar>
              <w:top w:w="85" w:type="dxa"/>
              <w:bottom w:w="85" w:type="dxa"/>
              <w:start w:w="90" w:type="dxa"/>
              <w:end w:w="90" w:type="dxa"/>
            </w:tcMar>
            <w:vAlign w:val="top"/>
          </w:tcPr>
          <w:p>
            <w:pPr>
              <w:spacing w:after="30" w:line="247" w:lineRule="auto"/>
            </w:pPr>
            <w:r>
              <w:rPr>
                <w:b w:val="0"/>
                <w:sz w:val="18"/>
              </w:rPr>
              <w:t>Activation</w:t>
            </w:r>
          </w:p>
        </w:tc>
        <w:tc>
          <w:tcPr>
            <w:tcW w:type="dxa" w:w="4104"/>
            <w:tcMar>
              <w:top w:w="85" w:type="dxa"/>
              <w:bottom w:w="85" w:type="dxa"/>
              <w:start w:w="90" w:type="dxa"/>
              <w:end w:w="90" w:type="dxa"/>
            </w:tcMar>
            <w:vAlign w:val="top"/>
          </w:tcPr>
          <w:p>
            <w:pPr>
              <w:spacing w:after="30" w:line="247" w:lineRule="auto"/>
            </w:pPr>
            <w:r>
              <w:rPr>
                <w:b w:val="0"/>
                <w:sz w:val="18"/>
              </w:rPr>
              <w:t>Service owner checks current technical evidence, initial G4 and authority.</w:t>
            </w:r>
          </w:p>
        </w:tc>
        <w:tc>
          <w:tcPr>
            <w:tcW w:type="dxa" w:w="4176"/>
            <w:tcMar>
              <w:top w:w="85" w:type="dxa"/>
              <w:bottom w:w="85" w:type="dxa"/>
              <w:start w:w="90" w:type="dxa"/>
              <w:end w:w="90" w:type="dxa"/>
            </w:tcMar>
            <w:vAlign w:val="top"/>
          </w:tcPr>
          <w:p>
            <w:pPr>
              <w:spacing w:after="30" w:line="247" w:lineRule="auto"/>
            </w:pPr>
            <w:r>
              <w:rPr>
                <w:b w:val="0"/>
                <w:sz w:val="18"/>
              </w:rPr>
              <w:t>Approved live endpoint works; failure withdraws exposure without deleting data.</w:t>
            </w:r>
          </w:p>
        </w:tc>
      </w:tr>
    </w:tbl>
    <w:p>
      <w:pPr>
        <w:spacing w:after="0" w:before="0" w:line="120"/>
      </w:pPr>
    </w:p>
    <w:p>
      <w:r>
        <w:t>The LLD maps each logical WD domain to its actual native gateway, segment, route advertisement and external attachment. Do not infer an appliance hop merely from a Tier-1 object. Compare connected routes, distributed routing, service-router functions, gateway policies and the chosen external security path.</w:t>
      </w:r>
    </w:p>
    <w:p>
      <w:r>
        <w:t>Live mobility and HA restart remain inside the accepted compute, storage and zone/co-residency boundaries. A shared datastore does not automatically make every host an eligible recovery target. Review route/policy membership after relocation and include required keys and virtual-device compatibility in restore and exit testing.</w:t>
      </w:r>
    </w:p>
    <w:p>
      <w:pPr>
        <w:pStyle w:val="Heading2"/>
      </w:pPr>
      <w:r>
        <w:t>Lifecycle release record</w:t>
      </w:r>
    </w:p>
    <w:p>
      <w:r>
        <w:t>Supply separate operation coverage for VM customization, resize, disk replacement, segment changes, routing-policy changes and gateway mode changes. State import is only ownership adoption after review, not proof of conformance or authorization to replace a live gateway. Preserve former configuration and supported recovery choices before an irreversible change.</w:t>
      </w:r>
    </w:p>
    <w:p>
      <w:pPr>
        <w:pStyle w:val="Caption"/>
      </w:pPr>
      <w:r>
        <w:t xml:space="preserve">Continue with: </w:t>
      </w:r>
      <w:hyperlink r:id="rId35">
        <w:r>
          <w:rPr>
            <w:color w:val="0B6B70"/>
            <w:u w:val="single"/>
          </w:rPr>
          <w:t>QCP §3</w:t>
        </w:r>
      </w:hyperlink>
      <w:r>
        <w:t xml:space="preserve">  •  </w:t>
      </w:r>
      <w:hyperlink r:id="rId36">
        <w:r>
          <w:rPr>
            <w:color w:val="0B6B70"/>
            <w:u w:val="single"/>
          </w:rPr>
          <w:t>QCP §7</w:t>
        </w:r>
      </w:hyperlink>
      <w:r>
        <w:t xml:space="preserve">  •  </w:t>
      </w:r>
      <w:hyperlink r:id="rId26">
        <w:r>
          <w:rPr>
            <w:color w:val="0B6B70"/>
            <w:u w:val="single"/>
          </w:rPr>
          <w:t>OPS §3</w:t>
        </w:r>
      </w:hyperlink>
    </w:p>
    <w:p>
      <w:r>
        <w:br w:type="page"/>
      </w:r>
    </w:p>
    <w:p>
      <w:pPr>
        <w:pStyle w:val="Heading1"/>
      </w:pPr>
      <w:r>
        <w:t>6. OpenStack: commission a distribution, not a generic label</w:t>
      </w:r>
      <w:bookmarkStart w:id="118" w:name="PBS_06"/>
      <w:bookmarkEnd w:id="118"/>
    </w:p>
    <w:p>
      <w:r>
        <w:t>The selected distribution, backend and enabled services define the real hosting platform. A generic provider cannot make missing services or unsupported capabilities exist.</w:t>
      </w:r>
    </w:p>
    <w:p>
      <w:pPr>
        <w:pStyle w:val="Caption"/>
      </w:pPr>
      <w:r>
        <w:t xml:space="preserve">Design basis and related records: </w:t>
      </w:r>
      <w:hyperlink r:id="rId37">
        <w:r>
          <w:rPr>
            <w:color w:val="0B6B70"/>
            <w:u w:val="single"/>
          </w:rPr>
          <w:t>RA §18</w:t>
        </w:r>
      </w:hyperlink>
      <w:r>
        <w:t xml:space="preserve">  •  </w:t>
      </w:r>
      <w:hyperlink r:id="rId38">
        <w:r>
          <w:rPr>
            <w:color w:val="0B6B70"/>
            <w:u w:val="single"/>
          </w:rPr>
          <w:t>VND §5</w:t>
        </w:r>
      </w:hyperlink>
      <w:r>
        <w:t xml:space="preserve">  •  </w:t>
      </w:r>
      <w:hyperlink r:id="rId39">
        <w:r>
          <w:rPr>
            <w:color w:val="0B6B70"/>
            <w:u w:val="single"/>
          </w:rPr>
          <w:t>VC §4</w:t>
        </w:r>
      </w:hyperlink>
    </w:p>
    <w:tbl>
      <w:tblPr>
        <w:tblW w:type="auto" w:w="0"/>
        <w:jc w:val="center"/>
        <w:tblLayout w:type="fixed"/>
        <w:tblLook w:firstColumn="1" w:firstRow="1" w:lastColumn="0" w:lastRow="0" w:noHBand="0" w:noVBand="1" w:val="04A0"/>
      </w:tblPr>
      <w:tblGrid>
        <w:gridCol w:w="2117"/>
        <w:gridCol w:w="4320"/>
        <w:gridCol w:w="3845"/>
      </w:tblGrid>
      <w:tr>
        <w:trPr>
          <w:tblHeader/>
        </w:trPr>
        <w:tc>
          <w:tcPr>
            <w:tcW w:type="dxa" w:w="2117"/>
            <w:tcMar>
              <w:top w:w="85" w:type="dxa"/>
              <w:bottom w:w="85" w:type="dxa"/>
              <w:start w:w="90" w:type="dxa"/>
              <w:end w:w="90" w:type="dxa"/>
            </w:tcMar>
            <w:vAlign w:val="top"/>
            <w:shd w:fill="15384A" w:val="clear"/>
          </w:tcPr>
          <w:p>
            <w:pPr>
              <w:spacing w:after="30" w:line="247" w:lineRule="auto"/>
            </w:pPr>
            <w:r>
              <w:rPr>
                <w:b/>
                <w:color w:val="FFFFFF"/>
                <w:sz w:val="18"/>
              </w:rPr>
              <w:t>Foundation scope</w:t>
            </w:r>
          </w:p>
        </w:tc>
        <w:tc>
          <w:tcPr>
            <w:tcW w:type="dxa" w:w="4320"/>
            <w:tcMar>
              <w:top w:w="85" w:type="dxa"/>
              <w:bottom w:w="85" w:type="dxa"/>
              <w:start w:w="90" w:type="dxa"/>
              <w:end w:w="90" w:type="dxa"/>
            </w:tcMar>
            <w:vAlign w:val="top"/>
            <w:shd w:fill="15384A" w:val="clear"/>
          </w:tcPr>
          <w:p>
            <w:pPr>
              <w:spacing w:after="30" w:line="247" w:lineRule="auto"/>
            </w:pPr>
            <w:r>
              <w:rPr>
                <w:b/>
                <w:color w:val="FFFFFF"/>
                <w:sz w:val="18"/>
              </w:rPr>
              <w:t>Build specification</w:t>
            </w:r>
          </w:p>
        </w:tc>
        <w:tc>
          <w:tcPr>
            <w:tcW w:type="dxa" w:w="3845"/>
            <w:tcMar>
              <w:top w:w="85" w:type="dxa"/>
              <w:bottom w:w="85" w:type="dxa"/>
              <w:start w:w="90" w:type="dxa"/>
              <w:end w:w="90" w:type="dxa"/>
            </w:tcMar>
            <w:vAlign w:val="top"/>
            <w:shd w:fill="15384A" w:val="clear"/>
          </w:tcPr>
          <w:p>
            <w:pPr>
              <w:spacing w:after="30" w:line="247" w:lineRule="auto"/>
            </w:pPr>
            <w:r>
              <w:rPr>
                <w:b/>
                <w:color w:val="FFFFFF"/>
                <w:sz w:val="18"/>
              </w:rPr>
              <w:t>Qualification boundary</w:t>
            </w:r>
          </w:p>
        </w:tc>
      </w:tr>
      <w:tr>
        <w:trPr>
          <w:cantSplit/>
        </w:trPr>
        <w:tc>
          <w:tcPr>
            <w:tcW w:type="dxa" w:w="2117"/>
            <w:tcMar>
              <w:top w:w="85" w:type="dxa"/>
              <w:bottom w:w="85" w:type="dxa"/>
              <w:start w:w="90" w:type="dxa"/>
              <w:end w:w="90" w:type="dxa"/>
            </w:tcMar>
            <w:vAlign w:val="top"/>
          </w:tcPr>
          <w:p>
            <w:pPr>
              <w:spacing w:after="30" w:line="247" w:lineRule="auto"/>
            </w:pPr>
            <w:r>
              <w:rPr>
                <w:b w:val="0"/>
                <w:sz w:val="18"/>
              </w:rPr>
              <w:t>Control and service dependencies</w:t>
            </w:r>
          </w:p>
        </w:tc>
        <w:tc>
          <w:tcPr>
            <w:tcW w:type="dxa" w:w="4320"/>
            <w:tcMar>
              <w:top w:w="85" w:type="dxa"/>
              <w:bottom w:w="85" w:type="dxa"/>
              <w:start w:w="90" w:type="dxa"/>
              <w:end w:w="90" w:type="dxa"/>
            </w:tcMar>
            <w:vAlign w:val="top"/>
          </w:tcPr>
          <w:p>
            <w:pPr>
              <w:spacing w:after="30" w:line="247" w:lineRule="auto"/>
            </w:pPr>
            <w:r>
              <w:rPr>
                <w:b w:val="0"/>
                <w:sz w:val="18"/>
              </w:rPr>
              <w:t>Keystone and selected APIs, databases/messaging, certificates, privileged access and installer ownership.</w:t>
            </w:r>
          </w:p>
        </w:tc>
        <w:tc>
          <w:tcPr>
            <w:tcW w:type="dxa" w:w="3845"/>
            <w:tcMar>
              <w:top w:w="85" w:type="dxa"/>
              <w:bottom w:w="85" w:type="dxa"/>
              <w:start w:w="90" w:type="dxa"/>
              <w:end w:w="90" w:type="dxa"/>
            </w:tcMar>
            <w:vAlign w:val="top"/>
          </w:tcPr>
          <w:p>
            <w:pPr>
              <w:spacing w:after="30" w:line="247" w:lineRule="auto"/>
            </w:pPr>
            <w:r>
              <w:rPr>
                <w:b w:val="0"/>
                <w:sz w:val="18"/>
              </w:rPr>
              <w:t>Control/service health, authority boundaries and recoverability of actual dependencies.</w:t>
            </w:r>
          </w:p>
        </w:tc>
      </w:tr>
      <w:tr>
        <w:trPr>
          <w:cantSplit/>
        </w:trPr>
        <w:tc>
          <w:tcPr>
            <w:tcW w:type="dxa" w:w="2117"/>
            <w:tcMar>
              <w:top w:w="85" w:type="dxa"/>
              <w:bottom w:w="85" w:type="dxa"/>
              <w:start w:w="90" w:type="dxa"/>
              <w:end w:w="90" w:type="dxa"/>
            </w:tcMar>
            <w:vAlign w:val="top"/>
            <w:shd w:fill="EEF5F7" w:val="clear"/>
          </w:tcPr>
          <w:p>
            <w:pPr>
              <w:spacing w:after="30" w:line="247" w:lineRule="auto"/>
            </w:pPr>
            <w:r>
              <w:rPr>
                <w:b w:val="0"/>
                <w:sz w:val="18"/>
              </w:rPr>
              <w:t>Nova and Placement</w:t>
            </w:r>
          </w:p>
        </w:tc>
        <w:tc>
          <w:tcPr>
            <w:tcW w:type="dxa" w:w="4320"/>
            <w:tcMar>
              <w:top w:w="85" w:type="dxa"/>
              <w:bottom w:w="85" w:type="dxa"/>
              <w:start w:w="90" w:type="dxa"/>
              <w:end w:w="90" w:type="dxa"/>
            </w:tcMar>
            <w:vAlign w:val="top"/>
            <w:shd w:fill="EEF5F7" w:val="clear"/>
          </w:tcPr>
          <w:p>
            <w:pPr>
              <w:spacing w:after="30" w:line="247" w:lineRule="auto"/>
            </w:pPr>
            <w:r>
              <w:rPr>
                <w:b w:val="0"/>
                <w:sz w:val="18"/>
              </w:rPr>
              <w:t>Eligible hosts, placement policy, aggregates/traits, image/virtual-device classes and resource reserve.</w:t>
            </w:r>
          </w:p>
        </w:tc>
        <w:tc>
          <w:tcPr>
            <w:tcW w:type="dxa" w:w="3845"/>
            <w:tcMar>
              <w:top w:w="85" w:type="dxa"/>
              <w:bottom w:w="85" w:type="dxa"/>
              <w:start w:w="90" w:type="dxa"/>
              <w:end w:w="90" w:type="dxa"/>
            </w:tcMar>
            <w:vAlign w:val="top"/>
            <w:shd w:fill="EEF5F7" w:val="clear"/>
          </w:tcPr>
          <w:p>
            <w:pPr>
              <w:spacing w:after="30" w:line="247" w:lineRule="auto"/>
            </w:pPr>
            <w:r>
              <w:rPr>
                <w:b w:val="0"/>
                <w:sz w:val="18"/>
              </w:rPr>
              <w:t>Actual scheduler decisions before and after restart, evacuation or maintenance.</w:t>
            </w:r>
          </w:p>
        </w:tc>
      </w:tr>
      <w:tr>
        <w:trPr>
          <w:cantSplit/>
        </w:trPr>
        <w:tc>
          <w:tcPr>
            <w:tcW w:type="dxa" w:w="2117"/>
            <w:tcMar>
              <w:top w:w="85" w:type="dxa"/>
              <w:bottom w:w="85" w:type="dxa"/>
              <w:start w:w="90" w:type="dxa"/>
              <w:end w:w="90" w:type="dxa"/>
            </w:tcMar>
            <w:vAlign w:val="top"/>
          </w:tcPr>
          <w:p>
            <w:pPr>
              <w:spacing w:after="30" w:line="247" w:lineRule="auto"/>
            </w:pPr>
            <w:r>
              <w:rPr>
                <w:b w:val="0"/>
                <w:sz w:val="18"/>
              </w:rPr>
              <w:t>Neutron backend</w:t>
            </w:r>
          </w:p>
        </w:tc>
        <w:tc>
          <w:tcPr>
            <w:tcW w:type="dxa" w:w="4320"/>
            <w:tcMar>
              <w:top w:w="85" w:type="dxa"/>
              <w:bottom w:w="85" w:type="dxa"/>
              <w:start w:w="90" w:type="dxa"/>
              <w:end w:w="90" w:type="dxa"/>
            </w:tcMar>
            <w:vAlign w:val="top"/>
          </w:tcPr>
          <w:p>
            <w:pPr>
              <w:spacing w:after="30" w:line="247" w:lineRule="auto"/>
            </w:pPr>
            <w:r>
              <w:rPr>
                <w:b w:val="0"/>
                <w:sz w:val="18"/>
              </w:rPr>
              <w:t>Named ML2/OVN or approved alternative, compute/controller/gateway roles, transport and provider mappings.</w:t>
            </w:r>
          </w:p>
        </w:tc>
        <w:tc>
          <w:tcPr>
            <w:tcW w:type="dxa" w:w="3845"/>
            <w:tcMar>
              <w:top w:w="85" w:type="dxa"/>
              <w:bottom w:w="85" w:type="dxa"/>
              <w:start w:w="90" w:type="dxa"/>
              <w:end w:w="90" w:type="dxa"/>
            </w:tcMar>
            <w:vAlign w:val="top"/>
          </w:tcPr>
          <w:p>
            <w:pPr>
              <w:spacing w:after="30" w:line="247" w:lineRule="auto"/>
            </w:pPr>
            <w:r>
              <w:rPr>
                <w:b w:val="0"/>
                <w:sz w:val="18"/>
              </w:rPr>
              <w:t>Distributed routes, external handoff and all enabled direct-attachment alternatives.</w:t>
            </w:r>
          </w:p>
        </w:tc>
      </w:tr>
      <w:tr>
        <w:trPr>
          <w:cantSplit/>
        </w:trPr>
        <w:tc>
          <w:tcPr>
            <w:tcW w:type="dxa" w:w="2117"/>
            <w:tcMar>
              <w:top w:w="85" w:type="dxa"/>
              <w:bottom w:w="85" w:type="dxa"/>
              <w:start w:w="90" w:type="dxa"/>
              <w:end w:w="90" w:type="dxa"/>
            </w:tcMar>
            <w:vAlign w:val="top"/>
            <w:shd w:fill="EEF5F7" w:val="clear"/>
          </w:tcPr>
          <w:p>
            <w:pPr>
              <w:spacing w:after="30" w:line="247" w:lineRule="auto"/>
            </w:pPr>
            <w:r>
              <w:rPr>
                <w:b w:val="0"/>
                <w:sz w:val="18"/>
              </w:rPr>
              <w:t>Glance/Cinder and data services</w:t>
            </w:r>
          </w:p>
        </w:tc>
        <w:tc>
          <w:tcPr>
            <w:tcW w:type="dxa" w:w="4320"/>
            <w:tcMar>
              <w:top w:w="85" w:type="dxa"/>
              <w:bottom w:w="85" w:type="dxa"/>
              <w:start w:w="90" w:type="dxa"/>
              <w:end w:w="90" w:type="dxa"/>
            </w:tcMar>
            <w:vAlign w:val="top"/>
            <w:shd w:fill="EEF5F7" w:val="clear"/>
          </w:tcPr>
          <w:p>
            <w:pPr>
              <w:spacing w:after="30" w:line="247" w:lineRule="auto"/>
            </w:pPr>
            <w:r>
              <w:rPr>
                <w:b w:val="0"/>
                <w:sz w:val="18"/>
              </w:rPr>
              <w:t>Approved images, owned volumes, storage types/backends and selected keys/protection.</w:t>
            </w:r>
          </w:p>
        </w:tc>
        <w:tc>
          <w:tcPr>
            <w:tcW w:type="dxa" w:w="3845"/>
            <w:tcMar>
              <w:top w:w="85" w:type="dxa"/>
              <w:bottom w:w="85" w:type="dxa"/>
              <w:start w:w="90" w:type="dxa"/>
              <w:end w:w="90" w:type="dxa"/>
            </w:tcMar>
            <w:vAlign w:val="top"/>
            <w:shd w:fill="EEF5F7" w:val="clear"/>
          </w:tcPr>
          <w:p>
            <w:pPr>
              <w:spacing w:after="30" w:line="247" w:lineRule="auto"/>
            </w:pPr>
            <w:r>
              <w:rPr>
                <w:b w:val="0"/>
                <w:sz w:val="18"/>
              </w:rPr>
              <w:t>Foreign attachment denied, eligible placement, retained copies and useful restore.</w:t>
            </w:r>
          </w:p>
        </w:tc>
      </w:tr>
    </w:tbl>
    <w:p>
      <w:pPr>
        <w:spacing w:after="0" w:before="0" w:line="120"/>
      </w:pPr>
    </w:p>
    <w:p>
      <w:r>
        <w:t>For the OVN reference pattern, OpenStack documents distributed east-west forwarding separately from external gateway handling. A gateway on an external path is therefore not proof that every internal routed flow visits that gateway. Include distributed and provider-network candidates in boundary analysis. [D07]</w:t>
      </w:r>
    </w:p>
    <w:p>
      <w:pPr>
        <w:pStyle w:val="Caption"/>
      </w:pPr>
      <w:r>
        <w:t xml:space="preserve">Verified mechanism source: </w:t>
      </w:r>
      <w:hyperlink r:id="rId40">
        <w:r>
          <w:rPr>
            <w:color w:val="0B6B70"/>
            <w:u w:val="single"/>
          </w:rPr>
          <w:t>D07 — OpenStack Neutron OVN reference architecture</w:t>
        </w:r>
      </w:hyperlink>
    </w:p>
    <w:p>
      <w:r>
        <w:t>Nova’s host-aggregate guidance requires actual scheduler/Placement configuration for the selected isolation model. An aggregate or availability-zone label alone is not enforcement or physical independence. Bind the design to the named configuration and observation that rejects ineligible placement. [D08]</w:t>
      </w:r>
    </w:p>
    <w:p>
      <w:pPr>
        <w:pStyle w:val="Caption"/>
      </w:pPr>
      <w:r>
        <w:t xml:space="preserve">Verified mechanism source: </w:t>
      </w:r>
      <w:hyperlink r:id="rId41">
        <w:r>
          <w:rPr>
            <w:color w:val="0B6B70"/>
            <w:u w:val="single"/>
          </w:rPr>
          <w:t>D08 — OpenStack Nova host aggregates</w:t>
        </w:r>
      </w:hyperlink>
    </w:p>
    <w:p>
      <w:r>
        <w:t>The accepted handoff names the exact distribution services and versions, backend, enabled extensions, API policy, controller ownership and tested operating limits. Do not directly manage controller-owned OVS/OVN backend objects with a second tool. A backend replacement is an architecture-impacting change with a new failure and policy analysis.</w:t>
      </w:r>
    </w:p>
    <w:p>
      <w:pPr>
        <w:pStyle w:val="Caption"/>
      </w:pPr>
      <w:r>
        <w:t xml:space="preserve">Continue with: </w:t>
      </w:r>
      <w:hyperlink r:id="rId42">
        <w:r>
          <w:rPr>
            <w:color w:val="0B6B70"/>
            <w:u w:val="single"/>
          </w:rPr>
          <w:t>PBS §7</w:t>
        </w:r>
      </w:hyperlink>
      <w:r>
        <w:t xml:space="preserve">  •  </w:t>
      </w:r>
      <w:hyperlink r:id="rId43">
        <w:r>
          <w:rPr>
            <w:color w:val="0B6B70"/>
            <w:u w:val="single"/>
          </w:rPr>
          <w:t>QCP §4</w:t>
        </w:r>
      </w:hyperlink>
    </w:p>
    <w:p>
      <w:r>
        <w:br w:type="page"/>
      </w:r>
    </w:p>
    <w:p>
      <w:pPr>
        <w:pStyle w:val="Heading1"/>
      </w:pPr>
      <w:r>
        <w:t>7. OpenStack: protect mandatory network mutation</w:t>
      </w:r>
      <w:bookmarkStart w:id="119" w:name="PBS_07"/>
      <w:bookmarkEnd w:id="119"/>
    </w:p>
    <w:p>
      <w:r>
        <w:t>The base service uses provider-owned control of mandatory network policy and external attachment. Tenant self-service is bounded by the offered capability, not by permissive native defaults.</w:t>
      </w:r>
    </w:p>
    <w:p>
      <w:pPr>
        <w:pStyle w:val="Caption"/>
      </w:pPr>
      <w:r>
        <w:t xml:space="preserve">Design basis and related records: </w:t>
      </w:r>
      <w:hyperlink r:id="rId37">
        <w:r>
          <w:rPr>
            <w:color w:val="0B6B70"/>
            <w:u w:val="single"/>
          </w:rPr>
          <w:t>RA §18</w:t>
        </w:r>
      </w:hyperlink>
      <w:r>
        <w:t xml:space="preserve">  •  </w:t>
      </w:r>
      <w:hyperlink r:id="rId23">
        <w:r>
          <w:rPr>
            <w:color w:val="0B6B70"/>
            <w:u w:val="single"/>
          </w:rPr>
          <w:t>WD §8</w:t>
        </w:r>
      </w:hyperlink>
      <w:r>
        <w:t xml:space="preserve">  •  </w:t>
      </w:r>
      <w:hyperlink r:id="rId39">
        <w:r>
          <w:rPr>
            <w:color w:val="0B6B70"/>
            <w:u w:val="single"/>
          </w:rPr>
          <w:t>VC §4</w:t>
        </w:r>
      </w:hyperlink>
    </w:p>
    <w:p>
      <w:r>
        <w:t>Neutron describes security groups as additive allow rules, including default egress permissions. It also documents the effect of disabling port security and notes that removing egress may prevent metadata access. Accordingly, preserve required initialization explicitly and verify effective permission across every attached group; do not treat an added group as a mandatory deny layer. [D02]</w:t>
      </w:r>
    </w:p>
    <w:p>
      <w:pPr>
        <w:pStyle w:val="Caption"/>
      </w:pPr>
      <w:r>
        <w:t xml:space="preserve">Verified mechanism source: </w:t>
      </w:r>
      <w:hyperlink r:id="rId44">
        <w:r>
          <w:rPr>
            <w:color w:val="0B6B70"/>
            <w:u w:val="single"/>
          </w:rPr>
          <w:t>D02 — OpenStack Neutron networking concepts</w:t>
        </w:r>
      </w:hyperlink>
    </w:p>
    <w:tbl>
      <w:tblPr>
        <w:tblW w:type="auto" w:w="0"/>
        <w:jc w:val="center"/>
        <w:tblLayout w:type="fixed"/>
        <w:tblLook w:firstColumn="1" w:firstRow="1" w:lastColumn="0" w:lastRow="0" w:noHBand="0" w:noVBand="1" w:val="04A0"/>
      </w:tblPr>
      <w:tblGrid>
        <w:gridCol w:w="2102"/>
        <w:gridCol w:w="4018"/>
        <w:gridCol w:w="4162"/>
      </w:tblGrid>
      <w:tr>
        <w:trPr>
          <w:tblHeader/>
        </w:trPr>
        <w:tc>
          <w:tcPr>
            <w:tcW w:type="dxa" w:w="2102"/>
            <w:tcMar>
              <w:top w:w="85" w:type="dxa"/>
              <w:bottom w:w="85" w:type="dxa"/>
              <w:start w:w="90" w:type="dxa"/>
              <w:end w:w="90" w:type="dxa"/>
            </w:tcMar>
            <w:vAlign w:val="top"/>
            <w:shd w:fill="15384A" w:val="clear"/>
          </w:tcPr>
          <w:p>
            <w:pPr>
              <w:spacing w:after="30" w:line="247" w:lineRule="auto"/>
            </w:pPr>
            <w:r>
              <w:rPr>
                <w:b/>
                <w:color w:val="FFFFFF"/>
                <w:sz w:val="18"/>
              </w:rPr>
              <w:t>Mutation surface</w:t>
            </w:r>
          </w:p>
        </w:tc>
        <w:tc>
          <w:tcPr>
            <w:tcW w:type="dxa" w:w="4018"/>
            <w:tcMar>
              <w:top w:w="85" w:type="dxa"/>
              <w:bottom w:w="85" w:type="dxa"/>
              <w:start w:w="90" w:type="dxa"/>
              <w:end w:w="90" w:type="dxa"/>
            </w:tcMar>
            <w:vAlign w:val="top"/>
            <w:shd w:fill="15384A" w:val="clear"/>
          </w:tcPr>
          <w:p>
            <w:pPr>
              <w:spacing w:after="30" w:line="247" w:lineRule="auto"/>
            </w:pPr>
            <w:r>
              <w:rPr>
                <w:b/>
                <w:color w:val="FFFFFF"/>
                <w:sz w:val="18"/>
              </w:rPr>
              <w:t>Base design ownership</w:t>
            </w:r>
          </w:p>
        </w:tc>
        <w:tc>
          <w:tcPr>
            <w:tcW w:type="dxa" w:w="4162"/>
            <w:tcMar>
              <w:top w:w="85" w:type="dxa"/>
              <w:bottom w:w="85" w:type="dxa"/>
              <w:start w:w="90" w:type="dxa"/>
              <w:end w:w="90" w:type="dxa"/>
            </w:tcMar>
            <w:vAlign w:val="top"/>
            <w:shd w:fill="15384A" w:val="clear"/>
          </w:tcPr>
          <w:p>
            <w:pPr>
              <w:spacing w:after="30" w:line="247" w:lineRule="auto"/>
            </w:pPr>
            <w:r>
              <w:rPr>
                <w:b/>
                <w:color w:val="FFFFFF"/>
                <w:sz w:val="18"/>
              </w:rPr>
              <w:t>Required negative and positive observation</w:t>
            </w:r>
          </w:p>
        </w:tc>
      </w:tr>
      <w:tr>
        <w:trPr>
          <w:cantSplit/>
        </w:trPr>
        <w:tc>
          <w:tcPr>
            <w:tcW w:type="dxa" w:w="2102"/>
            <w:tcMar>
              <w:top w:w="85" w:type="dxa"/>
              <w:bottom w:w="85" w:type="dxa"/>
              <w:start w:w="90" w:type="dxa"/>
              <w:end w:w="90" w:type="dxa"/>
            </w:tcMar>
            <w:vAlign w:val="top"/>
          </w:tcPr>
          <w:p>
            <w:pPr>
              <w:spacing w:after="30" w:line="247" w:lineRule="auto"/>
            </w:pPr>
            <w:r>
              <w:rPr>
                <w:b w:val="0"/>
                <w:sz w:val="18"/>
              </w:rPr>
              <w:t>Groups and membership</w:t>
            </w:r>
          </w:p>
        </w:tc>
        <w:tc>
          <w:tcPr>
            <w:tcW w:type="dxa" w:w="4018"/>
            <w:tcMar>
              <w:top w:w="85" w:type="dxa"/>
              <w:bottom w:w="85" w:type="dxa"/>
              <w:start w:w="90" w:type="dxa"/>
              <w:end w:w="90" w:type="dxa"/>
            </w:tcMar>
            <w:vAlign w:val="top"/>
          </w:tcPr>
          <w:p>
            <w:pPr>
              <w:spacing w:after="30" w:line="247" w:lineRule="auto"/>
            </w:pPr>
            <w:r>
              <w:rPr>
                <w:b w:val="0"/>
                <w:sz w:val="18"/>
              </w:rPr>
              <w:t>Provider controls mandatory group rules and which groups protect each port.</w:t>
            </w:r>
          </w:p>
        </w:tc>
        <w:tc>
          <w:tcPr>
            <w:tcW w:type="dxa" w:w="4162"/>
            <w:tcMar>
              <w:top w:w="85" w:type="dxa"/>
              <w:bottom w:w="85" w:type="dxa"/>
              <w:start w:w="90" w:type="dxa"/>
              <w:end w:w="90" w:type="dxa"/>
            </w:tcMar>
            <w:vAlign w:val="top"/>
          </w:tcPr>
          <w:p>
            <w:pPr>
              <w:spacing w:after="30" w:line="247" w:lineRule="auto"/>
            </w:pPr>
            <w:r>
              <w:rPr>
                <w:b w:val="0"/>
                <w:sz w:val="18"/>
              </w:rPr>
              <w:t>Tenant cannot add a broader rule or group; the approved workload flow still operates.</w:t>
            </w:r>
          </w:p>
        </w:tc>
      </w:tr>
      <w:tr>
        <w:trPr>
          <w:cantSplit/>
        </w:trPr>
        <w:tc>
          <w:tcPr>
            <w:tcW w:type="dxa" w:w="2102"/>
            <w:tcMar>
              <w:top w:w="85" w:type="dxa"/>
              <w:bottom w:w="85" w:type="dxa"/>
              <w:start w:w="90" w:type="dxa"/>
              <w:end w:w="90" w:type="dxa"/>
            </w:tcMar>
            <w:vAlign w:val="top"/>
            <w:shd w:fill="EEF5F7" w:val="clear"/>
          </w:tcPr>
          <w:p>
            <w:pPr>
              <w:spacing w:after="30" w:line="247" w:lineRule="auto"/>
            </w:pPr>
            <w:r>
              <w:rPr>
                <w:b w:val="0"/>
                <w:sz w:val="18"/>
              </w:rPr>
              <w:t>Port security / address pairs</w:t>
            </w:r>
          </w:p>
        </w:tc>
        <w:tc>
          <w:tcPr>
            <w:tcW w:type="dxa" w:w="4018"/>
            <w:tcMar>
              <w:top w:w="85" w:type="dxa"/>
              <w:bottom w:w="85" w:type="dxa"/>
              <w:start w:w="90" w:type="dxa"/>
              <w:end w:w="90" w:type="dxa"/>
            </w:tcMar>
            <w:vAlign w:val="top"/>
            <w:shd w:fill="EEF5F7" w:val="clear"/>
          </w:tcPr>
          <w:p>
            <w:pPr>
              <w:spacing w:after="30" w:line="247" w:lineRule="auto"/>
            </w:pPr>
            <w:r>
              <w:rPr>
                <w:b w:val="0"/>
                <w:sz w:val="18"/>
              </w:rPr>
              <w:t>Provider controls disabling security, additional source identities and relevant exceptions.</w:t>
            </w:r>
          </w:p>
        </w:tc>
        <w:tc>
          <w:tcPr>
            <w:tcW w:type="dxa" w:w="4162"/>
            <w:tcMar>
              <w:top w:w="85" w:type="dxa"/>
              <w:bottom w:w="85" w:type="dxa"/>
              <w:start w:w="90" w:type="dxa"/>
              <w:end w:w="90" w:type="dxa"/>
            </w:tcMar>
            <w:vAlign w:val="top"/>
            <w:shd w:fill="EEF5F7" w:val="clear"/>
          </w:tcPr>
          <w:p>
            <w:pPr>
              <w:spacing w:after="30" w:line="247" w:lineRule="auto"/>
            </w:pPr>
            <w:r>
              <w:rPr>
                <w:b w:val="0"/>
                <w:sz w:val="18"/>
              </w:rPr>
              <w:t>Unapproved changes fail through actual API roles; legitimate configured service behaviour remains functional.</w:t>
            </w:r>
          </w:p>
        </w:tc>
      </w:tr>
      <w:tr>
        <w:trPr>
          <w:cantSplit/>
        </w:trPr>
        <w:tc>
          <w:tcPr>
            <w:tcW w:type="dxa" w:w="2102"/>
            <w:tcMar>
              <w:top w:w="85" w:type="dxa"/>
              <w:bottom w:w="85" w:type="dxa"/>
              <w:start w:w="90" w:type="dxa"/>
              <w:end w:w="90" w:type="dxa"/>
            </w:tcMar>
            <w:vAlign w:val="top"/>
          </w:tcPr>
          <w:p>
            <w:pPr>
              <w:spacing w:after="30" w:line="247" w:lineRule="auto"/>
            </w:pPr>
            <w:r>
              <w:rPr>
                <w:b w:val="0"/>
                <w:sz w:val="18"/>
              </w:rPr>
              <w:t>External attachments</w:t>
            </w:r>
          </w:p>
        </w:tc>
        <w:tc>
          <w:tcPr>
            <w:tcW w:type="dxa" w:w="4018"/>
            <w:tcMar>
              <w:top w:w="85" w:type="dxa"/>
              <w:bottom w:w="85" w:type="dxa"/>
              <w:start w:w="90" w:type="dxa"/>
              <w:end w:w="90" w:type="dxa"/>
            </w:tcMar>
            <w:vAlign w:val="top"/>
          </w:tcPr>
          <w:p>
            <w:pPr>
              <w:spacing w:after="30" w:line="247" w:lineRule="auto"/>
            </w:pPr>
            <w:r>
              <w:rPr>
                <w:b w:val="0"/>
                <w:sz w:val="18"/>
              </w:rPr>
              <w:t>Provider controls external router, provider network, additional NIC and floating-address paths.</w:t>
            </w:r>
          </w:p>
        </w:tc>
        <w:tc>
          <w:tcPr>
            <w:tcW w:type="dxa" w:w="4162"/>
            <w:tcMar>
              <w:top w:w="85" w:type="dxa"/>
              <w:bottom w:w="85" w:type="dxa"/>
              <w:start w:w="90" w:type="dxa"/>
              <w:end w:w="90" w:type="dxa"/>
            </w:tcMar>
            <w:vAlign w:val="top"/>
          </w:tcPr>
          <w:p>
            <w:pPr>
              <w:spacing w:after="30" w:line="247" w:lineRule="auto"/>
            </w:pPr>
            <w:r>
              <w:rPr>
                <w:b w:val="0"/>
                <w:sz w:val="18"/>
              </w:rPr>
              <w:t>Tenant cannot create an escape route; authorized service exposure follows its own design.</w:t>
            </w:r>
          </w:p>
        </w:tc>
      </w:tr>
      <w:tr>
        <w:trPr>
          <w:cantSplit/>
        </w:trPr>
        <w:tc>
          <w:tcPr>
            <w:tcW w:type="dxa" w:w="2102"/>
            <w:tcMar>
              <w:top w:w="85" w:type="dxa"/>
              <w:bottom w:w="85" w:type="dxa"/>
              <w:start w:w="90" w:type="dxa"/>
              <w:end w:w="90" w:type="dxa"/>
            </w:tcMar>
            <w:vAlign w:val="top"/>
            <w:shd w:fill="EEF5F7" w:val="clear"/>
          </w:tcPr>
          <w:p>
            <w:pPr>
              <w:spacing w:after="30" w:line="247" w:lineRule="auto"/>
            </w:pPr>
            <w:r>
              <w:rPr>
                <w:b w:val="0"/>
                <w:sz w:val="18"/>
              </w:rPr>
              <w:t>Initialization</w:t>
            </w:r>
          </w:p>
        </w:tc>
        <w:tc>
          <w:tcPr>
            <w:tcW w:type="dxa" w:w="4018"/>
            <w:tcMar>
              <w:top w:w="85" w:type="dxa"/>
              <w:bottom w:w="85" w:type="dxa"/>
              <w:start w:w="90" w:type="dxa"/>
              <w:end w:w="90" w:type="dxa"/>
            </w:tcMar>
            <w:vAlign w:val="top"/>
            <w:shd w:fill="EEF5F7" w:val="clear"/>
          </w:tcPr>
          <w:p>
            <w:pPr>
              <w:spacing w:after="30" w:line="247" w:lineRule="auto"/>
            </w:pPr>
            <w:r>
              <w:rPr>
                <w:b w:val="0"/>
                <w:sz w:val="18"/>
              </w:rPr>
              <w:t>Named metadata/DHCP/DNS and identity needs are allowed only for their actual consumers.</w:t>
            </w:r>
          </w:p>
        </w:tc>
        <w:tc>
          <w:tcPr>
            <w:tcW w:type="dxa" w:w="4162"/>
            <w:tcMar>
              <w:top w:w="85" w:type="dxa"/>
              <w:bottom w:w="85" w:type="dxa"/>
              <w:start w:w="90" w:type="dxa"/>
              <w:end w:w="90" w:type="dxa"/>
            </w:tcMar>
            <w:vAlign w:val="top"/>
            <w:shd w:fill="EEF5F7" w:val="clear"/>
          </w:tcPr>
          <w:p>
            <w:pPr>
              <w:spacing w:after="30" w:line="247" w:lineRule="auto"/>
            </w:pPr>
            <w:r>
              <w:rPr>
                <w:b w:val="0"/>
                <w:sz w:val="18"/>
              </w:rPr>
              <w:t>Secure bootstrapping succeeds without broad Internet or provider-management access.</w:t>
            </w:r>
          </w:p>
        </w:tc>
      </w:tr>
    </w:tbl>
    <w:p>
      <w:pPr>
        <w:spacing w:after="0" w:before="0" w:line="120"/>
      </w:pPr>
    </w:p>
    <w:p>
      <w:r>
        <w:t>Build sequence: establish project/roles and quotas; reserve addresses and attachment capacity; create denied domain networks, subnets, ports and separate router contexts; establish the qualified ZIP routes and policy; then attach instances, owned volumes and required services. Observe native readiness before relying on asynchronous deletion or route changes.</w:t>
      </w:r>
    </w:p>
    <w:p>
      <w:r>
        <w:t>Test with the actual delegated tenant role, not an administrator account labelled “tenant”. An inability to enforce the baseline at the selected API/policy boundary blocks that delegated capability. Direct tenant network editing can be a separately qualified extension, but it does not silently become the base service.</w:t>
      </w:r>
    </w:p>
    <w:p>
      <w:pPr>
        <w:pStyle w:val="Caption"/>
      </w:pPr>
      <w:r>
        <w:t xml:space="preserve">Continue with: </w:t>
      </w:r>
      <w:hyperlink r:id="rId43">
        <w:r>
          <w:rPr>
            <w:color w:val="0B6B70"/>
            <w:u w:val="single"/>
          </w:rPr>
          <w:t>QCP §4</w:t>
        </w:r>
      </w:hyperlink>
      <w:r>
        <w:t xml:space="preserve">  •  </w:t>
      </w:r>
      <w:hyperlink r:id="rId26">
        <w:r>
          <w:rPr>
            <w:color w:val="0B6B70"/>
            <w:u w:val="single"/>
          </w:rPr>
          <w:t>OPS §3</w:t>
        </w:r>
      </w:hyperlink>
    </w:p>
    <w:p>
      <w:r>
        <w:br w:type="page"/>
      </w:r>
    </w:p>
    <w:p>
      <w:pPr>
        <w:pStyle w:val="Heading1"/>
      </w:pPr>
      <w:r>
        <w:t>8. Publish shared-service handoffs without sharing authority</w:t>
      </w:r>
      <w:bookmarkStart w:id="120" w:name="PBS_08"/>
      <w:bookmarkEnd w:id="120"/>
    </w:p>
    <w:p>
      <w:r>
        <w:t>Each integration is a producer/consumer agreement about usable infrastructure. It is not a reason to grant the consumer every privilege held by the producer.</w:t>
      </w:r>
    </w:p>
    <w:p>
      <w:pPr>
        <w:pStyle w:val="Caption"/>
      </w:pPr>
      <w:r>
        <w:t xml:space="preserve">Design basis and related records: </w:t>
      </w:r>
      <w:hyperlink r:id="rId45">
        <w:r>
          <w:rPr>
            <w:color w:val="0B6B70"/>
            <w:u w:val="single"/>
          </w:rPr>
          <w:t>PROV §1</w:t>
        </w:r>
      </w:hyperlink>
      <w:r>
        <w:t xml:space="preserve">  •  </w:t>
      </w:r>
      <w:hyperlink r:id="rId14">
        <w:r>
          <w:rPr>
            <w:color w:val="0B6B70"/>
            <w:u w:val="single"/>
          </w:rPr>
          <w:t>PROV §3</w:t>
        </w:r>
      </w:hyperlink>
      <w:r>
        <w:t xml:space="preserve">  •  </w:t>
      </w:r>
      <w:hyperlink r:id="rId46">
        <w:r>
          <w:rPr>
            <w:color w:val="0B6B70"/>
            <w:u w:val="single"/>
          </w:rPr>
          <w:t>SVC §1</w:t>
        </w:r>
      </w:hyperlink>
      <w:r>
        <w:t xml:space="preserve">  •  </w:t>
      </w:r>
      <w:hyperlink r:id="rId47">
        <w:r>
          <w:rPr>
            <w:color w:val="0B6B70"/>
            <w:u w:val="single"/>
          </w:rPr>
          <w:t>EK §5</w:t>
        </w:r>
      </w:hyperlink>
    </w:p>
    <w:tbl>
      <w:tblPr>
        <w:tblW w:type="auto" w:w="0"/>
        <w:jc w:val="center"/>
        <w:tblLayout w:type="fixed"/>
        <w:tblLook w:firstColumn="1" w:firstRow="1" w:lastColumn="0" w:lastRow="0" w:noHBand="0" w:noVBand="1" w:val="04A0"/>
      </w:tblPr>
      <w:tblGrid>
        <w:gridCol w:w="2146"/>
        <w:gridCol w:w="4320"/>
        <w:gridCol w:w="3816"/>
      </w:tblGrid>
      <w:tr>
        <w:trPr>
          <w:tblHeader/>
        </w:trPr>
        <w:tc>
          <w:tcPr>
            <w:tcW w:type="dxa" w:w="2146"/>
            <w:tcMar>
              <w:top w:w="85" w:type="dxa"/>
              <w:bottom w:w="85" w:type="dxa"/>
              <w:start w:w="90" w:type="dxa"/>
              <w:end w:w="90" w:type="dxa"/>
            </w:tcMar>
            <w:vAlign w:val="top"/>
            <w:shd w:fill="15384A" w:val="clear"/>
          </w:tcPr>
          <w:p>
            <w:pPr>
              <w:spacing w:after="30" w:line="247" w:lineRule="auto"/>
            </w:pPr>
            <w:r>
              <w:rPr>
                <w:b/>
                <w:color w:val="FFFFFF"/>
                <w:sz w:val="18"/>
              </w:rPr>
              <w:t>Producer</w:t>
            </w:r>
          </w:p>
        </w:tc>
        <w:tc>
          <w:tcPr>
            <w:tcW w:type="dxa" w:w="4320"/>
            <w:tcMar>
              <w:top w:w="85" w:type="dxa"/>
              <w:bottom w:w="85" w:type="dxa"/>
              <w:start w:w="90" w:type="dxa"/>
              <w:end w:w="90" w:type="dxa"/>
            </w:tcMar>
            <w:vAlign w:val="top"/>
            <w:shd w:fill="15384A" w:val="clear"/>
          </w:tcPr>
          <w:p>
            <w:pPr>
              <w:spacing w:after="30" w:line="247" w:lineRule="auto"/>
            </w:pPr>
            <w:r>
              <w:rPr>
                <w:b/>
                <w:color w:val="FFFFFF"/>
                <w:sz w:val="18"/>
              </w:rPr>
              <w:t>Minimum accepted output</w:t>
            </w:r>
          </w:p>
        </w:tc>
        <w:tc>
          <w:tcPr>
            <w:tcW w:type="dxa" w:w="3816"/>
            <w:tcMar>
              <w:top w:w="85" w:type="dxa"/>
              <w:bottom w:w="85" w:type="dxa"/>
              <w:start w:w="90" w:type="dxa"/>
              <w:end w:w="90" w:type="dxa"/>
            </w:tcMar>
            <w:vAlign w:val="top"/>
            <w:shd w:fill="15384A" w:val="clear"/>
          </w:tcPr>
          <w:p>
            <w:pPr>
              <w:spacing w:after="30" w:line="247" w:lineRule="auto"/>
            </w:pPr>
            <w:r>
              <w:rPr>
                <w:b/>
                <w:color w:val="FFFFFF"/>
                <w:sz w:val="18"/>
              </w:rPr>
              <w:t>Consumer action / limit</w:t>
            </w:r>
          </w:p>
        </w:tc>
      </w:tr>
      <w:tr>
        <w:trPr>
          <w:cantSplit/>
        </w:trPr>
        <w:tc>
          <w:tcPr>
            <w:tcW w:type="dxa" w:w="2146"/>
            <w:tcMar>
              <w:top w:w="85" w:type="dxa"/>
              <w:bottom w:w="85" w:type="dxa"/>
              <w:start w:w="90" w:type="dxa"/>
              <w:end w:w="90" w:type="dxa"/>
            </w:tcMar>
            <w:vAlign w:val="top"/>
          </w:tcPr>
          <w:p>
            <w:pPr>
              <w:spacing w:after="30" w:line="247" w:lineRule="auto"/>
            </w:pPr>
            <w:r>
              <w:rPr>
                <w:b w:val="0"/>
                <w:sz w:val="18"/>
              </w:rPr>
              <w:t>Fabric / attachment owner</w:t>
            </w:r>
          </w:p>
        </w:tc>
        <w:tc>
          <w:tcPr>
            <w:tcW w:type="dxa" w:w="4320"/>
            <w:tcMar>
              <w:top w:w="85" w:type="dxa"/>
              <w:bottom w:w="85" w:type="dxa"/>
              <w:start w:w="90" w:type="dxa"/>
              <w:end w:w="90" w:type="dxa"/>
            </w:tcMar>
            <w:vAlign w:val="top"/>
          </w:tcPr>
          <w:p>
            <w:pPr>
              <w:spacing w:after="30" w:line="247" w:lineRule="auto"/>
            </w:pPr>
            <w:r>
              <w:rPr>
                <w:b w:val="0"/>
                <w:sz w:val="18"/>
              </w:rPr>
              <w:t>Actual interface, transport class, allowed use, capacity, MTU and acceptance revision.</w:t>
            </w:r>
          </w:p>
        </w:tc>
        <w:tc>
          <w:tcPr>
            <w:tcW w:type="dxa" w:w="3816"/>
            <w:tcMar>
              <w:top w:w="85" w:type="dxa"/>
              <w:bottom w:w="85" w:type="dxa"/>
              <w:start w:w="90" w:type="dxa"/>
              <w:end w:w="90" w:type="dxa"/>
            </w:tcMar>
            <w:vAlign w:val="top"/>
          </w:tcPr>
          <w:p>
            <w:pPr>
              <w:spacing w:after="30" w:line="247" w:lineRule="auto"/>
            </w:pPr>
            <w:r>
              <w:rPr>
                <w:b w:val="0"/>
                <w:sz w:val="18"/>
              </w:rPr>
              <w:t>Platform owner consumes the attachment; does not change spine policy.</w:t>
            </w:r>
          </w:p>
        </w:tc>
      </w:tr>
      <w:tr>
        <w:trPr>
          <w:cantSplit/>
        </w:trPr>
        <w:tc>
          <w:tcPr>
            <w:tcW w:type="dxa" w:w="2146"/>
            <w:tcMar>
              <w:top w:w="85" w:type="dxa"/>
              <w:bottom w:w="85" w:type="dxa"/>
              <w:start w:w="90" w:type="dxa"/>
              <w:end w:w="90" w:type="dxa"/>
            </w:tcMar>
            <w:vAlign w:val="top"/>
            <w:shd w:fill="EEF5F7" w:val="clear"/>
          </w:tcPr>
          <w:p>
            <w:pPr>
              <w:spacing w:after="30" w:line="247" w:lineRule="auto"/>
            </w:pPr>
            <w:r>
              <w:rPr>
                <w:b w:val="0"/>
                <w:sz w:val="18"/>
              </w:rPr>
              <w:t>Security-edge owner</w:t>
            </w:r>
          </w:p>
        </w:tc>
        <w:tc>
          <w:tcPr>
            <w:tcW w:type="dxa" w:w="4320"/>
            <w:tcMar>
              <w:top w:w="85" w:type="dxa"/>
              <w:bottom w:w="85" w:type="dxa"/>
              <w:start w:w="90" w:type="dxa"/>
              <w:end w:w="90" w:type="dxa"/>
            </w:tcMar>
            <w:vAlign w:val="top"/>
            <w:shd w:fill="EEF5F7" w:val="clear"/>
          </w:tcPr>
          <w:p>
            <w:pPr>
              <w:spacing w:after="30" w:line="247" w:lineRule="auto"/>
            </w:pPr>
            <w:r>
              <w:rPr>
                <w:b w:val="0"/>
                <w:sz w:val="18"/>
              </w:rPr>
              <w:t>Approved domain pair, route/policy references, handoff identities and enforcement restrictions.</w:t>
            </w:r>
          </w:p>
        </w:tc>
        <w:tc>
          <w:tcPr>
            <w:tcW w:type="dxa" w:w="3816"/>
            <w:tcMar>
              <w:top w:w="85" w:type="dxa"/>
              <w:bottom w:w="85" w:type="dxa"/>
              <w:start w:w="90" w:type="dxa"/>
              <w:end w:w="90" w:type="dxa"/>
            </w:tcMar>
            <w:vAlign w:val="top"/>
            <w:shd w:fill="EEF5F7" w:val="clear"/>
          </w:tcPr>
          <w:p>
            <w:pPr>
              <w:spacing w:after="30" w:line="247" w:lineRule="auto"/>
            </w:pPr>
            <w:r>
              <w:rPr>
                <w:b w:val="0"/>
                <w:sz w:val="18"/>
              </w:rPr>
              <w:t>Domain owner configures its side; does not receive edge administrator credentials.</w:t>
            </w:r>
          </w:p>
        </w:tc>
      </w:tr>
      <w:tr>
        <w:trPr>
          <w:cantSplit/>
        </w:trPr>
        <w:tc>
          <w:tcPr>
            <w:tcW w:type="dxa" w:w="2146"/>
            <w:tcMar>
              <w:top w:w="85" w:type="dxa"/>
              <w:bottom w:w="85" w:type="dxa"/>
              <w:start w:w="90" w:type="dxa"/>
              <w:end w:w="90" w:type="dxa"/>
            </w:tcMar>
            <w:vAlign w:val="top"/>
          </w:tcPr>
          <w:p>
            <w:pPr>
              <w:spacing w:after="30" w:line="247" w:lineRule="auto"/>
            </w:pPr>
            <w:r>
              <w:rPr>
                <w:b w:val="0"/>
                <w:sz w:val="18"/>
              </w:rPr>
              <w:t>IPAM and naming owner</w:t>
            </w:r>
          </w:p>
        </w:tc>
        <w:tc>
          <w:tcPr>
            <w:tcW w:type="dxa" w:w="4320"/>
            <w:tcMar>
              <w:top w:w="85" w:type="dxa"/>
              <w:bottom w:w="85" w:type="dxa"/>
              <w:start w:w="90" w:type="dxa"/>
              <w:end w:w="90" w:type="dxa"/>
            </w:tcMar>
            <w:vAlign w:val="top"/>
          </w:tcPr>
          <w:p>
            <w:pPr>
              <w:spacing w:after="30" w:line="247" w:lineRule="auto"/>
            </w:pPr>
            <w:r>
              <w:rPr>
                <w:b w:val="0"/>
                <w:sz w:val="18"/>
              </w:rPr>
              <w:t>Reserved prefix/address ownership, DNS/DHCP policy and confirmed lifecycle receipt.</w:t>
            </w:r>
          </w:p>
        </w:tc>
        <w:tc>
          <w:tcPr>
            <w:tcW w:type="dxa" w:w="3816"/>
            <w:tcMar>
              <w:top w:w="85" w:type="dxa"/>
              <w:bottom w:w="85" w:type="dxa"/>
              <w:start w:w="90" w:type="dxa"/>
              <w:end w:w="90" w:type="dxa"/>
            </w:tcMar>
            <w:vAlign w:val="top"/>
          </w:tcPr>
          <w:p>
            <w:pPr>
              <w:spacing w:after="30" w:line="247" w:lineRule="auto"/>
            </w:pPr>
            <w:r>
              <w:rPr>
                <w:b w:val="0"/>
                <w:sz w:val="18"/>
              </w:rPr>
              <w:t>Workload owner registers only accepted assignments; no independent competing allocator.</w:t>
            </w:r>
          </w:p>
        </w:tc>
      </w:tr>
      <w:tr>
        <w:trPr>
          <w:cantSplit/>
        </w:trPr>
        <w:tc>
          <w:tcPr>
            <w:tcW w:type="dxa" w:w="2146"/>
            <w:tcMar>
              <w:top w:w="85" w:type="dxa"/>
              <w:bottom w:w="85" w:type="dxa"/>
              <w:start w:w="90" w:type="dxa"/>
              <w:end w:w="90" w:type="dxa"/>
            </w:tcMar>
            <w:vAlign w:val="top"/>
            <w:shd w:fill="EEF5F7" w:val="clear"/>
          </w:tcPr>
          <w:p>
            <w:pPr>
              <w:spacing w:after="30" w:line="247" w:lineRule="auto"/>
            </w:pPr>
            <w:r>
              <w:rPr>
                <w:b w:val="0"/>
                <w:sz w:val="18"/>
              </w:rPr>
              <w:t>Data/trust/protection owner</w:t>
            </w:r>
          </w:p>
        </w:tc>
        <w:tc>
          <w:tcPr>
            <w:tcW w:type="dxa" w:w="4320"/>
            <w:tcMar>
              <w:top w:w="85" w:type="dxa"/>
              <w:bottom w:w="85" w:type="dxa"/>
              <w:start w:w="90" w:type="dxa"/>
              <w:end w:w="90" w:type="dxa"/>
            </w:tcMar>
            <w:vAlign w:val="top"/>
            <w:shd w:fill="EEF5F7" w:val="clear"/>
          </w:tcPr>
          <w:p>
            <w:pPr>
              <w:spacing w:after="30" w:line="247" w:lineRule="auto"/>
            </w:pPr>
            <w:r>
              <w:rPr>
                <w:b w:val="0"/>
                <w:sz w:val="18"/>
              </w:rPr>
              <w:t>Tenant data scope, key/client identity, capture/restore path and retained obligations.</w:t>
            </w:r>
          </w:p>
        </w:tc>
        <w:tc>
          <w:tcPr>
            <w:tcW w:type="dxa" w:w="3816"/>
            <w:tcMar>
              <w:top w:w="85" w:type="dxa"/>
              <w:bottom w:w="85" w:type="dxa"/>
              <w:start w:w="90" w:type="dxa"/>
              <w:end w:w="90" w:type="dxa"/>
            </w:tcMar>
            <w:vAlign w:val="top"/>
            <w:shd w:fill="EEF5F7" w:val="clear"/>
          </w:tcPr>
          <w:p>
            <w:pPr>
              <w:spacing w:after="30" w:line="247" w:lineRule="auto"/>
            </w:pPr>
            <w:r>
              <w:rPr>
                <w:b w:val="0"/>
                <w:sz w:val="18"/>
              </w:rPr>
              <w:t>Actual client receives only its entitled use; producer administration stays separate.</w:t>
            </w:r>
          </w:p>
        </w:tc>
      </w:tr>
      <w:tr>
        <w:trPr>
          <w:cantSplit/>
        </w:trPr>
        <w:tc>
          <w:tcPr>
            <w:tcW w:type="dxa" w:w="2146"/>
            <w:tcMar>
              <w:top w:w="85" w:type="dxa"/>
              <w:bottom w:w="85" w:type="dxa"/>
              <w:start w:w="90" w:type="dxa"/>
              <w:end w:w="90" w:type="dxa"/>
            </w:tcMar>
            <w:vAlign w:val="top"/>
          </w:tcPr>
          <w:p>
            <w:pPr>
              <w:spacing w:after="30" w:line="247" w:lineRule="auto"/>
            </w:pPr>
            <w:r>
              <w:rPr>
                <w:b w:val="0"/>
                <w:sz w:val="18"/>
              </w:rPr>
              <w:t>Operations owner</w:t>
            </w:r>
          </w:p>
        </w:tc>
        <w:tc>
          <w:tcPr>
            <w:tcW w:type="dxa" w:w="4320"/>
            <w:tcMar>
              <w:top w:w="85" w:type="dxa"/>
              <w:bottom w:w="85" w:type="dxa"/>
              <w:start w:w="90" w:type="dxa"/>
              <w:end w:w="90" w:type="dxa"/>
            </w:tcMar>
            <w:vAlign w:val="top"/>
          </w:tcPr>
          <w:p>
            <w:pPr>
              <w:spacing w:after="30" w:line="247" w:lineRule="auto"/>
            </w:pPr>
            <w:r>
              <w:rPr>
                <w:b w:val="0"/>
                <w:sz w:val="18"/>
              </w:rPr>
              <w:t>Required events, health scope, alert routing, loss handling and accepted recovery interface.</w:t>
            </w:r>
          </w:p>
        </w:tc>
        <w:tc>
          <w:tcPr>
            <w:tcW w:type="dxa" w:w="3816"/>
            <w:tcMar>
              <w:top w:w="85" w:type="dxa"/>
              <w:bottom w:w="85" w:type="dxa"/>
              <w:start w:w="90" w:type="dxa"/>
              <w:end w:w="90" w:type="dxa"/>
            </w:tcMar>
            <w:vAlign w:val="top"/>
          </w:tcPr>
          <w:p>
            <w:pPr>
              <w:spacing w:after="30" w:line="247" w:lineRule="auto"/>
            </w:pPr>
            <w:r>
              <w:rPr>
                <w:b w:val="0"/>
                <w:sz w:val="18"/>
              </w:rPr>
              <w:t>Service handover proves observation and support, not merely installation of an agent.</w:t>
            </w:r>
          </w:p>
        </w:tc>
      </w:tr>
    </w:tbl>
    <w:p>
      <w:pPr>
        <w:spacing w:after="0" w:before="0" w:line="120"/>
      </w:pPr>
    </w:p>
    <w:p>
      <w:r>
        <w:t>HashiCorp notes that terraform_remote_state output access requires access to the underlying state snapshot and recommends separate publication where different access controls are needed. A handoff can therefore publish narrowly scoped accepted facts rather than granting broad state access. The implementation chooses its existing controlled inventory or publication mechanism. [D04]</w:t>
      </w:r>
    </w:p>
    <w:p>
      <w:pPr>
        <w:pStyle w:val="Caption"/>
      </w:pPr>
      <w:r>
        <w:t xml:space="preserve">Verified mechanism source: </w:t>
      </w:r>
      <w:hyperlink r:id="rId48">
        <w:r>
          <w:rPr>
            <w:color w:val="0B6B70"/>
            <w:u w:val="single"/>
          </w:rPr>
          <w:t>D04 — HashiCorp: terraform_remote_state data source</w:t>
        </w:r>
      </w:hyperlink>
    </w:p>
    <w:p>
      <w:r>
        <w:t>Acceptance is bidirectional: producer confirms the offered capability, consumer confirms its dependency is met. A change in service version, allowed prefix, key scope or failure behaviour invalidates affected downstream assumptions. Notify consumers and re-evaluate the corresponding paths before using the changed handoff.</w:t>
      </w:r>
    </w:p>
    <w:p>
      <w:pPr>
        <w:pStyle w:val="Caption"/>
      </w:pPr>
      <w:r>
        <w:t xml:space="preserve">Continue with: </w:t>
      </w:r>
      <w:hyperlink r:id="rId49">
        <w:r>
          <w:rPr>
            <w:color w:val="0B6B70"/>
            <w:u w:val="single"/>
          </w:rPr>
          <w:t>NBD §6</w:t>
        </w:r>
      </w:hyperlink>
      <w:r>
        <w:t xml:space="preserve">  •  </w:t>
      </w:r>
      <w:hyperlink r:id="rId50">
        <w:r>
          <w:rPr>
            <w:color w:val="0B6B70"/>
            <w:u w:val="single"/>
          </w:rPr>
          <w:t>OPS §2</w:t>
        </w:r>
      </w:hyperlink>
    </w:p>
    <w:p>
      <w:r>
        <w:br w:type="page"/>
      </w:r>
    </w:p>
    <w:p>
      <w:pPr>
        <w:pStyle w:val="Heading1"/>
      </w:pPr>
      <w:r>
        <w:t>9. Release a native build package that can be independently reviewed</w:t>
      </w:r>
      <w:bookmarkStart w:id="121" w:name="PBS_09"/>
      <w:bookmarkEnd w:id="121"/>
    </w:p>
    <w:p>
      <w:r>
        <w:t>This record sits beside the existing LLD and operation-coverage schedule. It is a specification for real build artifacts, not a substitute for them.</w:t>
      </w:r>
    </w:p>
    <w:p>
      <w:pPr>
        <w:pStyle w:val="Caption"/>
      </w:pPr>
      <w:r>
        <w:t xml:space="preserve">Design basis and related records: </w:t>
      </w:r>
      <w:hyperlink r:id="rId51">
        <w:r>
          <w:rPr>
            <w:color w:val="0B6B70"/>
            <w:u w:val="single"/>
          </w:rPr>
          <w:t>ET §8</w:t>
        </w:r>
      </w:hyperlink>
      <w:r>
        <w:t xml:space="preserve">  •  </w:t>
      </w:r>
      <w:hyperlink r:id="rId52">
        <w:r>
          <w:rPr>
            <w:color w:val="0B6B70"/>
            <w:u w:val="single"/>
          </w:rPr>
          <w:t>ET §9</w:t>
        </w:r>
      </w:hyperlink>
      <w:r>
        <w:t xml:space="preserve">  •  </w:t>
      </w:r>
      <w:hyperlink r:id="rId53">
        <w:r>
          <w:rPr>
            <w:color w:val="0B6B70"/>
            <w:u w:val="single"/>
          </w:rPr>
          <w:t>EK §8</w:t>
        </w:r>
      </w:hyperlink>
      <w:r>
        <w:t xml:space="preserve">  •  </w:t>
      </w:r>
      <w:hyperlink r:id="rId54">
        <w:r>
          <w:rPr>
            <w:color w:val="0B6B70"/>
            <w:u w:val="single"/>
          </w:rPr>
          <w:t>IK §1</w:t>
        </w:r>
      </w:hyperlink>
    </w:p>
    <w:tbl>
      <w:tblPr>
        <w:tblW w:type="auto" w:w="0"/>
        <w:jc w:val="center"/>
        <w:tblLayout w:type="fixed"/>
        <w:tblLook w:firstColumn="1" w:firstRow="1" w:lastColumn="0" w:lastRow="0" w:noHBand="0" w:noVBand="1" w:val="04A0"/>
      </w:tblPr>
      <w:tblGrid>
        <w:gridCol w:w="2016"/>
        <w:gridCol w:w="5227"/>
        <w:gridCol w:w="3038"/>
      </w:tblGrid>
      <w:tr>
        <w:trPr>
          <w:tblHeader/>
        </w:trPr>
        <w:tc>
          <w:tcPr>
            <w:tcW w:type="dxa" w:w="2016"/>
            <w:tcMar>
              <w:top w:w="85" w:type="dxa"/>
              <w:bottom w:w="85" w:type="dxa"/>
              <w:start w:w="90" w:type="dxa"/>
              <w:end w:w="90" w:type="dxa"/>
            </w:tcMar>
            <w:vAlign w:val="top"/>
            <w:shd w:fill="15384A" w:val="clear"/>
          </w:tcPr>
          <w:p>
            <w:pPr>
              <w:spacing w:after="30" w:line="247" w:lineRule="auto"/>
            </w:pPr>
            <w:r>
              <w:rPr>
                <w:b/>
                <w:color w:val="FFFFFF"/>
                <w:sz w:val="18"/>
              </w:rPr>
              <w:t>Release item</w:t>
            </w:r>
          </w:p>
        </w:tc>
        <w:tc>
          <w:tcPr>
            <w:tcW w:type="dxa" w:w="5227"/>
            <w:tcMar>
              <w:top w:w="85" w:type="dxa"/>
              <w:bottom w:w="85" w:type="dxa"/>
              <w:start w:w="90" w:type="dxa"/>
              <w:end w:w="90" w:type="dxa"/>
            </w:tcMar>
            <w:vAlign w:val="top"/>
            <w:shd w:fill="15384A" w:val="clear"/>
          </w:tcPr>
          <w:p>
            <w:pPr>
              <w:spacing w:after="30" w:line="247" w:lineRule="auto"/>
            </w:pPr>
            <w:r>
              <w:rPr>
                <w:b/>
                <w:color w:val="FFFFFF"/>
                <w:sz w:val="18"/>
              </w:rPr>
              <w:t>What must be resolved</w:t>
            </w:r>
          </w:p>
        </w:tc>
        <w:tc>
          <w:tcPr>
            <w:tcW w:type="dxa" w:w="3038"/>
            <w:tcMar>
              <w:top w:w="85" w:type="dxa"/>
              <w:bottom w:w="85" w:type="dxa"/>
              <w:start w:w="90" w:type="dxa"/>
              <w:end w:w="90" w:type="dxa"/>
            </w:tcMar>
            <w:vAlign w:val="top"/>
            <w:shd w:fill="15384A" w:val="clear"/>
          </w:tcPr>
          <w:p>
            <w:pPr>
              <w:spacing w:after="30" w:line="247" w:lineRule="auto"/>
            </w:pPr>
            <w:r>
              <w:rPr>
                <w:b/>
                <w:color w:val="FFFFFF"/>
                <w:sz w:val="18"/>
              </w:rPr>
              <w:t>Working reference</w:t>
            </w:r>
          </w:p>
        </w:tc>
      </w:tr>
      <w:tr>
        <w:trPr>
          <w:cantSplit/>
        </w:trPr>
        <w:tc>
          <w:tcPr>
            <w:tcW w:type="dxa" w:w="2016"/>
            <w:tcMar>
              <w:top w:w="85" w:type="dxa"/>
              <w:bottom w:w="85" w:type="dxa"/>
              <w:start w:w="90" w:type="dxa"/>
              <w:end w:w="90" w:type="dxa"/>
            </w:tcMar>
            <w:vAlign w:val="top"/>
          </w:tcPr>
          <w:p>
            <w:pPr>
              <w:spacing w:after="30" w:line="247" w:lineRule="auto"/>
            </w:pPr>
            <w:r>
              <w:rPr>
                <w:b w:val="0"/>
                <w:sz w:val="18"/>
              </w:rPr>
              <w:t>Exact implementation</w:t>
            </w:r>
          </w:p>
        </w:tc>
        <w:tc>
          <w:tcPr>
            <w:tcW w:type="dxa" w:w="5227"/>
            <w:tcMar>
              <w:top w:w="85" w:type="dxa"/>
              <w:bottom w:w="85" w:type="dxa"/>
              <w:start w:w="90" w:type="dxa"/>
              <w:end w:w="90" w:type="dxa"/>
            </w:tcMar>
            <w:vAlign w:val="top"/>
          </w:tcPr>
          <w:p>
            <w:pPr>
              <w:spacing w:after="30" w:line="247" w:lineRule="auto"/>
            </w:pPr>
            <w:r>
              <w:rPr>
                <w:b w:val="0"/>
                <w:sz w:val="18"/>
              </w:rPr>
              <w:t>Hardware/firmware, stack/API/provider/installer versions, features, entitlements and support evidence.</w:t>
            </w:r>
          </w:p>
        </w:tc>
        <w:tc>
          <w:tcPr>
            <w:tcW w:type="dxa" w:w="3038"/>
            <w:tcMar>
              <w:top w:w="85" w:type="dxa"/>
              <w:bottom w:w="85" w:type="dxa"/>
              <w:start w:w="90" w:type="dxa"/>
              <w:end w:w="90" w:type="dxa"/>
            </w:tcMar>
            <w:vAlign w:val="top"/>
            <w:shd w:fill="EEF5F7" w:val="clear"/>
          </w:tcPr>
          <w:p>
            <w:pPr>
              <w:spacing w:after="30" w:line="247" w:lineRule="auto"/>
            </w:pPr>
            <w:sdt>
              <w:sdtPr>
                <w:id w:val="10012"/>
                <w:tag w:val="PBS_IMPLEMENTATION_TUPLE"/>
                <w:alias w:val="PBS IMPLEMENTATION TUPLE"/>
                <w:text w:multiLine="1"/>
              </w:sdtPr>
              <w:sdtContent>
                <w:r>
                  <w:rPr>
                    <w:color w:val="0B6B70"/>
                  </w:rPr>
                  <w:t>[Enter pbs implementation tuple]</w:t>
                </w:r>
              </w:sdtContent>
            </w:sdt>
          </w:p>
        </w:tc>
      </w:tr>
      <w:tr>
        <w:trPr>
          <w:cantSplit/>
        </w:trPr>
        <w:tc>
          <w:tcPr>
            <w:tcW w:type="dxa" w:w="2016"/>
            <w:tcMar>
              <w:top w:w="85" w:type="dxa"/>
              <w:bottom w:w="85" w:type="dxa"/>
              <w:start w:w="90" w:type="dxa"/>
              <w:end w:w="90" w:type="dxa"/>
            </w:tcMar>
            <w:vAlign w:val="top"/>
            <w:shd w:fill="EEF5F7" w:val="clear"/>
          </w:tcPr>
          <w:p>
            <w:pPr>
              <w:spacing w:after="30" w:line="247" w:lineRule="auto"/>
            </w:pPr>
            <w:r>
              <w:rPr>
                <w:b w:val="0"/>
                <w:sz w:val="18"/>
              </w:rPr>
              <w:t>Native mapping</w:t>
            </w:r>
          </w:p>
        </w:tc>
        <w:tc>
          <w:tcPr>
            <w:tcW w:type="dxa" w:w="5227"/>
            <w:tcMar>
              <w:top w:w="85" w:type="dxa"/>
              <w:bottom w:w="85" w:type="dxa"/>
              <w:start w:w="90" w:type="dxa"/>
              <w:end w:w="90" w:type="dxa"/>
            </w:tcMar>
            <w:vAlign w:val="top"/>
            <w:shd w:fill="EEF5F7" w:val="clear"/>
          </w:tcPr>
          <w:p>
            <w:pPr>
              <w:spacing w:after="30" w:line="247" w:lineRule="auto"/>
            </w:pPr>
            <w:r>
              <w:rPr>
                <w:b w:val="0"/>
                <w:sz w:val="18"/>
              </w:rPr>
              <w:t>Logical components/interfaces mapped to actual resources; one writer per supported boundary.</w:t>
            </w:r>
          </w:p>
        </w:tc>
        <w:tc>
          <w:tcPr>
            <w:tcW w:type="dxa" w:w="3038"/>
            <w:tcMar>
              <w:top w:w="85" w:type="dxa"/>
              <w:bottom w:w="85" w:type="dxa"/>
              <w:start w:w="90" w:type="dxa"/>
              <w:end w:w="90" w:type="dxa"/>
            </w:tcMar>
            <w:vAlign w:val="top"/>
            <w:shd w:fill="EEF5F7" w:val="clear"/>
          </w:tcPr>
          <w:p>
            <w:pPr>
              <w:spacing w:after="30" w:line="247" w:lineRule="auto"/>
            </w:pPr>
            <w:sdt>
              <w:sdtPr>
                <w:id w:val="10013"/>
                <w:tag w:val="PBS_NATIVE_MAPPING"/>
                <w:alias w:val="PBS NATIVE MAPPING"/>
                <w:text w:multiLine="1"/>
              </w:sdtPr>
              <w:sdtContent>
                <w:r>
                  <w:rPr>
                    <w:color w:val="0B6B70"/>
                  </w:rPr>
                  <w:t>[Enter pbs native mapping]</w:t>
                </w:r>
              </w:sdtContent>
            </w:sdt>
          </w:p>
        </w:tc>
      </w:tr>
      <w:tr>
        <w:trPr>
          <w:cantSplit/>
        </w:trPr>
        <w:tc>
          <w:tcPr>
            <w:tcW w:type="dxa" w:w="2016"/>
            <w:tcMar>
              <w:top w:w="85" w:type="dxa"/>
              <w:bottom w:w="85" w:type="dxa"/>
              <w:start w:w="90" w:type="dxa"/>
              <w:end w:w="90" w:type="dxa"/>
            </w:tcMar>
            <w:vAlign w:val="top"/>
          </w:tcPr>
          <w:p>
            <w:pPr>
              <w:spacing w:after="30" w:line="247" w:lineRule="auto"/>
            </w:pPr>
            <w:r>
              <w:rPr>
                <w:b w:val="0"/>
                <w:sz w:val="18"/>
              </w:rPr>
              <w:t>Build artifacts</w:t>
            </w:r>
          </w:p>
        </w:tc>
        <w:tc>
          <w:tcPr>
            <w:tcW w:type="dxa" w:w="5227"/>
            <w:tcMar>
              <w:top w:w="85" w:type="dxa"/>
              <w:bottom w:w="85" w:type="dxa"/>
              <w:start w:w="90" w:type="dxa"/>
              <w:end w:w="90" w:type="dxa"/>
            </w:tcMar>
            <w:vAlign w:val="top"/>
          </w:tcPr>
          <w:p>
            <w:pPr>
              <w:spacing w:after="30" w:line="247" w:lineRule="auto"/>
            </w:pPr>
            <w:r>
              <w:rPr>
                <w:b w:val="0"/>
                <w:sz w:val="18"/>
              </w:rPr>
              <w:t>Reviewed configuration/module/installer inputs, provenance, integrity and privileged custody references.</w:t>
            </w:r>
          </w:p>
        </w:tc>
        <w:tc>
          <w:tcPr>
            <w:tcW w:type="dxa" w:w="3038"/>
            <w:tcMar>
              <w:top w:w="85" w:type="dxa"/>
              <w:bottom w:w="85" w:type="dxa"/>
              <w:start w:w="90" w:type="dxa"/>
              <w:end w:w="90" w:type="dxa"/>
            </w:tcMar>
            <w:vAlign w:val="top"/>
            <w:shd w:fill="EEF5F7" w:val="clear"/>
          </w:tcPr>
          <w:p>
            <w:pPr>
              <w:spacing w:after="30" w:line="247" w:lineRule="auto"/>
            </w:pPr>
            <w:sdt>
              <w:sdtPr>
                <w:id w:val="10014"/>
                <w:tag w:val="PBS_BUILD_ARTIFACTS"/>
                <w:alias w:val="PBS BUILD ARTIFACTS"/>
                <w:text w:multiLine="1"/>
              </w:sdtPr>
              <w:sdtContent>
                <w:r>
                  <w:rPr>
                    <w:color w:val="0B6B70"/>
                  </w:rPr>
                  <w:t>[Enter pbs build artifacts]</w:t>
                </w:r>
              </w:sdtContent>
            </w:sdt>
          </w:p>
        </w:tc>
      </w:tr>
      <w:tr>
        <w:trPr>
          <w:cantSplit/>
        </w:trPr>
        <w:tc>
          <w:tcPr>
            <w:tcW w:type="dxa" w:w="2016"/>
            <w:tcMar>
              <w:top w:w="85" w:type="dxa"/>
              <w:bottom w:w="85" w:type="dxa"/>
              <w:start w:w="90" w:type="dxa"/>
              <w:end w:w="90" w:type="dxa"/>
            </w:tcMar>
            <w:vAlign w:val="top"/>
            <w:shd w:fill="EEF5F7" w:val="clear"/>
          </w:tcPr>
          <w:p>
            <w:pPr>
              <w:spacing w:after="30" w:line="247" w:lineRule="auto"/>
            </w:pPr>
            <w:r>
              <w:rPr>
                <w:b w:val="0"/>
                <w:sz w:val="18"/>
              </w:rPr>
              <w:t>Lifecycle behaviour</w:t>
            </w:r>
          </w:p>
        </w:tc>
        <w:tc>
          <w:tcPr>
            <w:tcW w:type="dxa" w:w="5227"/>
            <w:tcMar>
              <w:top w:w="85" w:type="dxa"/>
              <w:bottom w:w="85" w:type="dxa"/>
              <w:start w:w="90" w:type="dxa"/>
              <w:end w:w="90" w:type="dxa"/>
            </w:tcMar>
            <w:vAlign w:val="top"/>
            <w:shd w:fill="EEF5F7" w:val="clear"/>
          </w:tcPr>
          <w:p>
            <w:pPr>
              <w:spacing w:after="30" w:line="247" w:lineRule="auto"/>
            </w:pPr>
            <w:r>
              <w:rPr>
                <w:b w:val="0"/>
                <w:sz w:val="18"/>
              </w:rPr>
              <w:t>Operation coverage, completion signals, replacement risk, task discovery and supported recovery.</w:t>
            </w:r>
          </w:p>
        </w:tc>
        <w:tc>
          <w:tcPr>
            <w:tcW w:type="dxa" w:w="3038"/>
            <w:tcMar>
              <w:top w:w="85" w:type="dxa"/>
              <w:bottom w:w="85" w:type="dxa"/>
              <w:start w:w="90" w:type="dxa"/>
              <w:end w:w="90" w:type="dxa"/>
            </w:tcMar>
            <w:vAlign w:val="top"/>
            <w:shd w:fill="EEF5F7" w:val="clear"/>
          </w:tcPr>
          <w:p>
            <w:pPr>
              <w:spacing w:after="30" w:line="247" w:lineRule="auto"/>
            </w:pPr>
            <w:sdt>
              <w:sdtPr>
                <w:id w:val="10015"/>
                <w:tag w:val="PBS_LIFECYCLE_COVERAGE"/>
                <w:alias w:val="PBS LIFECYCLE COVERAGE"/>
                <w:text w:multiLine="1"/>
              </w:sdtPr>
              <w:sdtContent>
                <w:r>
                  <w:rPr>
                    <w:color w:val="0B6B70"/>
                  </w:rPr>
                  <w:t>[Enter pbs lifecycle coverage]</w:t>
                </w:r>
              </w:sdtContent>
            </w:sdt>
          </w:p>
        </w:tc>
      </w:tr>
      <w:tr>
        <w:trPr>
          <w:cantSplit/>
        </w:trPr>
        <w:tc>
          <w:tcPr>
            <w:tcW w:type="dxa" w:w="2016"/>
            <w:tcMar>
              <w:top w:w="85" w:type="dxa"/>
              <w:bottom w:w="85" w:type="dxa"/>
              <w:start w:w="90" w:type="dxa"/>
              <w:end w:w="90" w:type="dxa"/>
            </w:tcMar>
            <w:vAlign w:val="top"/>
          </w:tcPr>
          <w:p>
            <w:pPr>
              <w:spacing w:after="30" w:line="247" w:lineRule="auto"/>
            </w:pPr>
            <w:r>
              <w:rPr>
                <w:b w:val="0"/>
                <w:sz w:val="18"/>
              </w:rPr>
              <w:t>Qualification</w:t>
            </w:r>
          </w:p>
        </w:tc>
        <w:tc>
          <w:tcPr>
            <w:tcW w:type="dxa" w:w="5227"/>
            <w:tcMar>
              <w:top w:w="85" w:type="dxa"/>
              <w:bottom w:w="85" w:type="dxa"/>
              <w:start w:w="90" w:type="dxa"/>
              <w:end w:w="90" w:type="dxa"/>
            </w:tcMar>
            <w:vAlign w:val="top"/>
          </w:tcPr>
          <w:p>
            <w:pPr>
              <w:spacing w:after="30" w:line="247" w:lineRule="auto"/>
            </w:pPr>
            <w:r>
              <w:rPr>
                <w:b w:val="0"/>
                <w:sz w:val="18"/>
              </w:rPr>
              <w:t>Applicable observations, actual test resources, fault safety envelope and artifact collection.</w:t>
            </w:r>
          </w:p>
        </w:tc>
        <w:tc>
          <w:tcPr>
            <w:tcW w:type="dxa" w:w="3038"/>
            <w:tcMar>
              <w:top w:w="85" w:type="dxa"/>
              <w:bottom w:w="85" w:type="dxa"/>
              <w:start w:w="90" w:type="dxa"/>
              <w:end w:w="90" w:type="dxa"/>
            </w:tcMar>
            <w:vAlign w:val="top"/>
            <w:shd w:fill="EEF5F7" w:val="clear"/>
          </w:tcPr>
          <w:p>
            <w:pPr>
              <w:spacing w:after="30" w:line="247" w:lineRule="auto"/>
            </w:pPr>
            <w:sdt>
              <w:sdtPr>
                <w:id w:val="10016"/>
                <w:tag w:val="PBS_QUALIFICATION_PLAN"/>
                <w:alias w:val="PBS QUALIFICATION PLAN"/>
                <w:text w:multiLine="1"/>
              </w:sdtPr>
              <w:sdtContent>
                <w:r>
                  <w:rPr>
                    <w:color w:val="0B6B70"/>
                  </w:rPr>
                  <w:t>[Enter pbs qualification plan]</w:t>
                </w:r>
              </w:sdtContent>
            </w:sdt>
          </w:p>
        </w:tc>
      </w:tr>
      <w:tr>
        <w:trPr>
          <w:cantSplit/>
        </w:trPr>
        <w:tc>
          <w:tcPr>
            <w:tcW w:type="dxa" w:w="2016"/>
            <w:tcMar>
              <w:top w:w="85" w:type="dxa"/>
              <w:bottom w:w="85" w:type="dxa"/>
              <w:start w:w="90" w:type="dxa"/>
              <w:end w:w="90" w:type="dxa"/>
            </w:tcMar>
            <w:vAlign w:val="top"/>
            <w:shd w:fill="EEF5F7" w:val="clear"/>
          </w:tcPr>
          <w:p>
            <w:pPr>
              <w:spacing w:after="30" w:line="247" w:lineRule="auto"/>
            </w:pPr>
            <w:r>
              <w:rPr>
                <w:b w:val="0"/>
                <w:sz w:val="18"/>
              </w:rPr>
              <w:t>Handoff decision</w:t>
            </w:r>
          </w:p>
        </w:tc>
        <w:tc>
          <w:tcPr>
            <w:tcW w:type="dxa" w:w="5227"/>
            <w:tcMar>
              <w:top w:w="85" w:type="dxa"/>
              <w:bottom w:w="85" w:type="dxa"/>
              <w:start w:w="90" w:type="dxa"/>
              <w:end w:w="90" w:type="dxa"/>
            </w:tcMar>
            <w:vAlign w:val="top"/>
            <w:shd w:fill="EEF5F7" w:val="clear"/>
          </w:tcPr>
          <w:p>
            <w:pPr>
              <w:spacing w:after="30" w:line="247" w:lineRule="auto"/>
            </w:pPr>
            <w:r>
              <w:rPr>
                <w:b w:val="0"/>
                <w:sz w:val="18"/>
              </w:rPr>
              <w:t>Recipient, unresolved blockers, accepted revision and signed scope decision.</w:t>
            </w:r>
          </w:p>
        </w:tc>
        <w:tc>
          <w:tcPr>
            <w:tcW w:type="dxa" w:w="3038"/>
            <w:tcMar>
              <w:top w:w="85" w:type="dxa"/>
              <w:bottom w:w="85" w:type="dxa"/>
              <w:start w:w="90" w:type="dxa"/>
              <w:end w:w="90" w:type="dxa"/>
            </w:tcMar>
            <w:vAlign w:val="top"/>
            <w:shd w:fill="EEF5F7" w:val="clear"/>
          </w:tcPr>
          <w:p>
            <w:pPr>
              <w:spacing w:after="30" w:line="247" w:lineRule="auto"/>
            </w:pPr>
            <w:sdt>
              <w:sdtPr>
                <w:id w:val="10017"/>
                <w:tag w:val="PBS_HANDOFF_DECISION"/>
                <w:alias w:val="PBS HANDOFF DECISION"/>
                <w:text w:multiLine="1"/>
              </w:sdtPr>
              <w:sdtContent>
                <w:r>
                  <w:rPr>
                    <w:color w:val="0B6B70"/>
                  </w:rPr>
                  <w:t>[Enter pbs handoff decision]</w:t>
                </w:r>
              </w:sdtContent>
            </w:sdt>
          </w:p>
        </w:tc>
      </w:tr>
    </w:tbl>
    <w:p>
      <w:pPr>
        <w:spacing w:after="0" w:before="0" w:line="120"/>
      </w:pPr>
    </w:p>
    <w:p>
      <w:r>
        <w:t>Review one creation, one policy change, one resource update, one uncertain task and one retirement before releasing the package. For each, identify the last safe stopping point and the data or authority that must be preserved. If no supported recovery or forward-repair path exists, narrow or defer the capability instead of calling a placeholder complete.</w:t>
      </w:r>
    </w:p>
    <w:p>
      <w:r>
        <w:t>The actual MOP records native commands/API artifacts only after the configuration source and support combination are accepted. The reusable runbooks remain references. Permission to run a restricted qualification fixture is not permission to activate production, and a build receipt is not a passing test report.</w:t>
      </w:r>
    </w:p>
    <w:p>
      <w:pPr>
        <w:keepLines/>
        <w:spacing w:before="120"/>
        <w:shd w:fill="EEF5F7" w:val="clear"/>
        <w:pBdr>
          <w:left w:val="single" w:sz="12" w:space="8" w:color="0B6B70"/>
        </w:pBdr>
      </w:pPr>
      <w:r>
        <w:rPr>
          <w:b/>
        </w:rPr>
        <w:t>This release supplies engineering specifications and record fields. All installed values, native execution artifacts and platform qualification evidence remain implementation inputs.</w:t>
      </w:r>
    </w:p>
    <w:p>
      <w:pPr>
        <w:pStyle w:val="Caption"/>
      </w:pPr>
      <w:r>
        <w:t xml:space="preserve">Continue with: </w:t>
      </w:r>
      <w:hyperlink r:id="rId21">
        <w:r>
          <w:rPr>
            <w:color w:val="0B6B70"/>
            <w:u w:val="single"/>
          </w:rPr>
          <w:t>QCP §1</w:t>
        </w:r>
      </w:hyperlink>
      <w:r>
        <w:t xml:space="preserve">  •  </w:t>
      </w:r>
      <w:hyperlink r:id="rId55">
        <w:r>
          <w:rPr>
            <w:color w:val="0B6B70"/>
            <w:u w:val="single"/>
          </w:rPr>
          <w:t>IT §1</w:t>
        </w:r>
      </w:hyperlink>
    </w:p>
    <w:sectPr w:rsidR="00FC693F" w:rsidRPr="0006063C" w:rsidSect="00034616">
      <w:headerReference w:type="default" r:id="rId9"/>
      <w:footerReference w:type="default" r:id="rId10"/>
      <w:pgSz w:w="12240" w:h="15840"/>
      <w:pgMar w:top="936" w:right="979" w:bottom="936"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Delivery kits v1.1  •  Reference architecture v1.4  •  Proposed   |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PORTABLE MULTI-TENANT SECURE HOSTING  |  PBS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7" w:lineRule="auto"/>
    </w:pPr>
    <w:rPr>
      <w:rFonts w:ascii="Calibri" w:hAnsi="Calibri"/>
      <w:color w:val="2133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Calibri" w:hAnsi="Calibri"/>
      <w:b/>
      <w:bCs/>
      <w:color w:val="15384A"/>
      <w:sz w:val="34"/>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B6B70"/>
      <w:sz w:val="23"/>
      <w:szCs w:val="26"/>
    </w:rPr>
  </w:style>
  <w:style w:type="paragraph" w:styleId="Heading3">
    <w:name w:val="heading 3"/>
    <w:basedOn w:val="Normal"/>
    <w:next w:val="Normal"/>
    <w:link w:val="Heading3Char"/>
    <w:uiPriority w:val="9"/>
    <w:unhideWhenUsed/>
    <w:qFormat/>
    <w:rsid w:val="00FC693F"/>
    <w:pPr>
      <w:keepNext/>
      <w:keepLines/>
      <w:spacing w:before="160" w:after="140"/>
      <w:outlineLvl w:val="2"/>
    </w:pPr>
    <w:rPr>
      <w:rFonts w:asciiTheme="majorHAnsi" w:eastAsiaTheme="majorEastAsia" w:hAnsiTheme="majorHAnsi" w:cstheme="majorBidi" w:ascii="Calibri" w:hAnsi="Calibri"/>
      <w:b/>
      <w:bCs/>
      <w:color w:val="1538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160"/>
      <w:contextualSpacing/>
    </w:pPr>
    <w:rPr>
      <w:rFonts w:asciiTheme="majorHAnsi" w:eastAsiaTheme="majorEastAsia" w:hAnsiTheme="majorHAnsi" w:cstheme="majorBidi" w:ascii="Calibri" w:hAnsi="Calibri"/>
      <w:b/>
      <w:color w:val="1538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40"/>
    </w:pPr>
    <w:rPr>
      <w:rFonts w:asciiTheme="majorHAnsi" w:eastAsiaTheme="majorEastAsia" w:hAnsiTheme="majorHAnsi" w:cstheme="majorBidi" w:ascii="Calibri" w:hAnsi="Calibri"/>
      <w:b w:val="0"/>
      <w:i/>
      <w:iCs/>
      <w:color w:val="0B6B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257" w:lineRule="auto"/>
    </w:pPr>
    <w:rPr>
      <w:rFonts w:ascii="Calibri" w:hAnsi="Calibri"/>
      <w:color w:val="21333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57" w:lineRule="auto"/>
      <w:contextualSpacing/>
    </w:pPr>
    <w:rPr>
      <w:rFonts w:ascii="Calibri" w:hAnsi="Calibri"/>
      <w:color w:val="21333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57" w:lineRule="auto"/>
      <w:contextualSpacing/>
    </w:pPr>
    <w:rPr>
      <w:rFonts w:ascii="Calibri" w:hAnsi="Calibri"/>
      <w:color w:val="21333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52636D"/>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05_Reference_v1_4/00_Reference_Architecture_v1_4.docx#RA_s_015" TargetMode="External"/><Relationship Id="rId12" Type="http://schemas.openxmlformats.org/officeDocument/2006/relationships/hyperlink" Target="../05_Reference_v1_4/00_Reference_Architecture_v1_4.docx#RA_s_020" TargetMode="External"/><Relationship Id="rId13" Type="http://schemas.openxmlformats.org/officeDocument/2006/relationships/hyperlink" Target="Vendor_Realization_Cards.docx#VC_01" TargetMode="External"/><Relationship Id="rId14" Type="http://schemas.openxmlformats.org/officeDocument/2006/relationships/hyperlink" Target="../05_Reference_v1_4/04_Provisioning_and_Commissioning_v1_4.docx#PROV_s_003" TargetMode="External"/><Relationship Id="rId15" Type="http://schemas.openxmlformats.org/officeDocument/2006/relationships/hyperlink" Target="Platform_Engineering_and_Build_Specifications.docx#PBS_08" TargetMode="External"/><Relationship Id="rId16" Type="http://schemas.openxmlformats.org/officeDocument/2006/relationships/hyperlink" Target="Platform_Engineering_and_Build_Specifications.docx#PBS_09" TargetMode="External"/><Relationship Id="rId17" Type="http://schemas.openxmlformats.org/officeDocument/2006/relationships/hyperlink" Target="../05_Reference_v1_4/00_Reference_Architecture_v1_4.docx#RA_s_016" TargetMode="External"/><Relationship Id="rId18" Type="http://schemas.openxmlformats.org/officeDocument/2006/relationships/hyperlink" Target="../05_Reference_v1_4/03_Vendor_Stack_Realizations_v1_4.docx#VND_s_003" TargetMode="External"/><Relationship Id="rId19" Type="http://schemas.openxmlformats.org/officeDocument/2006/relationships/hyperlink" Target="Vendor_Realization_Cards.docx#VC_02" TargetMode="External"/><Relationship Id="rId20" Type="http://schemas.openxmlformats.org/officeDocument/2006/relationships/hyperlink" Target="https://github.com/nutanix/terraform-provider-nutanix" TargetMode="External"/><Relationship Id="rId21" Type="http://schemas.openxmlformats.org/officeDocument/2006/relationships/hyperlink" Target="../03_Implementation/Qualification_Campaign_and_Evidence_Procedures.docx#QCP_01" TargetMode="External"/><Relationship Id="rId22" Type="http://schemas.openxmlformats.org/officeDocument/2006/relationships/hyperlink" Target="Platform_Engineering_and_Build_Specifications.docx#PBS_03" TargetMode="External"/><Relationship Id="rId23" Type="http://schemas.openxmlformats.org/officeDocument/2006/relationships/hyperlink" Target="../05_Reference_v1_4/07_Worked_Infrastructure_Design_and_Acceptance_v1_4.docx#WD14_S08" TargetMode="External"/><Relationship Id="rId24" Type="http://schemas.openxmlformats.org/officeDocument/2006/relationships/hyperlink" Target="../05_Reference_v1_4/04_Provisioning_and_Commissioning_v1_4.docx#PROV_s_004" TargetMode="External"/><Relationship Id="rId25" Type="http://schemas.openxmlformats.org/officeDocument/2006/relationships/hyperlink" Target="Network_and_Boundary_Detailed_Engineering.docx#NBD_02" TargetMode="External"/><Relationship Id="rId26" Type="http://schemas.openxmlformats.org/officeDocument/2006/relationships/hyperlink" Target="../03_Implementation/Operations_Recovery_and_Transition_Playbook.docx#OPS_03" TargetMode="External"/><Relationship Id="rId27" Type="http://schemas.openxmlformats.org/officeDocument/2006/relationships/hyperlink" Target="../03_Implementation/Operations_Recovery_and_Transition_Playbook.docx#OPS_07" TargetMode="External"/><Relationship Id="rId28" Type="http://schemas.openxmlformats.org/officeDocument/2006/relationships/hyperlink" Target="../05_Reference_v1_4/00_Reference_Architecture_v1_4.docx#RA_s_017" TargetMode="External"/><Relationship Id="rId29" Type="http://schemas.openxmlformats.org/officeDocument/2006/relationships/hyperlink" Target="../05_Reference_v1_4/03_Vendor_Stack_Realizations_v1_4.docx#VND_s_004" TargetMode="External"/><Relationship Id="rId30" Type="http://schemas.openxmlformats.org/officeDocument/2006/relationships/hyperlink" Target="Vendor_Realization_Cards.docx#VC_03" TargetMode="External"/><Relationship Id="rId31" Type="http://schemas.openxmlformats.org/officeDocument/2006/relationships/hyperlink" Target="https://knowledge.broadcom.com/external/article/442835/cannot-add-tier0-vrf-gateway-to-a-tier0.html" TargetMode="External"/><Relationship Id="rId32" Type="http://schemas.openxmlformats.org/officeDocument/2006/relationships/hyperlink" Target="Network_and_Boundary_Detailed_Engineering.docx#NBD_07" TargetMode="External"/><Relationship Id="rId33" Type="http://schemas.openxmlformats.org/officeDocument/2006/relationships/hyperlink" Target="Platform_Engineering_and_Build_Specifications.docx#PBS_05" TargetMode="External"/><Relationship Id="rId34" Type="http://schemas.openxmlformats.org/officeDocument/2006/relationships/hyperlink" Target="../05_Reference_v1_4/00_Reference_Architecture_v1_4.docx#RA_s_024" TargetMode="External"/><Relationship Id="rId35" Type="http://schemas.openxmlformats.org/officeDocument/2006/relationships/hyperlink" Target="../03_Implementation/Qualification_Campaign_and_Evidence_Procedures.docx#QCP_03" TargetMode="External"/><Relationship Id="rId36" Type="http://schemas.openxmlformats.org/officeDocument/2006/relationships/hyperlink" Target="../03_Implementation/Qualification_Campaign_and_Evidence_Procedures.docx#QCP_07" TargetMode="External"/><Relationship Id="rId37" Type="http://schemas.openxmlformats.org/officeDocument/2006/relationships/hyperlink" Target="../05_Reference_v1_4/00_Reference_Architecture_v1_4.docx#RA_s_018" TargetMode="External"/><Relationship Id="rId38" Type="http://schemas.openxmlformats.org/officeDocument/2006/relationships/hyperlink" Target="../05_Reference_v1_4/03_Vendor_Stack_Realizations_v1_4.docx#VND_s_005" TargetMode="External"/><Relationship Id="rId39" Type="http://schemas.openxmlformats.org/officeDocument/2006/relationships/hyperlink" Target="Vendor_Realization_Cards.docx#VC_04" TargetMode="External"/><Relationship Id="rId40" Type="http://schemas.openxmlformats.org/officeDocument/2006/relationships/hyperlink" Target="https://docs.openstack.org/neutron/latest/admin/ovn/refarch/refarch.html" TargetMode="External"/><Relationship Id="rId41" Type="http://schemas.openxmlformats.org/officeDocument/2006/relationships/hyperlink" Target="https://docs.openstack.org/nova/latest/admin/aggregates.html" TargetMode="External"/><Relationship Id="rId42" Type="http://schemas.openxmlformats.org/officeDocument/2006/relationships/hyperlink" Target="Platform_Engineering_and_Build_Specifications.docx#PBS_07" TargetMode="External"/><Relationship Id="rId43" Type="http://schemas.openxmlformats.org/officeDocument/2006/relationships/hyperlink" Target="../03_Implementation/Qualification_Campaign_and_Evidence_Procedures.docx#QCP_04" TargetMode="External"/><Relationship Id="rId44" Type="http://schemas.openxmlformats.org/officeDocument/2006/relationships/hyperlink" Target="https://docs.openstack.org/neutron/latest/admin/intro-os-networking.html" TargetMode="External"/><Relationship Id="rId45" Type="http://schemas.openxmlformats.org/officeDocument/2006/relationships/hyperlink" Target="../05_Reference_v1_4/04_Provisioning_and_Commissioning_v1_4.docx#PROV_s_001" TargetMode="External"/><Relationship Id="rId46" Type="http://schemas.openxmlformats.org/officeDocument/2006/relationships/hyperlink" Target="../05_Reference_v1_4/05_Shared_Services_Data_and_Recovery_v1_4.docx#SVC_s_001" TargetMode="External"/><Relationship Id="rId47" Type="http://schemas.openxmlformats.org/officeDocument/2006/relationships/hyperlink" Target="Engineering_Kit.docx#EK_05" TargetMode="External"/><Relationship Id="rId48" Type="http://schemas.openxmlformats.org/officeDocument/2006/relationships/hyperlink" Target="https://developer.hashicorp.com/terraform/language/state/remote-state-data" TargetMode="External"/><Relationship Id="rId49" Type="http://schemas.openxmlformats.org/officeDocument/2006/relationships/hyperlink" Target="Network_and_Boundary_Detailed_Engineering.docx#NBD_06" TargetMode="External"/><Relationship Id="rId50" Type="http://schemas.openxmlformats.org/officeDocument/2006/relationships/hyperlink" Target="../03_Implementation/Operations_Recovery_and_Transition_Playbook.docx#OPS_02" TargetMode="External"/><Relationship Id="rId51" Type="http://schemas.openxmlformats.org/officeDocument/2006/relationships/hyperlink" Target="LLD_and_Engineering_Review_Template.docx#ET_08" TargetMode="External"/><Relationship Id="rId52" Type="http://schemas.openxmlformats.org/officeDocument/2006/relationships/hyperlink" Target="LLD_and_Engineering_Review_Template.docx#ET_09" TargetMode="External"/><Relationship Id="rId53" Type="http://schemas.openxmlformats.org/officeDocument/2006/relationships/hyperlink" Target="Engineering_Kit.docx#EK_08" TargetMode="External"/><Relationship Id="rId54" Type="http://schemas.openxmlformats.org/officeDocument/2006/relationships/hyperlink" Target="../03_Implementation/Implementation_Kit.docx#IK_01" TargetMode="External"/><Relationship Id="rId55" Type="http://schemas.openxmlformats.org/officeDocument/2006/relationships/hyperlink" Target="../03_Implementation/MOP_Test_and_Handover_Template.docx#IT_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Platform Engineering and Build Specifications</dc:title>
  <dc:subject>Infrastructure architecture and delivery development</dc:subject>
  <dc:creator/>
  <cp:keywords/>
  <dc:description/>
  <cp:lastModifiedBy/>
  <cp:revision>1</cp:revision>
  <dcterms:created xsi:type="dcterms:W3CDTF">2013-12-23T23:15:00Z</dcterms:created>
  <dcterms:modified xsi:type="dcterms:W3CDTF">2013-12-23T23:15:00Z</dcterms:modified>
  <cp:category/>
  <cp:version>1.1</cp:version>
</cp:coreProperties>
</file>