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6B70"/>
        </w:rPr>
        <w:t>DELIVERY KIT  /  VC</w:t>
      </w:r>
    </w:p>
    <w:p>
      <w:pPr>
        <w:pStyle w:val="Title"/>
      </w:pPr>
      <w:r>
        <w:t>Vendor Realization and Shared-Infrastructure Cards</w:t>
      </w:r>
    </w:p>
    <w:p>
      <w:pPr>
        <w:pStyle w:val="Subtitle"/>
      </w:pPr>
      <w:r>
        <w:t>A build track for each hosting stack and its shared foundations.</w:t>
      </w:r>
    </w:p>
    <w:p>
      <w:r>
        <w:t>Kit v1.0 • 16 September 2026 • Aligned to the frozen v1.4 reference architecture</w:t>
      </w:r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Working kit, not an approved site design or deployed platform. Templates, reference examples and live evidence are separate records.</w:t>
      </w:r>
    </w:p>
    <w:p>
      <w:r>
        <w:t>Use one card per selected realization. These cards state the native engineering decisions and build responsibilities; actual supported versions, settings, credentials and execution evidence must be entered in ET and the schedules.</w:t>
      </w:r>
    </w:p>
    <w:p>
      <w:pPr>
        <w:pStyle w:val="Heading2"/>
      </w:pPr>
      <w:r>
        <w:t>Section links</w:t>
      </w:r>
    </w:p>
    <w:p>
      <w:pPr>
        <w:spacing w:after="60"/>
      </w:pPr>
      <w:r/>
      <w:hyperlink w:anchor="VC_01">
        <w:r>
          <w:rPr>
            <w:color w:val="0B6B70"/>
            <w:u w:val="single"/>
          </w:rPr>
          <w:t>1. Common scope and native implementation contract</w:t>
        </w:r>
      </w:hyperlink>
    </w:p>
    <w:p>
      <w:pPr>
        <w:spacing w:after="60"/>
      </w:pPr>
      <w:r/>
      <w:hyperlink w:anchor="VC_02">
        <w:r>
          <w:rPr>
            <w:color w:val="0B6B70"/>
            <w:u w:val="single"/>
          </w:rPr>
          <w:t>2. Nutanix realization card</w:t>
        </w:r>
      </w:hyperlink>
    </w:p>
    <w:p>
      <w:pPr>
        <w:spacing w:after="60"/>
      </w:pPr>
      <w:r/>
      <w:hyperlink w:anchor="VC_03">
        <w:r>
          <w:rPr>
            <w:color w:val="0B6B70"/>
            <w:u w:val="single"/>
          </w:rPr>
          <w:t>3. VMware and NSX realization card</w:t>
        </w:r>
      </w:hyperlink>
    </w:p>
    <w:p>
      <w:pPr>
        <w:spacing w:after="60"/>
      </w:pPr>
      <w:r/>
      <w:hyperlink w:anchor="VC_04">
        <w:r>
          <w:rPr>
            <w:color w:val="0B6B70"/>
            <w:u w:val="single"/>
          </w:rPr>
          <w:t>4. OpenStack realization card</w:t>
        </w:r>
      </w:hyperlink>
    </w:p>
    <w:p>
      <w:pPr>
        <w:spacing w:after="60"/>
      </w:pPr>
      <w:r/>
      <w:hyperlink w:anchor="VC_05">
        <w:r>
          <w:rPr>
            <w:color w:val="0B6B70"/>
            <w:u w:val="single"/>
          </w:rPr>
          <w:t>5. Physical fabric and OOB realization card</w:t>
        </w:r>
      </w:hyperlink>
    </w:p>
    <w:p>
      <w:pPr>
        <w:spacing w:after="60"/>
      </w:pPr>
      <w:r/>
      <w:hyperlink w:anchor="VC_06">
        <w:r>
          <w:rPr>
            <w:color w:val="0B6B70"/>
            <w:u w:val="single"/>
          </w:rPr>
          <w:t>6. Shared services and security-edge realization card</w:t>
        </w:r>
      </w:hyperlink>
    </w:p>
    <w:p>
      <w:pPr>
        <w:spacing w:after="60"/>
      </w:pPr>
      <w:r/>
      <w:hyperlink w:anchor="VC_07">
        <w:r>
          <w:rPr>
            <w:color w:val="0B6B70"/>
            <w:u w:val="single"/>
          </w:rPr>
          <w:t>7. Support tuple, variations and evidence checklist</w:t>
        </w:r>
      </w:hyperlink>
    </w:p>
    <w:p>
      <w:pPr>
        <w:pStyle w:val="Caption"/>
      </w:pPr>
      <w:r>
        <w:t>All additional process guidance is proposed kit practice. RA/WD references identify baseline-derived architecture; K references identify external mechanism checks. No site values or approval signatures are supplied.</w:t>
      </w:r>
    </w:p>
    <w:p>
      <w:r>
        <w:br w:type="page"/>
      </w:r>
    </w:p>
    <w:p>
      <w:pPr>
        <w:pStyle w:val="Heading1"/>
      </w:pPr>
      <w:r>
        <w:t>1. Common scope and native implementation contract</w:t>
      </w:r>
      <w:bookmarkStart w:id="1018" w:name="VC_01"/>
      <w:bookmarkEnd w:id="1018"/>
    </w:p>
    <w:p>
      <w:r>
        <w:t>The common WD fixture is the comparison baseline: tenant-01 and tenant-02, domains D01O/D01R/D02O/D02R, four permanent endpoints, two tenant boundary contexts and explicit shared-service handoffs. A temporary probe is needed for same-domain tests.</w:t>
      </w:r>
    </w:p>
    <w:p>
      <w:pPr>
        <w:pStyle w:val="Caption"/>
      </w:pPr>
      <w:r>
        <w:t xml:space="preserve">Baseline and related records: </w:t>
      </w:r>
      <w:hyperlink r:id="rId11">
        <w:r>
          <w:rPr>
            <w:color w:val="0B6B70"/>
            <w:u w:val="single"/>
          </w:rPr>
          <w:t>VND §1</w:t>
        </w:r>
      </w:hyperlink>
      <w:r>
        <w:t xml:space="preserve">  •  </w:t>
      </w:r>
      <w:hyperlink r:id="rId12">
        <w:r>
          <w:rPr>
            <w:color w:val="0B6B70"/>
            <w:u w:val="single"/>
          </w:rPr>
          <w:t>WD §2</w:t>
        </w:r>
      </w:hyperlink>
      <w:r>
        <w:t xml:space="preserve">  •  </w:t>
      </w:r>
      <w:hyperlink r:id="rId13">
        <w:r>
          <w:rPr>
            <w:color w:val="0B6B70"/>
            <w:u w:val="single"/>
          </w:rPr>
          <w:t>WD §11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4"/>
        <w:gridCol w:w="7848"/>
      </w:tblGrid>
      <w:tr>
        <w:trPr>
          <w:tblHeader/>
        </w:trPr>
        <w:tc>
          <w:tcPr>
            <w:tcW w:type="dxa" w:w="2434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Invariant</w:t>
            </w:r>
          </w:p>
        </w:tc>
        <w:tc>
          <w:tcPr>
            <w:tcW w:type="dxa" w:w="784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Native realization must show</w:t>
            </w:r>
          </w:p>
        </w:tc>
      </w:tr>
      <w:tr>
        <w:trPr>
          <w:cantSplit/>
        </w:trPr>
        <w:tc>
          <w:tcPr>
            <w:tcW w:type="dxa" w:w="24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Independent authority</w:t>
            </w:r>
          </w:p>
        </w:tc>
        <w:tc>
          <w:tcPr>
            <w:tcW w:type="dxa" w:w="78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Tenant administration, domain routing, mandatory policy and management scope are separate and enforced.</w:t>
            </w:r>
          </w:p>
        </w:tc>
      </w:tr>
      <w:tr>
        <w:trPr>
          <w:cantSplit/>
        </w:trPr>
        <w:tc>
          <w:tcPr>
            <w:tcW w:type="dxa" w:w="24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ZIP-controlled transitions</w:t>
            </w:r>
          </w:p>
        </w:tc>
        <w:tc>
          <w:tcPr>
            <w:tcW w:type="dxa" w:w="78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All required forward/reply paths use qualified boundary functions; native paths do not silently bypass them.</w:t>
            </w:r>
          </w:p>
        </w:tc>
      </w:tr>
      <w:tr>
        <w:trPr>
          <w:cantSplit/>
        </w:trPr>
        <w:tc>
          <w:tcPr>
            <w:tcW w:type="dxa" w:w="24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Shared-service consumption</w:t>
            </w:r>
          </w:p>
        </w:tc>
        <w:tc>
          <w:tcPr>
            <w:tcW w:type="dxa" w:w="78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Exact clients and endpoints, origin-specific reply, backend entitlement and administrative exclusion.</w:t>
            </w:r>
          </w:p>
        </w:tc>
      </w:tr>
      <w:tr>
        <w:trPr>
          <w:cantSplit/>
        </w:trPr>
        <w:tc>
          <w:tcPr>
            <w:tcW w:type="dxa" w:w="24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Resource eligibility</w:t>
            </w:r>
          </w:p>
        </w:tc>
        <w:tc>
          <w:tcPr>
            <w:tcW w:type="dxa" w:w="78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Compute, storage, copies and recovery remain inside approved sharing/location boundaries.</w:t>
            </w:r>
          </w:p>
        </w:tc>
      </w:tr>
      <w:tr>
        <w:trPr>
          <w:cantSplit/>
        </w:trPr>
        <w:tc>
          <w:tcPr>
            <w:tcW w:type="dxa" w:w="24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Lifecycle ownership</w:t>
            </w:r>
          </w:p>
        </w:tc>
        <w:tc>
          <w:tcPr>
            <w:tcW w:type="dxa" w:w="78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Install/commission, allocate, update, adopt, replace, delete and interrupted-operation repair have one owner.</w:t>
            </w:r>
          </w:p>
        </w:tc>
      </w:tr>
      <w:tr>
        <w:trPr>
          <w:cantSplit/>
        </w:trPr>
        <w:tc>
          <w:tcPr>
            <w:tcW w:type="dxa" w:w="24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Equivalent outcome</w:t>
            </w:r>
          </w:p>
        </w:tc>
        <w:tc>
          <w:tcPr>
            <w:tcW w:type="dxa" w:w="78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Same acceptance semantics and observed evidence, not matching native IDs or identical topology.</w:t>
            </w:r>
          </w:p>
        </w:tc>
      </w:tr>
    </w:tbl>
    <w:p>
      <w:pPr>
        <w:spacing w:after="0"/>
      </w:pPr>
      <w:r/>
    </w:p>
    <w:p>
      <w:r>
        <w:t>Do not install three stacks just to make the first stack qualify. Prove one controlled realization, then repeat the required comparison and representative image/data recovery on a second target. Treat a composite cross-stack WSD as an explicit additional design.</w:t>
      </w:r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Common prerequisites: adopted design; approved test scope; actual platform tuple; accepted foundation and required bootstrap; scoped identities; capacity and restore material; current native configuration artifacts.</w:t>
      </w:r>
    </w:p>
    <w:p>
      <w:r>
        <w:br w:type="page"/>
      </w:r>
    </w:p>
    <w:p>
      <w:pPr>
        <w:pStyle w:val="Heading1"/>
      </w:pPr>
      <w:r>
        <w:t>2. Nutanix realization card</w:t>
      </w:r>
      <w:bookmarkStart w:id="1019" w:name="VC_02"/>
      <w:bookmarkEnd w:id="1019"/>
    </w:p>
    <w:p>
      <w:r>
        <w:t>Reference mapping: AHV/AOS with protected Prism/Flow administration, separate domain routing contexts, protected endpoint policy and independently owned edge and shared-service integrations.</w:t>
      </w:r>
    </w:p>
    <w:p>
      <w:pPr>
        <w:pStyle w:val="Caption"/>
      </w:pPr>
      <w:r>
        <w:t xml:space="preserve">Baseline and related records: </w:t>
      </w:r>
      <w:hyperlink r:id="rId14">
        <w:r>
          <w:rPr>
            <w:color w:val="0B6B70"/>
            <w:u w:val="single"/>
          </w:rPr>
          <w:t>RA §16</w:t>
        </w:r>
      </w:hyperlink>
      <w:r>
        <w:t xml:space="preserve">  •  </w:t>
      </w:r>
      <w:hyperlink r:id="rId15">
        <w:r>
          <w:rPr>
            <w:color w:val="0B6B70"/>
            <w:u w:val="single"/>
          </w:rPr>
          <w:t>VND §3</w:t>
        </w:r>
      </w:hyperlink>
      <w:r>
        <w:t xml:space="preserve">  •  </w:t>
      </w:r>
      <w:hyperlink r:id="rId16">
        <w:r>
          <w:rPr>
            <w:color w:val="0B6B70"/>
            <w:u w:val="single"/>
          </w:rPr>
          <w:t>WD §8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2"/>
        <w:gridCol w:w="7819"/>
      </w:tblGrid>
      <w:tr>
        <w:trPr>
          <w:tblHeader/>
        </w:trPr>
        <w:tc>
          <w:tcPr>
            <w:tcW w:type="dxa" w:w="2462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Build concern</w:t>
            </w:r>
          </w:p>
        </w:tc>
        <w:tc>
          <w:tcPr>
            <w:tcW w:type="dxa" w:w="7819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Specific engineering decision / receipt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Installation and management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Selected supported cluster/Prism/Flow installation, exact component releases, management path, cluster health and recovery dependencies.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Pools and data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Eligible AHV placement, AOS/controller sharing, storage classes, image baseline, encryption/protection and failure headroom.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Tenancy and policy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Project/RBAC entitlement distinct from VPC routing; provider-owned security categories/selectors and mandatory effective policy.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Domain/edge attachment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Native VPC/subnet/gateway objects and supported external handoff. No-NAT is conditional; shared connected subnet isolation must be proven.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Provisioning sequence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Installer-owned P2 foundation → address/attachment reservation → denied domain networks → edge/routes/policy → VM/disks → services and tests.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Acceptance / failure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Same-host/cross-host controls, native routing, return symmetry, lost task response, protected data, HA placement and isolated restore.</w:t>
            </w:r>
          </w:p>
        </w:tc>
      </w:tr>
    </w:tbl>
    <w:p>
      <w:pPr>
        <w:spacing w:after="0"/>
      </w:pPr>
      <w:r/>
    </w:p>
    <w:p>
      <w:r>
        <w:t>The official provider repository publishes compatibility and resource-specific lifecycle notes. Use the exact supported combination and inspect replacement/update behaviour; a v2 resource name does not prove every needed operation. No provider release is selected by this kit. [K05]</w:t>
      </w:r>
    </w:p>
    <w:p>
      <w:pPr>
        <w:pStyle w:val="Caption"/>
      </w:pPr>
      <w:r>
        <w:t xml:space="preserve">External mechanism context: </w:t>
      </w:r>
      <w:hyperlink r:id="rId17">
        <w:r>
          <w:rPr>
            <w:color w:val="0B6B70"/>
            <w:u w:val="single"/>
          </w:rPr>
          <w:t>K05 — Official Nutanix Terraform provider repository</w:t>
        </w:r>
      </w:hyperlink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Stop when the actual gateway/handoff mechanism, required policy authority or resource lifecycle is unsupported or unproven. Use a reviewed alternative or exclude the capability; do not weaken the boundary to complete the run.</w:t>
      </w:r>
    </w:p>
    <w:p>
      <w:r>
        <w:br w:type="page"/>
      </w:r>
    </w:p>
    <w:p>
      <w:pPr>
        <w:pStyle w:val="Heading1"/>
      </w:pPr>
      <w:r>
        <w:t>3. VMware and NSX realization card</w:t>
      </w:r>
      <w:bookmarkStart w:id="1020" w:name="VC_03"/>
      <w:bookmarkEnd w:id="1020"/>
    </w:p>
    <w:p>
      <w:r>
        <w:t>Reference mapping: protected vCenter/ESXi and NSX management, eligible compute/storage pools, independent domain routing and an explicitly isolated upstream path to the required ZIP.</w:t>
      </w:r>
    </w:p>
    <w:p>
      <w:pPr>
        <w:pStyle w:val="Caption"/>
      </w:pPr>
      <w:r>
        <w:t xml:space="preserve">Baseline and related records: </w:t>
      </w:r>
      <w:hyperlink r:id="rId18">
        <w:r>
          <w:rPr>
            <w:color w:val="0B6B70"/>
            <w:u w:val="single"/>
          </w:rPr>
          <w:t>RA §17</w:t>
        </w:r>
      </w:hyperlink>
      <w:r>
        <w:t xml:space="preserve">  •  </w:t>
      </w:r>
      <w:hyperlink r:id="rId19">
        <w:r>
          <w:rPr>
            <w:color w:val="0B6B70"/>
            <w:u w:val="single"/>
          </w:rPr>
          <w:t>VND §4</w:t>
        </w:r>
      </w:hyperlink>
      <w:r>
        <w:t xml:space="preserve">  •  </w:t>
      </w:r>
      <w:hyperlink r:id="rId16">
        <w:r>
          <w:rPr>
            <w:color w:val="0B6B70"/>
            <w:u w:val="single"/>
          </w:rPr>
          <w:t>WD §8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2"/>
        <w:gridCol w:w="7819"/>
      </w:tblGrid>
      <w:tr>
        <w:trPr>
          <w:tblHeader/>
        </w:trPr>
        <w:tc>
          <w:tcPr>
            <w:tcW w:type="dxa" w:w="2462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Build concern</w:t>
            </w:r>
          </w:p>
        </w:tc>
        <w:tc>
          <w:tcPr>
            <w:tcW w:type="dxa" w:w="7819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Specific engineering decision / receipt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Installation and transport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Actual vCenter/ESXi/NSX versions and hardware compatibility; transport nodes/zones, Edge placement, TEP/uplink reachability and management.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Routing topology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Map Tier-1, distributed/service routing, Tier-0/VRF or approved alternative, advertisements, native routes and exact boundary next hops.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Stateful enforcement and HA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Locate mandatory DFW and boundary functions; choose supported HA mode, state synchronization, return symmetry and failure load.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Pools and data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Actual host eligibility/affinity, supported vMotion/restart, datastore/storage policy, images/virtual security devices and backup/key dependencies.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Provisioning sequence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P2 compute/storage/NSX transport → scope and isolated upstream capacity → denied segments/gateways → policy → VM/data → service and path checks.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Acceptance / failure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No unauthorized native/inter-VRF route; same-host rules, Edge/uplink loss, maintenance placement, support limits and useful restore.</w:t>
            </w:r>
          </w:p>
        </w:tc>
      </w:tr>
    </w:tbl>
    <w:p>
      <w:pPr>
        <w:spacing w:after="0"/>
      </w:pPr>
      <w:r/>
    </w:p>
    <w:p>
      <w:r>
        <w:t>Technical review item KIT-TN-01: Broadcom KB 442835 describes Tier-0 VRF incompatibility with an active-active stateful parent Tier-0. Reconcile this limitation with the selected release and architecture before choosing HA mode; do not assume every VRF/stateful combination is supported. [K09]</w:t>
      </w:r>
    </w:p>
    <w:p>
      <w:pPr>
        <w:pStyle w:val="Caption"/>
      </w:pPr>
      <w:r>
        <w:t xml:space="preserve">External mechanism context: </w:t>
      </w:r>
      <w:hyperlink r:id="rId20">
        <w:r>
          <w:rPr>
            <w:color w:val="0B6B70"/>
            <w:u w:val="single"/>
          </w:rPr>
          <w:t>K09 — Broadcom KB 442835 — Tier-0 VRF and active-active stateful HA</w:t>
        </w:r>
      </w:hyperlink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The frozen RA remains unchanged. This kit adds a support check, not a command to change a live gateway. An HA-mode change needs separate disruption, session and recovery analysis.</w:t>
      </w:r>
    </w:p>
    <w:p>
      <w:r>
        <w:br w:type="page"/>
      </w:r>
    </w:p>
    <w:p>
      <w:pPr>
        <w:pStyle w:val="Heading1"/>
      </w:pPr>
      <w:r>
        <w:t>4. OpenStack realization card</w:t>
      </w:r>
      <w:bookmarkStart w:id="1021" w:name="VC_04"/>
      <w:bookmarkEnd w:id="1021"/>
    </w:p>
    <w:p>
      <w:r>
        <w:t>Reference mapping: selected OpenStack distribution; protected Keystone/control services; Nova/Placement compute; Neutron with a named backend; Glance/Cinder and separately selected data/protection services.</w:t>
      </w:r>
    </w:p>
    <w:p>
      <w:pPr>
        <w:pStyle w:val="Caption"/>
      </w:pPr>
      <w:r>
        <w:t xml:space="preserve">Baseline and related records: </w:t>
      </w:r>
      <w:hyperlink r:id="rId21">
        <w:r>
          <w:rPr>
            <w:color w:val="0B6B70"/>
            <w:u w:val="single"/>
          </w:rPr>
          <w:t>RA §18</w:t>
        </w:r>
      </w:hyperlink>
      <w:r>
        <w:t xml:space="preserve">  •  </w:t>
      </w:r>
      <w:hyperlink r:id="rId22">
        <w:r>
          <w:rPr>
            <w:color w:val="0B6B70"/>
            <w:u w:val="single"/>
          </w:rPr>
          <w:t>VND §5</w:t>
        </w:r>
      </w:hyperlink>
      <w:r>
        <w:t xml:space="preserve">  •  </w:t>
      </w:r>
      <w:hyperlink r:id="rId16">
        <w:r>
          <w:rPr>
            <w:color w:val="0B6B70"/>
            <w:u w:val="single"/>
          </w:rPr>
          <w:t>WD §8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2"/>
        <w:gridCol w:w="7819"/>
      </w:tblGrid>
      <w:tr>
        <w:trPr>
          <w:tblHeader/>
        </w:trPr>
        <w:tc>
          <w:tcPr>
            <w:tcW w:type="dxa" w:w="2462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Build concern</w:t>
            </w:r>
          </w:p>
        </w:tc>
        <w:tc>
          <w:tcPr>
            <w:tcW w:type="dxa" w:w="7819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Specific engineering decision / receipt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Distribution and control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Service/database/messaging versions, certificates, API policy, installer/upgrade owner and controller recovery.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Compute and data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Eligible host aggregates/traits/flavours with actual enforcement; images, boot/drivers, Cinder types/backends, storage credentials and protection.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Network backend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Selected ML2/OVN or qualified alternative; controller/gateway/compute roles, mappings, distributed routes and external/provider attachments.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Mandatory authority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Provider owns baseline security groups, port security, permitted address pairs and external mutation. Direct tenant editing is a qualified extension.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Provisioning sequence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Supported distribution build → scoped project/quotas → denied networks/ports/routers and edge → instances/volumes → services and tests.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Acceptance / failure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Effective additive policy, extra NIC/provider routes, metadata/DHCP, gateway/control loss, relocation, storage isolation and stale port/router cleanup.</w:t>
            </w:r>
          </w:p>
        </w:tc>
      </w:tr>
    </w:tbl>
    <w:p>
      <w:pPr>
        <w:spacing w:after="0"/>
      </w:pPr>
      <w:r/>
    </w:p>
    <w:p>
      <w:r>
        <w:t>Neutron describes security groups as additive allow controls; do not treat several groups as a provider deny hierarchy. OVN distributed routing must be included in path analysis, and Nova placement controls must be configured rather than inferred from an aggregate name. [K06–K08]</w:t>
      </w:r>
    </w:p>
    <w:p>
      <w:pPr>
        <w:pStyle w:val="Caption"/>
      </w:pPr>
      <w:r>
        <w:t xml:space="preserve">External mechanism context: </w:t>
      </w:r>
      <w:hyperlink r:id="rId23">
        <w:r>
          <w:rPr>
            <w:color w:val="0B6B70"/>
            <w:u w:val="single"/>
          </w:rPr>
          <w:t>K06 — OpenStack Neutron networking concepts</w:t>
        </w:r>
      </w:hyperlink>
      <w:r>
        <w:t xml:space="preserve">  •  </w:t>
      </w:r>
      <w:hyperlink r:id="rId24">
        <w:r>
          <w:rPr>
            <w:color w:val="0B6B70"/>
            <w:u w:val="single"/>
          </w:rPr>
          <w:t>K07 — OpenStack OVN reference architecture</w:t>
        </w:r>
      </w:hyperlink>
      <w:r>
        <w:t xml:space="preserve">  •  </w:t>
      </w:r>
      <w:hyperlink r:id="rId25">
        <w:r>
          <w:rPr>
            <w:color w:val="0B6B70"/>
            <w:u w:val="single"/>
          </w:rPr>
          <w:t>K08 — OpenStack Nova host aggregates</w:t>
        </w:r>
      </w:hyperlink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Do not compete with Neutron by directly managing the same backend OVN objects. If the selected API/policy combination cannot protect the required baseline, the corresponding delegated capability is not offered.</w:t>
      </w:r>
    </w:p>
    <w:p>
      <w:r>
        <w:br w:type="page"/>
      </w:r>
    </w:p>
    <w:p>
      <w:pPr>
        <w:pStyle w:val="Heading1"/>
      </w:pPr>
      <w:r>
        <w:t>5. Physical fabric and OOB realization card</w:t>
      </w:r>
      <w:bookmarkStart w:id="1022" w:name="VC_05"/>
      <w:bookmarkEnd w:id="1022"/>
    </w:p>
    <w:p>
      <w:r>
        <w:t>Reference mapping: provider-owned routed transport, qualified host/appliance attachment, optional EVPN/VXLAN where needed, and separately protected hardware recovery and management.</w:t>
      </w:r>
    </w:p>
    <w:p>
      <w:pPr>
        <w:pStyle w:val="Caption"/>
      </w:pPr>
      <w:r>
        <w:t xml:space="preserve">Baseline and related records: </w:t>
      </w:r>
      <w:hyperlink r:id="rId26">
        <w:r>
          <w:rPr>
            <w:color w:val="0B6B70"/>
            <w:u w:val="single"/>
          </w:rPr>
          <w:t>RA §5</w:t>
        </w:r>
      </w:hyperlink>
      <w:r>
        <w:t xml:space="preserve">  •  </w:t>
      </w:r>
      <w:hyperlink r:id="rId27">
        <w:r>
          <w:rPr>
            <w:color w:val="0B6B70"/>
            <w:u w:val="single"/>
          </w:rPr>
          <w:t>RA §6</w:t>
        </w:r>
      </w:hyperlink>
      <w:r>
        <w:t xml:space="preserve">  •  </w:t>
      </w:r>
      <w:hyperlink r:id="rId28">
        <w:r>
          <w:rPr>
            <w:color w:val="0B6B70"/>
            <w:u w:val="single"/>
          </w:rPr>
          <w:t>NET §1</w:t>
        </w:r>
      </w:hyperlink>
      <w:r>
        <w:t xml:space="preserve">  •  </w:t>
      </w:r>
      <w:hyperlink r:id="rId29">
        <w:r>
          <w:rPr>
            <w:color w:val="0B6B70"/>
            <w:u w:val="single"/>
          </w:rPr>
          <w:t>NET §5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2"/>
        <w:gridCol w:w="7819"/>
      </w:tblGrid>
      <w:tr>
        <w:trPr>
          <w:tblHeader/>
        </w:trPr>
        <w:tc>
          <w:tcPr>
            <w:tcW w:type="dxa" w:w="2462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Build concern</w:t>
            </w:r>
          </w:p>
        </w:tc>
        <w:tc>
          <w:tcPr>
            <w:tcW w:type="dxa" w:w="7819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Specific engineering decision / receipt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Inventory and ports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Actual switch/network OS/NIC/optic/firmware compatibility, port map, power/failure grouping and staging identity.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Underlay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Link/loopback allocations, permitted peers/ASNs, explicit import/export, ECMP, control-plane protection and maximum-prefix handling.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Optional fabric overlay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RD/RT/VNI authority, gateway location, supported route types, BUM/ARP/ND and explicit route-import restrictions.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Multihoming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Chosen MLAG or EVPN mechanism, peer/ES dependencies, orphan and split-brain behaviour; no assumed cross-vendor MLAG pair.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Platform/edge transport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Owned tunnel endpoint networks, dedicated/qualified handoffs, actual encapsulation and minimum surviving MTU.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Commission and recover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Supported network configuration owner, safe staged change, snapshots, constrained management, fault/recovery observations and accepted G1 receipt.</w:t>
            </w:r>
          </w:p>
        </w:tc>
      </w:tr>
    </w:tbl>
    <w:p>
      <w:pPr>
        <w:spacing w:after="0"/>
      </w:pPr>
      <w:r/>
    </w:p>
    <w:p>
      <w:r>
        <w:t>Use a site-specific network-OS annex after hardware selection. A Dell OS10 or other switch implementation must supply its actual provider or native configuration coverage and release-specific commands. The kit does not assert an unverified universal Terraform switch provider.</w:t>
      </w:r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Physical placement and cabling execution use approved facility/manufacturer procedures and qualified personnel. Do not infer physical independence from two logical links terminating on the same failure dependency.</w:t>
      </w:r>
    </w:p>
    <w:p>
      <w:r>
        <w:br w:type="page"/>
      </w:r>
    </w:p>
    <w:p>
      <w:pPr>
        <w:pStyle w:val="Heading1"/>
      </w:pPr>
      <w:r>
        <w:t>6. Shared services and security-edge realization card</w:t>
      </w:r>
      <w:bookmarkStart w:id="1023" w:name="VC_06"/>
      <w:bookmarkEnd w:id="1023"/>
    </w:p>
    <w:p>
      <w:r>
        <w:t>These resources are required integrations, not incidental dependencies automatically supplied by the selected hypervisor provider.</w:t>
      </w:r>
    </w:p>
    <w:p>
      <w:pPr>
        <w:pStyle w:val="Caption"/>
      </w:pPr>
      <w:r>
        <w:t xml:space="preserve">Baseline and related records: </w:t>
      </w:r>
      <w:hyperlink r:id="rId30">
        <w:r>
          <w:rPr>
            <w:color w:val="0B6B70"/>
            <w:u w:val="single"/>
          </w:rPr>
          <w:t>RA §9</w:t>
        </w:r>
      </w:hyperlink>
      <w:r>
        <w:t xml:space="preserve">  •  </w:t>
      </w:r>
      <w:hyperlink r:id="rId31">
        <w:r>
          <w:rPr>
            <w:color w:val="0B6B70"/>
            <w:u w:val="single"/>
          </w:rPr>
          <w:t>SVC §1</w:t>
        </w:r>
      </w:hyperlink>
      <w:r>
        <w:t xml:space="preserve">  •  </w:t>
      </w:r>
      <w:hyperlink r:id="rId32">
        <w:r>
          <w:rPr>
            <w:color w:val="0B6B70"/>
            <w:u w:val="single"/>
          </w:rPr>
          <w:t>SVC §5</w:t>
        </w:r>
      </w:hyperlink>
      <w:r>
        <w:t xml:space="preserve">  •  </w:t>
      </w:r>
      <w:hyperlink r:id="rId33">
        <w:r>
          <w:rPr>
            <w:color w:val="0B6B70"/>
            <w:u w:val="single"/>
          </w:rPr>
          <w:t>WD §7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2"/>
        <w:gridCol w:w="7819"/>
      </w:tblGrid>
      <w:tr>
        <w:trPr>
          <w:tblHeader/>
        </w:trPr>
        <w:tc>
          <w:tcPr>
            <w:tcW w:type="dxa" w:w="2462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Service track</w:t>
            </w:r>
          </w:p>
        </w:tc>
        <w:tc>
          <w:tcPr>
            <w:tcW w:type="dxa" w:w="7819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Native design and implementation receipt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Security edge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EC/SE or equivalent contexts, exactly scoped routes/interfaces/policy, joint boundary authority, required inspection, session behaviour, HA and management.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IPAM/name/time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Delegated address authority, reservations/leases, DNS forward/reverse and approved resolvers including needed TCP/UDP, time profile and ownership.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Identity and trust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Enterprise roles/federation, workload and runner identities, certificate lifecycle, key-use/admin/recovery scope and independent bootstrap.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Storage/data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Owned virtual disks, file/object endpoint authorization, shared backend implications, capacity/QoS, snapshots/replication and sanitization.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Backup/recovery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Capture orchestration versus transfer path, repository protection, catalogue/keys, retained-copy ownership and isolated useful restore.</w:t>
            </w:r>
          </w:p>
        </w:tc>
      </w:tr>
      <w:tr>
        <w:trPr>
          <w:cantSplit/>
        </w:trPr>
        <w:tc>
          <w:tcPr>
            <w:tcW w:type="dxa" w:w="24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Telemetry and supply</w:t>
            </w:r>
          </w:p>
        </w:tc>
        <w:tc>
          <w:tcPr>
            <w:tcW w:type="dxa" w:w="7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Attributable event collection, buffering/loss handling, authorized search/retention, trusted images/artifacts and publication authority.</w:t>
            </w:r>
          </w:p>
        </w:tc>
      </w:tr>
    </w:tbl>
    <w:p>
      <w:pPr>
        <w:spacing w:after="0"/>
      </w:pPr>
      <w:r/>
    </w:p>
    <w:p>
      <w:r>
        <w:t>Each track publishes a handoff containing actual identity, permitted use, capacity/limits, support version, lifecycle owner, current acceptance restrictions and evidence. Sharing a reference does not require sharing the producer’s privileged credentials or full Terraform state.</w:t>
      </w:r>
    </w:p>
    <w:p>
      <w:r>
        <w:t>SVC-REF is an illustrative shared-service domain, not permission for all provider traffic. Service-side return routing, source validation and backend entitlement remain part of qualification. Record each service’s compromise and outage dependency.</w:t>
      </w:r>
    </w:p>
    <w:p>
      <w:r>
        <w:br w:type="page"/>
      </w:r>
    </w:p>
    <w:p>
      <w:pPr>
        <w:pStyle w:val="Heading1"/>
      </w:pPr>
      <w:r>
        <w:t>7. Support tuple, variations and evidence checklist</w:t>
      </w:r>
      <w:bookmarkStart w:id="1024" w:name="VC_07"/>
      <w:bookmarkEnd w:id="1024"/>
    </w:p>
    <w:p>
      <w:r>
        <w:t>Complete this review for each selected platform and all dependencies used by the offered service. A moving “latest” documentation page is context; retain the exact supported release evidence for the actual installation.</w:t>
      </w:r>
    </w:p>
    <w:p>
      <w:pPr>
        <w:pStyle w:val="Caption"/>
      </w:pPr>
      <w:r>
        <w:t xml:space="preserve">Baseline and related records: </w:t>
      </w:r>
      <w:hyperlink r:id="rId34">
        <w:r>
          <w:rPr>
            <w:color w:val="0B6B70"/>
            <w:u w:val="single"/>
          </w:rPr>
          <w:t>VND §7</w:t>
        </w:r>
      </w:hyperlink>
      <w:r>
        <w:t xml:space="preserve">  •  </w:t>
      </w:r>
      <w:hyperlink r:id="rId35">
        <w:r>
          <w:rPr>
            <w:color w:val="0B6B70"/>
            <w:u w:val="single"/>
          </w:rPr>
          <w:t>ET §8</w:t>
        </w:r>
      </w:hyperlink>
      <w:r>
        <w:t xml:space="preserve">  •  </w:t>
      </w:r>
      <w:hyperlink r:id="rId36">
        <w:r>
          <w:rPr>
            <w:color w:val="0B6B70"/>
            <w:u w:val="single"/>
          </w:rPr>
          <w:t>IK §4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762"/>
      </w:tblGrid>
      <w:tr>
        <w:trPr>
          <w:tblHeader/>
        </w:trPr>
        <w:tc>
          <w:tcPr>
            <w:tcW w:type="dxa" w:w="252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Decision/check</w:t>
            </w:r>
          </w:p>
        </w:tc>
        <w:tc>
          <w:tcPr>
            <w:tcW w:type="dxa" w:w="7762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Evidence and disposition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Native resource mapping</w:t>
            </w:r>
          </w:p>
        </w:tc>
        <w:tc>
          <w:tcPr>
            <w:tcW w:type="dxa" w:w="77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Reference IDs → actual platform objects, interfaces, hosts, data objects and owners.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Compatibility and entitlements</w:t>
            </w:r>
          </w:p>
        </w:tc>
        <w:tc>
          <w:tcPr>
            <w:tcW w:type="dxa" w:w="77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Exact tuple plus official support matrix/release notes and actual enabled features.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Operation coverage</w:t>
            </w:r>
          </w:p>
        </w:tc>
        <w:tc>
          <w:tcPr>
            <w:tcW w:type="dxa" w:w="77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Per-resource observe/create/update/adopt/replace/delete and interrupted-task discovery with a supported alternative where needed.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Control/function coverage</w:t>
            </w:r>
          </w:p>
        </w:tc>
        <w:tc>
          <w:tcPr>
            <w:tcW w:type="dxa" w:w="77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Every required boundary, identity, data, placement and recovery function has an enforcement location and an observation.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Limits and failures</w:t>
            </w:r>
          </w:p>
        </w:tc>
        <w:tc>
          <w:tcPr>
            <w:tcW w:type="dxa" w:w="77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Measured service capacity, relevant HA/partition behaviours and forbidden alternative paths.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Variations and residual gaps</w:t>
            </w:r>
          </w:p>
        </w:tc>
        <w:tc>
          <w:tcPr>
            <w:tcW w:type="dxa" w:w="77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Changed design requires appropriate approval and new assertions; no automatic portability claim.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Readiness</w:t>
            </w:r>
          </w:p>
        </w:tc>
        <w:tc>
          <w:tcPr>
            <w:tcW w:type="dxa" w:w="77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Qualification scoped by class/family; required operational recovery evidence before production; ongoing requalification triggers.</w:t>
            </w:r>
          </w:p>
        </w:tc>
      </w:tr>
    </w:tbl>
    <w:p>
      <w:pPr>
        <w:spacing w:after="0"/>
      </w:pPr>
      <w:r/>
    </w:p>
    <w:p>
      <w:r>
        <w:t>Use source IDs K05–K09 as current research entry points and the frozen RA/VND as architecture lineage. Source discovery does not approve a product combination. A feature gap should become a documented alternative, a limited service offer or a blocking issue.</w:t>
      </w:r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These cards are implementation specifications and checklists. Actual modules, native installation/configuration artifacts, environment values and live evidence are separate required outputs—not represented as already delivered.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 xml:space="preserve">Delivery kits v1.0  •  Architecture baseline v1.4  •  Proposed   | 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PORTABLE MULTI-TENANT SECURE HOSTING  |  VC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2133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538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B6B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1538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1538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40"/>
    </w:pPr>
    <w:rPr>
      <w:rFonts w:asciiTheme="majorHAnsi" w:eastAsiaTheme="majorEastAsia" w:hAnsiTheme="majorHAnsi" w:cstheme="majorBidi" w:ascii="Calibri" w:hAnsi="Calibri"/>
      <w:b w:val="0"/>
      <w:i/>
      <w:iCs/>
      <w:color w:val="0B6B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Calibri" w:hAnsi="Calibri"/>
      <w:color w:val="21333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9" w:lineRule="auto"/>
      <w:contextualSpacing/>
    </w:pPr>
    <w:rPr>
      <w:rFonts w:ascii="Calibri" w:hAnsi="Calibri"/>
      <w:color w:val="21333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59" w:lineRule="auto"/>
      <w:contextualSpacing/>
    </w:pPr>
    <w:rPr>
      <w:rFonts w:ascii="Calibri" w:hAnsi="Calibri"/>
      <w:color w:val="21333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52636D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05_Reference_v1_4/03_Vendor_Stack_Realizations_v1_4.docx#VND_s_001" TargetMode="External"/><Relationship Id="rId12" Type="http://schemas.openxmlformats.org/officeDocument/2006/relationships/hyperlink" Target="../05_Reference_v1_4/07_Worked_Infrastructure_Design_and_Acceptance_v1_4.docx#WD14_S02" TargetMode="External"/><Relationship Id="rId13" Type="http://schemas.openxmlformats.org/officeDocument/2006/relationships/hyperlink" Target="../05_Reference_v1_4/07_Worked_Infrastructure_Design_and_Acceptance_v1_4.docx#WD14_S11" TargetMode="External"/><Relationship Id="rId14" Type="http://schemas.openxmlformats.org/officeDocument/2006/relationships/hyperlink" Target="../05_Reference_v1_4/00_Reference_Architecture_v1_4.docx#RA_s_016" TargetMode="External"/><Relationship Id="rId15" Type="http://schemas.openxmlformats.org/officeDocument/2006/relationships/hyperlink" Target="../05_Reference_v1_4/03_Vendor_Stack_Realizations_v1_4.docx#VND_s_003" TargetMode="External"/><Relationship Id="rId16" Type="http://schemas.openxmlformats.org/officeDocument/2006/relationships/hyperlink" Target="../05_Reference_v1_4/07_Worked_Infrastructure_Design_and_Acceptance_v1_4.docx#WD14_S08" TargetMode="External"/><Relationship Id="rId17" Type="http://schemas.openxmlformats.org/officeDocument/2006/relationships/hyperlink" Target="https://github.com/nutanix/terraform-provider-nutanix" TargetMode="External"/><Relationship Id="rId18" Type="http://schemas.openxmlformats.org/officeDocument/2006/relationships/hyperlink" Target="../05_Reference_v1_4/00_Reference_Architecture_v1_4.docx#RA_s_017" TargetMode="External"/><Relationship Id="rId19" Type="http://schemas.openxmlformats.org/officeDocument/2006/relationships/hyperlink" Target="../05_Reference_v1_4/03_Vendor_Stack_Realizations_v1_4.docx#VND_s_004" TargetMode="External"/><Relationship Id="rId20" Type="http://schemas.openxmlformats.org/officeDocument/2006/relationships/hyperlink" Target="https://knowledge.broadcom.com/external/article/442835/cannot-add-tier0-vrf-gateway-to-a-tier0.html" TargetMode="External"/><Relationship Id="rId21" Type="http://schemas.openxmlformats.org/officeDocument/2006/relationships/hyperlink" Target="../05_Reference_v1_4/00_Reference_Architecture_v1_4.docx#RA_s_018" TargetMode="External"/><Relationship Id="rId22" Type="http://schemas.openxmlformats.org/officeDocument/2006/relationships/hyperlink" Target="../05_Reference_v1_4/03_Vendor_Stack_Realizations_v1_4.docx#VND_s_005" TargetMode="External"/><Relationship Id="rId23" Type="http://schemas.openxmlformats.org/officeDocument/2006/relationships/hyperlink" Target="https://docs.openstack.org/neutron/latest/admin/intro-os-networking.html" TargetMode="External"/><Relationship Id="rId24" Type="http://schemas.openxmlformats.org/officeDocument/2006/relationships/hyperlink" Target="https://docs.openstack.org/neutron/latest/admin/ovn/refarch/refarch.html" TargetMode="External"/><Relationship Id="rId25" Type="http://schemas.openxmlformats.org/officeDocument/2006/relationships/hyperlink" Target="https://docs.openstack.org/nova/latest/admin/aggregates.html" TargetMode="External"/><Relationship Id="rId26" Type="http://schemas.openxmlformats.org/officeDocument/2006/relationships/hyperlink" Target="../05_Reference_v1_4/00_Reference_Architecture_v1_4.docx#RA_s_005" TargetMode="External"/><Relationship Id="rId27" Type="http://schemas.openxmlformats.org/officeDocument/2006/relationships/hyperlink" Target="../05_Reference_v1_4/00_Reference_Architecture_v1_4.docx#RA_s_006" TargetMode="External"/><Relationship Id="rId28" Type="http://schemas.openxmlformats.org/officeDocument/2006/relationships/hyperlink" Target="../05_Reference_v1_4/02_Fabric_Security_and_Interfaces_v1_4.docx#NET_s_001" TargetMode="External"/><Relationship Id="rId29" Type="http://schemas.openxmlformats.org/officeDocument/2006/relationships/hyperlink" Target="../05_Reference_v1_4/02_Fabric_Security_and_Interfaces_v1_4.docx#NET_s_005" TargetMode="External"/><Relationship Id="rId30" Type="http://schemas.openxmlformats.org/officeDocument/2006/relationships/hyperlink" Target="../05_Reference_v1_4/00_Reference_Architecture_v1_4.docx#RA_s_009" TargetMode="External"/><Relationship Id="rId31" Type="http://schemas.openxmlformats.org/officeDocument/2006/relationships/hyperlink" Target="../05_Reference_v1_4/05_Shared_Services_Data_and_Recovery_v1_4.docx#SVC_s_001" TargetMode="External"/><Relationship Id="rId32" Type="http://schemas.openxmlformats.org/officeDocument/2006/relationships/hyperlink" Target="../05_Reference_v1_4/05_Shared_Services_Data_and_Recovery_v1_4.docx#SVC_s_005" TargetMode="External"/><Relationship Id="rId33" Type="http://schemas.openxmlformats.org/officeDocument/2006/relationships/hyperlink" Target="../05_Reference_v1_4/07_Worked_Infrastructure_Design_and_Acceptance_v1_4.docx#WD14_S07" TargetMode="External"/><Relationship Id="rId34" Type="http://schemas.openxmlformats.org/officeDocument/2006/relationships/hyperlink" Target="../05_Reference_v1_4/03_Vendor_Stack_Realizations_v1_4.docx#VND_s_007" TargetMode="External"/><Relationship Id="rId35" Type="http://schemas.openxmlformats.org/officeDocument/2006/relationships/hyperlink" Target="LLD_and_Engineering_Review_Template.docx#ET_08" TargetMode="External"/><Relationship Id="rId36" Type="http://schemas.openxmlformats.org/officeDocument/2006/relationships/hyperlink" Target="../03_Implementation/Implementation_Kit.docx#IK_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Realization and Shared-Infrastructure Cards</dc:title>
  <dc:subject>Infrastructure architecture, engineering and implementation delivery kit</dc:subject>
  <dc:creator/>
  <cp:keywords>Portable hosting, infrastructure, architecture, engineering, implementation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