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SVC_START"/>
      <w:r>
        <w:rPr/>
        <w:t>INFRASTRUCTURE ARCHITECTURE  /  SVC</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Shared Services, Data Protection and Recovery Architecture</w:t>
      </w:r>
    </w:p>
    <w:p>
      <w:pPr>
        <w:pStyle w:val="Small"/>
        <w:rPr/>
      </w:pPr>
      <w:r>
        <w:rPr/>
        <w:t>Draft v1.4  |  16 September 2026</w:t>
      </w:r>
    </w:p>
    <w:p>
      <w:pPr>
        <w:pStyle w:val="Normal"/>
        <w:rPr/>
      </w:pPr>
      <w:r>
        <w:rPr/>
        <w:t>The infrastructure behind shared consumption endpoints, data copies, key custody, protection and recovery, with clear operational and administrative boundaries.</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SVC — supplement to RA v1.4</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Start here: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architecture — RA</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family and gap map — GM</w:t>
      </w:r>
      <w:r>
        <w:rPr>
          <w:rStyle w:val="Style"/>
          <w:u w:val="single"/>
          <w:color w:val="176B70"/>
        </w:rPr>
        <w:fldChar w:fldCharType="end"/>
      </w:r>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SVC_contents"/>
      <w:r>
        <w:rPr/>
        <w:t>Contents</w:t>
      </w:r>
      <w:bookmarkEnd w:id="1"/>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8875_1525915568">
            <w:r>
              <w:rPr>
                <w:webHidden/>
                <w:rStyle w:val="IndexLink"/>
              </w:rPr>
              <w:t>1. Shared service placement and consumption boundaries</w:t>
              <w:tab/>
              <w:t>3</w:t>
            </w:r>
          </w:hyperlink>
        </w:p>
        <w:p>
          <w:pPr>
            <w:pStyle w:val="TOC1"/>
            <w:tabs>
              <w:tab w:val="clear" w:pos="9965"/>
              <w:tab w:val="right" w:pos="10079" w:leader="dot"/>
            </w:tabs>
            <w:rPr/>
          </w:pPr>
          <w:hyperlink w:anchor="__RefHeading___Toc8877_1525915568">
            <w:r>
              <w:rPr>
                <w:webHidden/>
                <w:rStyle w:val="IndexLink"/>
              </w:rPr>
              <w:t>2. Name, time, initialization and telemetry profiles</w:t>
              <w:tab/>
              <w:t>4</w:t>
            </w:r>
          </w:hyperlink>
        </w:p>
        <w:p>
          <w:pPr>
            <w:pStyle w:val="TOC1"/>
            <w:tabs>
              <w:tab w:val="clear" w:pos="9965"/>
              <w:tab w:val="right" w:pos="10079" w:leader="dot"/>
            </w:tabs>
            <w:rPr/>
          </w:pPr>
          <w:hyperlink w:anchor="__RefHeading___Toc8879_1525915568">
            <w:r>
              <w:rPr>
                <w:webHidden/>
                <w:rStyle w:val="IndexLink"/>
              </w:rPr>
              <w:t>3. Identity, certificates, keys and independent recovery</w:t>
              <w:tab/>
              <w:t>5</w:t>
            </w:r>
          </w:hyperlink>
        </w:p>
        <w:p>
          <w:pPr>
            <w:pStyle w:val="TOC1"/>
            <w:tabs>
              <w:tab w:val="clear" w:pos="9965"/>
              <w:tab w:val="right" w:pos="10079" w:leader="dot"/>
            </w:tabs>
            <w:rPr/>
          </w:pPr>
          <w:hyperlink w:anchor="__RefHeading___Toc8881_1525915568">
            <w:r>
              <w:rPr>
                <w:webHidden/>
                <w:rStyle w:val="IndexLink"/>
              </w:rPr>
              <w:t>4. Storage, copies and retained-data ownership</w:t>
              <w:tab/>
              <w:t>6</w:t>
            </w:r>
          </w:hyperlink>
        </w:p>
        <w:p>
          <w:pPr>
            <w:pStyle w:val="TOC1"/>
            <w:tabs>
              <w:tab w:val="clear" w:pos="9965"/>
              <w:tab w:val="right" w:pos="10079" w:leader="dot"/>
            </w:tabs>
            <w:rPr/>
          </w:pPr>
          <w:hyperlink w:anchor="__RefHeading___Toc8883_1525915568">
            <w:r>
              <w:rPr>
                <w:webHidden/>
                <w:rStyle w:val="IndexLink"/>
              </w:rPr>
              <w:t>5. Backup capture, independent protection and isolated restore</w:t>
              <w:tab/>
              <w:t>8</w:t>
            </w:r>
          </w:hyperlink>
        </w:p>
        <w:p>
          <w:pPr>
            <w:pStyle w:val="TOC1"/>
            <w:tabs>
              <w:tab w:val="clear" w:pos="9965"/>
              <w:tab w:val="right" w:pos="10079" w:leader="dot"/>
            </w:tabs>
            <w:rPr/>
          </w:pPr>
          <w:hyperlink w:anchor="__RefHeading___Toc8885_1525915568">
            <w:r>
              <w:rPr>
                <w:webHidden/>
                <w:rStyle w:val="IndexLink"/>
              </w:rPr>
              <w:t>6. Failure, recovery, migration and failback topology</w:t>
              <w:tab/>
              <w:t>9</w:t>
            </w:r>
          </w:hyperlink>
        </w:p>
        <w:p>
          <w:pPr>
            <w:pStyle w:val="TOC1"/>
            <w:tabs>
              <w:tab w:val="clear" w:pos="9965"/>
              <w:tab w:val="right" w:pos="10079" w:leader="dot"/>
            </w:tabs>
            <w:rPr/>
          </w:pPr>
          <w:hyperlink w:anchor="__RefHeading___Toc8887_1525915568">
            <w:r>
              <w:rPr>
                <w:webHidden/>
                <w:rStyle w:val="IndexLink"/>
              </w:rPr>
              <w:t>References — Parent basis and external context</w:t>
              <w:tab/>
              <w:t>11</w:t>
            </w:r>
          </w:hyperlink>
        </w:p>
        <w:p>
          <w:pPr>
            <w:pStyle w:val="TOC1"/>
            <w:tabs>
              <w:tab w:val="clear" w:pos="9965"/>
              <w:tab w:val="right" w:pos="10079" w:leader="dot"/>
            </w:tabs>
            <w:rPr/>
          </w:pPr>
          <w:hyperlink w:anchor="__RefHeading___Toc9353_1692646980">
            <w:r>
              <w:rPr>
                <w:webHidden/>
                <w:rStyle w:val="IndexLink"/>
              </w:rPr>
              <w:t>v1.4 — Connected infrastructure design and acceptance</w:t>
              <w:tab/>
              <w:t>12</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Heading1"/>
        <w:spacing w:before="0" w:after="120"/>
        <w:rPr/>
      </w:pPr>
      <w:bookmarkStart w:id="2" w:name="__RefHeading___Toc8875_1525915568"/>
      <w:bookmarkStart w:id="3" w:name="SVC_s_001"/>
      <w:bookmarkEnd w:id="2"/>
      <w:r>
        <w:rPr/>
        <w:t>1. Shared service placement and consumption boundaries</w:t>
      </w:r>
      <w:bookmarkEnd w:id="3"/>
    </w:p>
    <w:p>
      <w:pPr>
        <w:pStyle w:val="Normal"/>
        <w:spacing w:before="0" w:after="160"/>
        <w:rPr/>
      </w:pPr>
      <w:r>
        <w:rPr/>
        <w:t>WD §§3–7 selects a worked service-facing design: dedicated tenant-to-service handoffs, separately controlled service-edge contexts, named endpoints and origin-specific return routes. This is a proposed realization requiring actual supported service routing and authority. A shared endpoint remains a shared compromise dependency; network restrictions do not replace tenant resource entitlement or content/provenance controls.</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"RA_s_009"</w:instrText>
      </w:r>
      <w:r>
        <w:rPr>
          <w:rStyle w:val="Style"/>
          <w:u w:val="single"/>
          <w:color w:val="176B70"/>
        </w:rPr>
        <w:fldChar w:fldCharType="separate"/>
      </w:r>
      <w:r>
        <w:rPr>
          <w:rStyle w:val="Style"/>
          <w:color w:val="176B70"/>
          <w:u w:val="single"/>
        </w:rPr>
        <w:t>RA §9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p>
    <w:p>
      <w:pPr>
        <w:pStyle w:val="Normal"/>
        <w:rPr/>
      </w:pPr>
      <w:r>
        <w:rPr/>
        <w:t>A shared service has at least three architectural surfaces: the tenant-facing consumption endpoint, the backing service/data infrastructure, and the privileged administration path. They may reside on one supported appliance or several components, but their authority remains distinct. A permitted route to a service does not grant access to all data behind it or to its administrative functions. [</w:t>
      </w:r>
      <w:hyperlink w:anchor="SVC_src_B2">
        <w:r>
          <w:rPr>
            <w:rStyle w:val="Style"/>
            <w:color w:val="176B70"/>
            <w:u w:val="single"/>
          </w:rPr>
          <w:t>B2</w:t>
        </w:r>
      </w:hyperlink>
      <w:r>
        <w:rPr/>
        <w:t xml:space="preserve"> §§6, 9, 12–13]</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11"/>
        <w:gridCol w:w="4174"/>
        <w:gridCol w:w="4095"/>
      </w:tblGrid>
      <w:tr>
        <w:trPr>
          <w:tblHeader w:val="true"/>
          <w:cantSplit w:val="true"/>
        </w:trPr>
        <w:tc>
          <w:tcPr>
            <w:tcW w:w="181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Service</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Consumption and entitlement</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Administration / common dependencies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Names and time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resolver/time endpoints; requester and zone eligibility identified.</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Zone/delegation or time-source configuration; hosting, network and upstream service dependencies.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Identity and certificates</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Scoped authentication/enrolment with approved issuer and relying-party trust.</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Directory/CA roots, role policy and revocation; recovery identity and trusted time.</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Keys</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Authorized key use for selected resource/tenant scope.</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Key creation, rotation, recovery and destruction; module, custody and availability dependencies.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Logging and monitoring</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Authenticated event ingestion or explicit read/collection scope.</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Collector/search/retention configuration; storage, identity, time and ingestion capacity.</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Backup/protection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Qualified capture/data-transfer/restore interface.</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Catalogue, policy, repositories and disposal; key and consistency dependencies.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Images and updates</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signed/digested artefacts available to entitled systems.</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Build, publication, signing and retirement; staging and offline supply where required.</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File/object data</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Tenant-scoped namespace, protocol authorization and correct network boundary.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Backend/controller, copy, replication and sharing policy; keys and storage fault domains.</w:t>
            </w:r>
          </w:p>
        </w:tc>
      </w:tr>
    </w:tbl>
    <w:p>
      <w:pPr>
        <w:pStyle w:val="Normal"/>
        <w:spacing w:lineRule="auto" w:line="240" w:before="0" w:after="40"/>
        <w:rPr/>
      </w:pPr>
      <w:r>
        <w:rPr/>
      </w:r>
    </w:p>
    <w:p>
      <w:pPr>
        <w:pStyle w:val="Normal"/>
        <w:rPr/>
      </w:pPr>
      <w:r>
        <w:rPr/>
        <w:t>Zone-aligned service endpoints can reduce unnecessary trust transitions, but an additional endpoint is not an independent service replica. Record its shared backend, identity issuer, keys, certificate chain, control plane, power and storage. When a dependency fails, evaluate all endpoints and tenants relying on it rather than only the failed virtual IP.</w:t>
      </w:r>
    </w:p>
    <w:p>
      <w:pPr>
        <w:pStyle w:val="Normal"/>
        <w:rPr/>
      </w:pPr>
      <w:r>
        <w:rPr/>
        <w:t>The reference default places administration in protected management domains and exposes only the explicitly entitled data/service endpoints. Cross-zone consumption follows the applicable ZIP relationship. If a service initiates a connection toward a workload, such as a collector or backup process, that initiation is separately authorized and scoped; do not disguise it as unrestricted reverse reachability.</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099"/>
        <w:gridCol w:w="3859"/>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Placement decision</w:t>
            </w:r>
          </w:p>
        </w:tc>
        <w:tc>
          <w:tcPr>
            <w:tcW w:w="409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Selected reference rule</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Site-specific record</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Local versus remote</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 a service endpoint whose latency, resilience and location meet the offered class.</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endpoint/backend sites and outage dependencies.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Shared versus dedicated</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Share only where tenant authorization and accepted fault/privilege boundaries are preserved.</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Dedicated dimensions and residual shared administrators/controllers.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Consumption versus management</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Never publish administrative entitlement as a side effect of consuming data.</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Interface, certificate, API permission and route schedule.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Version/lifecycle</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Consumers use an accepted service version and supported transition path.</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Dependent WSD list, replacement/cutover plan and withdrawal condition.</w:t>
            </w:r>
          </w:p>
        </w:tc>
      </w:tr>
    </w:tbl>
    <w:p>
      <w:pPr>
        <w:pStyle w:val="Normal"/>
        <w:spacing w:lineRule="auto" w:line="240" w:before="0" w:after="40"/>
        <w:rPr/>
      </w:pPr>
      <w:r>
        <w:rPr/>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"NET_s_006"</w:instrText>
      </w:r>
      <w:r>
        <w:rPr>
          <w:rStyle w:val="Style"/>
          <w:u w:val="single"/>
          <w:color w:val="176B70"/>
        </w:rPr>
        <w:fldChar w:fldCharType="separate"/>
      </w:r>
      <w:r>
        <w:rPr>
          <w:rStyle w:val="Style"/>
          <w:color w:val="176B70"/>
          <w:u w:val="single"/>
        </w:rPr>
        <w:t>Administrative interface schedule</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P3 service handoffs</w:t>
      </w:r>
      <w:r>
        <w:rPr>
          <w:rStyle w:val="Style"/>
          <w:u w:val="single"/>
          <w:color w:val="176B70"/>
        </w:rPr>
        <w:fldChar w:fldCharType="end"/>
      </w:r>
    </w:p>
    <w:p>
      <w:pPr>
        <w:pStyle w:val="Heading1"/>
        <w:rPr/>
      </w:pPr>
      <w:bookmarkStart w:id="4" w:name="__RefHeading___Toc8877_1525915568"/>
      <w:bookmarkStart w:id="5" w:name="SVC_s_002"/>
      <w:bookmarkEnd w:id="4"/>
      <w:r>
        <w:rPr/>
        <w:t>2. Name, time, initialization and telemetry profiles</w:t>
      </w:r>
      <w:bookmarkEnd w:id="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"RA_s_009"</w:instrText>
      </w:r>
      <w:r>
        <w:rPr>
          <w:rStyle w:val="Style"/>
          <w:u w:val="single"/>
          <w:color w:val="176B70"/>
        </w:rPr>
        <w:fldChar w:fldCharType="separate"/>
      </w:r>
      <w:r>
        <w:rPr>
          <w:rStyle w:val="Style"/>
          <w:color w:val="176B70"/>
          <w:u w:val="single"/>
        </w:rPr>
        <w:t>RA §9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"RA_s_023"</w:instrText>
      </w:r>
      <w:r>
        <w:rPr>
          <w:rStyle w:val="Style"/>
          <w:u w:val="single"/>
          <w:color w:val="176B70"/>
        </w:rPr>
        <w:fldChar w:fldCharType="separate"/>
      </w:r>
      <w:r>
        <w:rPr>
          <w:rStyle w:val="Style"/>
          <w:color w:val="176B70"/>
          <w:u w:val="single"/>
        </w:rPr>
        <w:t>RA §23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p>
    <w:p>
      <w:pPr>
        <w:pStyle w:val="Normal"/>
        <w:rPr/>
      </w:pPr>
      <w:r>
        <w:rPr/>
        <w:t>A service-connectivity schedule records endpoint identity, initiating party, protocol behaviour, address families, authentication, route/ZIP, replies, logs and revocation. The rows below are proposed reference profiles, not a blanket port list to apply to every workload. Names and time required for secure initialization should work before activation; that does not justify unrestricted access to provider infrastructure.</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331"/>
        <w:gridCol w:w="3626"/>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profile</w:t>
            </w:r>
          </w:p>
        </w:tc>
        <w:tc>
          <w:tcPr>
            <w:tcW w:w="433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functional path</w:t>
            </w:r>
          </w:p>
        </w:tc>
        <w:tc>
          <w:tcPr>
            <w:tcW w:w="362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Control and qualification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Resolver consumption</w:t>
            </w:r>
          </w:p>
        </w:tc>
        <w:tc>
          <w:tcPr>
            <w:tcW w:w="433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Workload or infrastructure client → approved recursive resolver; DNS over UDP/53 and TCP/53 as applicable.</w:t>
            </w:r>
          </w:p>
        </w:tc>
        <w:tc>
          <w:tcPr>
            <w:tcW w:w="36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Permit intended resolver only; verify ordinary resolution, TCP and truncated-response fallback.</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Authoritative DNS update</w:t>
            </w:r>
          </w:p>
        </w:tc>
        <w:tc>
          <w:tcPr>
            <w:tcW w:w="433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Authorized address/name owner → selected authoritative update interface.</w:t>
            </w:r>
          </w:p>
        </w:tc>
        <w:tc>
          <w:tcPr>
            <w:tcW w:w="36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Separate from recursion; restrict zones/records and authenticate the selected method.</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Time synchronization</w:t>
            </w:r>
          </w:p>
        </w:tc>
        <w:tc>
          <w:tcPr>
            <w:tcW w:w="433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client → selected trusted time service using its declared protocol; ordinary NTP commonly uses UDP/123.</w:t>
            </w:r>
          </w:p>
        </w:tc>
        <w:tc>
          <w:tcPr>
            <w:tcW w:w="36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Confirm required client/server behaviour, trust and offset alarms; not arbitrary time-server access.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Image/software retrieval</w:t>
            </w:r>
          </w:p>
        </w:tc>
        <w:tc>
          <w:tcPr>
            <w:tcW w:w="433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bootstrap or workload → approved repository endpoint.</w:t>
            </w:r>
          </w:p>
        </w:tc>
        <w:tc>
          <w:tcPr>
            <w:tcW w:w="36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Required protocol/TLS identity and artefact verification; deny arbitrary external download paths.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Log ingestion</w:t>
            </w:r>
          </w:p>
        </w:tc>
        <w:tc>
          <w:tcPr>
            <w:tcW w:w="433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Named infrastructure/workload sender → authenticated collector interface on the selected service port.</w:t>
            </w:r>
          </w:p>
        </w:tc>
        <w:tc>
          <w:tcPr>
            <w:tcW w:w="36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 tenant/source identity, protect transport, minimize payload and separate search/admin permissions.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Monitoring collection</w:t>
            </w:r>
          </w:p>
        </w:tc>
        <w:tc>
          <w:tcPr>
            <w:tcW w:w="433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Explicit push endpoint or authorized collector → named monitored target.</w:t>
            </w:r>
          </w:p>
        </w:tc>
        <w:tc>
          <w:tcPr>
            <w:tcW w:w="36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Required metrics only; no broad management reachability granted to tenant workloads.</w:t>
            </w:r>
          </w:p>
        </w:tc>
      </w:tr>
    </w:tbl>
    <w:p>
      <w:pPr>
        <w:pStyle w:val="Normal"/>
        <w:spacing w:lineRule="auto" w:line="240" w:before="0" w:after="40"/>
        <w:rPr/>
      </w:pPr>
      <w:r>
        <w:rPr/>
      </w:r>
    </w:p>
    <w:p>
      <w:pPr>
        <w:pStyle w:val="Normal"/>
        <w:rPr/>
      </w:pPr>
      <w:r>
        <w:rPr/>
        <w:t>DNS needs more than a successful small UDP answer. RFC 7766 requires TCP support for general-purpose DNS implementations and describes failures caused by blocking it. Qualify TCP directly and the transition from a truncated UDP response; test the selected resolver path for each offered address family. Encrypted DNS alternatives are separate approved profiles rather than an ungoverned bypass. [</w:t>
      </w:r>
      <w:hyperlink w:anchor="SVC_src_S38">
        <w:r>
          <w:rPr>
            <w:rStyle w:val="Style"/>
            <w:color w:val="176B70"/>
            <w:u w:val="single"/>
          </w:rPr>
          <w:t>S38</w:t>
        </w:r>
      </w:hyperlink>
      <w:r>
        <w:rPr/>
        <w:t>]</w:t>
      </w:r>
    </w:p>
    <w:p>
      <w:pPr>
        <w:pStyle w:val="Normal"/>
        <w:rPr/>
      </w:pPr>
      <w:r>
        <w:rPr/>
        <w:t>Separate recursive resolution, authoritative hosting, dynamic updates and transfer/replication duties. The address/name owner controls registration and deletion; workloads do not automatically gain zone-administration authority. The lifecycle records forward/reverse entries, delegation, TTLs, leases, source address history and reuse conditions. During migration, lower or change TTLs only through an accepted cutover plan and retain rollback/recovery identity information.</w:t>
      </w:r>
    </w:p>
    <w:p>
      <w:pPr>
        <w:pStyle w:val="Normal"/>
        <w:rPr/>
      </w:pPr>
      <w:r>
        <w:rPr/>
        <w:t>A loss of trusted time can affect event correlation and certificate operation even where network forwarding continues. Record both event time and collector receipt time, clock-source health and an approved tolerance. The numeric tolerance is a site/service decision, not invented here. Define buffer capacity, export delay, sequence/loss indication, retention and alarms for telemetry; central collection failure must be visible without creating a network permit path.</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099"/>
        <w:gridCol w:w="3859"/>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Service failure</w:t>
            </w:r>
          </w:p>
        </w:tc>
        <w:tc>
          <w:tcPr>
            <w:tcW w:w="409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Existing operation</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New changes / recovery</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Resolver unavailable</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Existing sessions may continue according to their real dependencies; cached data is not a guaranteed service.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Pause changes requiring trustworthy name updates; use only the preapproved recovery resolver path.</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Time source lost</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Continue only within accepted measured offset and native behaviour.</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Alert and evaluate certificate/evidence limits; restore approved time, not arbitrary external synchronization.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Collector unavailable</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Preserve enforcement, buffer as supported and report loss/overflow.</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Apply the accepted operating restriction; do not disable logging obligations silently.</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Repository unavailable</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Existing approved images remain governed by lifecycle policy.</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 not substitute unverified images or open unrestricted egress to finish a build.</w:t>
            </w:r>
          </w:p>
        </w:tc>
      </w:tr>
    </w:tbl>
    <w:p>
      <w:pPr>
        <w:pStyle w:val="Normal"/>
        <w:spacing w:lineRule="auto" w:line="240" w:before="0" w:after="40"/>
        <w:rPr/>
      </w:pPr>
      <w:r>
        <w:rPr/>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"NET_s_004"</w:instrText>
      </w:r>
      <w:r>
        <w:rPr>
          <w:rStyle w:val="Style"/>
          <w:u w:val="single"/>
          <w:color w:val="176B70"/>
        </w:rPr>
        <w:fldChar w:fldCharType="separate"/>
      </w:r>
      <w:r>
        <w:rPr>
          <w:rStyle w:val="Style"/>
          <w:color w:val="176B70"/>
          <w:u w:val="single"/>
        </w:rPr>
        <w:t>Address-family and ownership decisions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"QUAL_s_004"</w:instrText>
      </w:r>
      <w:r>
        <w:rPr>
          <w:rStyle w:val="Style"/>
          <w:u w:val="single"/>
          <w:color w:val="176B70"/>
        </w:rPr>
        <w:fldChar w:fldCharType="separate"/>
      </w:r>
      <w:r>
        <w:rPr>
          <w:rStyle w:val="Style"/>
          <w:color w:val="176B70"/>
          <w:u w:val="single"/>
        </w:rPr>
        <w:t>Service parameter approval</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"PROV_s_004"</w:instrText>
      </w:r>
      <w:r>
        <w:rPr>
          <w:rStyle w:val="Style"/>
          <w:u w:val="single"/>
          <w:color w:val="176B70"/>
        </w:rPr>
        <w:fldChar w:fldCharType="separate"/>
      </w:r>
      <w:r>
        <w:rPr>
          <w:rStyle w:val="Style"/>
          <w:color w:val="176B70"/>
          <w:u w:val="single"/>
        </w:rPr>
        <w:t>Activation services</w:t>
      </w:r>
      <w:r>
        <w:rPr>
          <w:rStyle w:val="Style"/>
          <w:u w:val="single"/>
          <w:color w:val="176B70"/>
        </w:rPr>
        <w:fldChar w:fldCharType="end"/>
      </w:r>
    </w:p>
    <w:p>
      <w:pPr>
        <w:pStyle w:val="Heading1"/>
        <w:rPr/>
      </w:pPr>
      <w:bookmarkStart w:id="6" w:name="__RefHeading___Toc8879_1525915568"/>
      <w:bookmarkStart w:id="7" w:name="SVC_s_003"/>
      <w:bookmarkEnd w:id="6"/>
      <w:r>
        <w:rPr/>
        <w:t>3. Identity, certificates, keys and independent recovery</w:t>
      </w:r>
      <w:bookmarkEnd w:id="7"/>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p>
    <w:p>
      <w:pPr>
        <w:pStyle w:val="Normal"/>
        <w:rPr/>
      </w:pPr>
      <w:r>
        <w:rPr/>
        <w:t>Human operators, provisioning executors, workload identities and recovery custodians have different target scopes and lifetimes. Federation establishes identity, while the target service enforces authorization. Network access remains a separate decision. Record the issuer, role mapping, permitted resource operations, credential/session lifetime, revocation propagation and emergency authority. Avoid reusing an infrastructure administrator credential inside a tenant workload. [</w:t>
      </w:r>
      <w:hyperlink w:anchor="SVC_src_B2">
        <w:r>
          <w:rPr>
            <w:rStyle w:val="Style"/>
            <w:color w:val="176B70"/>
            <w:u w:val="single"/>
          </w:rPr>
          <w:t>B2</w:t>
        </w:r>
      </w:hyperlink>
      <w:r>
        <w:rPr/>
        <w:t xml:space="preserve"> §§6, 13]</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099"/>
        <w:gridCol w:w="3859"/>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Trust operation</w:t>
            </w:r>
          </w:p>
        </w:tc>
        <w:tc>
          <w:tcPr>
            <w:tcW w:w="409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authority boundary</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Failure/recovery question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Authenticate / issue workload credential</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 service grants only the requested tenant/service scope.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Can existing tokens persist after revocation, and how is their remaining validity bounded?</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Issue/renew service certificate</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PKI owner validates service identity and controls issuing scope.</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Can renewal and trust distribution survive primary management loss?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 encryption key</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Service uses the key only for authorized resources and context.</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What can run with cached keys, and what cannot restart or attach without KMS?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Administer/rotate key</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Key administrator controls version/lifecycle separately from ordinary data operations.</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Can rotation preserve access to all retained copies and their key versions?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Recover keys/trust</w:t>
            </w:r>
          </w:p>
        </w:tc>
        <w:tc>
          <w:tcPr>
            <w:tcW w:w="409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Designated custodians use a protected, tested recovery path.</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Does recovery require the same encrypted platform that is unavailable?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Destroy key</w:t>
            </w:r>
          </w:p>
        </w:tc>
        <w:tc>
          <w:tcPr>
            <w:tcW w:w="409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data disposition and proven key/copy scope precede destruction.</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Would destruction make a held copy unrecoverable or affect another tenant?</w:t>
            </w:r>
          </w:p>
        </w:tc>
      </w:tr>
    </w:tbl>
    <w:p>
      <w:pPr>
        <w:pStyle w:val="Normal"/>
        <w:spacing w:lineRule="auto" w:line="240" w:before="0" w:after="40"/>
        <w:rPr/>
      </w:pPr>
      <w:r>
        <w:rPr/>
      </w:r>
    </w:p>
    <w:p>
      <w:pPr>
        <w:pStyle w:val="Normal"/>
        <w:rPr/>
      </w:pPr>
      <w:r>
        <w:rPr/>
        <w:t>The cryptographic profile points to the adopted algorithm guidance and secure protocol configuration separately. ITSP.40.111 provides the algorithm context; ITSP.40.062 addresses protocol configuration. A current algorithm name alone does not establish correct TLS, SSH or other protocol settings, endpoint identity validation or a product’s validated operating mode. The selected implementation and approved exceptions remain part of its evidence. [</w:t>
      </w:r>
      <w:hyperlink w:anchor="SVC_src_S10">
        <w:r>
          <w:rPr>
            <w:rStyle w:val="Style"/>
            <w:color w:val="176B70"/>
            <w:u w:val="single"/>
          </w:rPr>
          <w:t>S10</w:t>
        </w:r>
      </w:hyperlink>
      <w:r>
        <w:rPr/>
        <w:t xml:space="preserve">; </w:t>
      </w:r>
      <w:hyperlink w:anchor="SVC_src_S39">
        <w:r>
          <w:rPr>
            <w:rStyle w:val="Style"/>
            <w:color w:val="176B70"/>
            <w:u w:val="single"/>
          </w:rPr>
          <w:t>S39</w:t>
        </w:r>
      </w:hyperlink>
      <w:r>
        <w:rPr/>
        <w:t>]</w:t>
      </w:r>
    </w:p>
    <w:p>
      <w:pPr>
        <w:pStyle w:val="Normal"/>
        <w:rPr/>
      </w:pPr>
      <w:r>
        <w:rPr/>
        <w:t>Record the location and administrative control of data keys, infrastructure keys, backup keys, signing keys and trust roots. Those are different roles, not necessarily one product. The architecture does not force key material into Terraform state; reference the approved service and let the authorized execution mechanism obtain only the necessary credential or operation. Unavoidable secret-bearing configuration/state is protected according to its actual sensitivity.</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252"/>
        <w:gridCol w:w="3705"/>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Recovery dependency</w:t>
            </w:r>
          </w:p>
        </w:tc>
        <w:tc>
          <w:tcPr>
            <w:tcW w:w="425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Selected reference approach</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proof</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Identity/PAM outage</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Controlled emergency identity with limited target scope and recorded custody.</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Normal federation absent; access remains authenticated, auditable and revocable.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KMS unavailable</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plaintext or replacement-key fallback; native cache/restart behaviour is declared.</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Existing I/O, new boot/attachment and restore outcomes observed.</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PKI or trust service failure</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Preserve approved trust and follow defined renewal/revocation continuity.</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Expired/untrusted peer rejected; recovery does not disable validation.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Primary management lost</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Minimum key/state/catalogue/trust recovery reachable outside the failed dependency.</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Recover essential foundations in the approved order and reconcile temporary grants.</w:t>
            </w:r>
          </w:p>
        </w:tc>
      </w:tr>
    </w:tbl>
    <w:p>
      <w:pPr>
        <w:pStyle w:val="Normal"/>
        <w:spacing w:lineRule="auto" w:line="240" w:before="0" w:after="40"/>
        <w:rPr/>
      </w:pPr>
      <w:r>
        <w:rPr/>
      </w:r>
    </w:p>
    <w:p>
      <w:pPr>
        <w:pStyle w:val="Normal"/>
        <w:rPr/>
      </w:pPr>
      <w:r>
        <w:rPr/>
        <w:t>Do not invent cryptoperiods or universal retention durations in this guide. The service/data/security owners select actual values with current source applicability, retained-data obligations and measured recovery feasibility. Independent recovery does not mean unrestricted duplicate administrators; it means a defined, surviving and accountable path.</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"NET_s_006"</w:instrText>
      </w:r>
      <w:r>
        <w:rPr>
          <w:rStyle w:val="Style"/>
          <w:u w:val="single"/>
          <w:color w:val="176B70"/>
        </w:rPr>
        <w:fldChar w:fldCharType="separate"/>
      </w:r>
      <w:r>
        <w:rPr>
          <w:rStyle w:val="Style"/>
          <w:color w:val="176B70"/>
          <w:u w:val="single"/>
        </w:rPr>
        <w:t>Privileged target paths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"QUAL_s_004"</w:instrText>
      </w:r>
      <w:r>
        <w:rPr>
          <w:rStyle w:val="Style"/>
          <w:u w:val="single"/>
          <w:color w:val="176B70"/>
        </w:rPr>
        <w:fldChar w:fldCharType="separate"/>
      </w:r>
      <w:r>
        <w:rPr>
          <w:rStyle w:val="Style"/>
          <w:color w:val="176B70"/>
          <w:u w:val="single"/>
        </w:rPr>
        <w:t>Parameter and custody decisions</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"PROV_s_002"</w:instrText>
      </w:r>
      <w:r>
        <w:rPr>
          <w:rStyle w:val="Style"/>
          <w:u w:val="single"/>
          <w:color w:val="176B70"/>
        </w:rPr>
        <w:fldChar w:fldCharType="separate"/>
      </w:r>
      <w:r>
        <w:rPr>
          <w:rStyle w:val="Style"/>
          <w:color w:val="176B70"/>
          <w:u w:val="single"/>
        </w:rPr>
        <w:t>Bootstrap transfer</w:t>
      </w:r>
      <w:r>
        <w:rPr>
          <w:rStyle w:val="Style"/>
          <w:u w:val="single"/>
          <w:color w:val="176B70"/>
        </w:rPr>
        <w:fldChar w:fldCharType="end"/>
      </w:r>
    </w:p>
    <w:p>
      <w:pPr>
        <w:pStyle w:val="Heading1"/>
        <w:rPr/>
      </w:pPr>
      <w:bookmarkStart w:id="8" w:name="__RefHeading___Toc8881_1525915568"/>
      <w:bookmarkStart w:id="9" w:name="SVC_s_004"/>
      <w:bookmarkEnd w:id="8"/>
      <w:r>
        <w:rPr/>
        <w:t>4. Storage, copies and retained-data ownership</w:t>
      </w:r>
      <w:bookmarkEnd w:id="9"/>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"RA_s_011"</w:instrText>
      </w:r>
      <w:r>
        <w:rPr>
          <w:rStyle w:val="Style"/>
          <w:u w:val="single"/>
          <w:color w:val="176B70"/>
        </w:rPr>
        <w:fldChar w:fldCharType="separate"/>
      </w:r>
      <w:r>
        <w:rPr>
          <w:rStyle w:val="Style"/>
          <w:color w:val="176B70"/>
          <w:u w:val="single"/>
        </w:rPr>
        <w:t>RA §11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Normal"/>
        <w:rPr/>
      </w:pPr>
      <w:r>
        <w:rPr/>
        <w:t>A virtual disk has a different data path from a guest file or object client. The first is mediated by the hypervisor/storage stack; the second sends packets through the guest network and service boundary. Backend replication, rebuild and snapshot orchestration are additional provider paths. A single firewall rule cannot stand in for storage attachment, copy authorization and key scope. [</w:t>
      </w:r>
      <w:hyperlink w:anchor="SVC_src_B2">
        <w:r>
          <w:rPr>
            <w:rStyle w:val="Style"/>
            <w:color w:val="176B70"/>
            <w:u w:val="single"/>
          </w:rPr>
          <w:t>B2</w:t>
        </w:r>
      </w:hyperlink>
      <w:r>
        <w:rPr/>
        <w:t xml:space="preserve"> §12]</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410"/>
        <w:gridCol w:w="3705"/>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Operation</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Authoritative resource record</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security outcome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Provision/attach disk</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Owner/WSD/domain eligibility, backend object, target endpoint and key context.</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Foreign attachment denied; allowed attachment does not expose array management.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File/object access</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 namespace, service identity, protocol ACL/policy and endpoint.</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access plus data entitlement; no cross-tenant enumeration by default.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Snapshot/clone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Parent object, creation/consistency point, new owner and intended destination.</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Category, location, key and retention constraints survive copying.</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Replicate/tier</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Source, destination, consistency mode, location and failure dependencies.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Only approved locations/owners; capacity and key access support recovery.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Export/import</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format/subset, integrity record, target authorization and ACL/identity mapping.</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implicit downgrade or assumption that format conversion restores a working service.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Retire/reuse</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All known copies, hold/retention, method, key exclusivity and verifying authority.</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premature loss of retained recovery; no prior tenant data accessible on reassignment.</w:t>
            </w:r>
          </w:p>
        </w:tc>
      </w:tr>
    </w:tbl>
    <w:p>
      <w:pPr>
        <w:pStyle w:val="Normal"/>
        <w:spacing w:lineRule="auto" w:line="240" w:before="0" w:after="40"/>
        <w:rPr/>
      </w:pPr>
      <w:r>
        <w:rPr/>
      </w:r>
    </w:p>
    <w:p>
      <w:pPr>
        <w:pStyle w:val="Normal"/>
        <w:rPr/>
      </w:pPr>
      <w:r>
        <w:rPr/>
        <w:t>The example ledger below is symbolic: no real volume, backup or key has been created. It demonstrates why stopping a WSD and deleting all of its data are different completion states.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11"/>
        <w:gridCol w:w="4249"/>
        <w:gridCol w:w="4019"/>
      </w:tblGrid>
      <w:tr>
        <w:trPr>
          <w:tblHeader w:val="true"/>
          <w:cantSplit w:val="true"/>
        </w:trPr>
        <w:tc>
          <w:tcPr>
            <w:tcW w:w="181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Copy identity</w:t>
            </w:r>
          </w:p>
        </w:tc>
        <w:tc>
          <w:tcPr>
            <w:tcW w:w="424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Lineage and scope</w:t>
            </w:r>
          </w:p>
        </w:tc>
        <w:tc>
          <w:tcPr>
            <w:tcW w:w="401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Disposition after WSD-01 retirement</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VOL-01R</w:t>
            </w:r>
          </w:p>
        </w:tc>
        <w:tc>
          <w:tcPr>
            <w:tcW w:w="424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Owned virtual data disk for data-01 in D01R; key context K-01.</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Stop live use and dispose only under approved retention/sanitization decision.</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SNAP-01R-a</w:t>
            </w:r>
          </w:p>
        </w:tc>
        <w:tc>
          <w:tcPr>
            <w:tcW w:w="424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Snapshot derived from VOL-01R; inherited category/location/key conditions.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Remove or retain with explicit owner and expiry; do not lose it from inventory.</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BKP-01R-a</w:t>
            </w:r>
          </w:p>
        </w:tc>
        <w:tc>
          <w:tcPr>
            <w:tcW w:w="424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Protected recovery copy captured through accepted method; catalogue CAT-01.</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May outlive live WSD; preserve K-01 or required recoverable key version and catalogue access.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REP-01R-a</w:t>
            </w:r>
          </w:p>
        </w:tc>
        <w:tc>
          <w:tcPr>
            <w:tcW w:w="424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Optional approved recovery-site copy, only when that service is offered.</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Record writer role and fencing; no accidental concurrent writable source/target.</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HOLD-01</w:t>
            </w:r>
          </w:p>
        </w:tc>
        <w:tc>
          <w:tcPr>
            <w:tcW w:w="424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Illustrative retained-copy obligation assigned to the data owner.</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Blocks affected disposal, not necessarily retirement of all live compute.</w:t>
            </w:r>
          </w:p>
        </w:tc>
      </w:tr>
    </w:tbl>
    <w:p>
      <w:pPr>
        <w:pStyle w:val="Normal"/>
        <w:spacing w:lineRule="auto" w:line="240" w:before="0" w:after="40"/>
        <w:rPr/>
      </w:pPr>
      <w:r>
        <w:rPr/>
      </w:r>
    </w:p>
    <w:p>
      <w:pPr>
        <w:pStyle w:val="Normal"/>
        <w:rPr/>
      </w:pPr>
      <w:r>
        <w:rPr/>
        <w:t>The ledger contains actual copy locations, access identities, encryption/key versions, creation/consistency point, retention or hold authority, and the operational owner who can recover it. A volume name or WSD tag alone is not sufficient where copies are exported or retained outside the primary platform. Shared-key destruction is not an acceptable proxy for deleting one tenant’s eligible copy.</w:t>
      </w:r>
    </w:p>
    <w:p>
      <w:pPr>
        <w:pStyle w:val="Normal"/>
        <w:rPr/>
      </w:pPr>
      <w:r>
        <w:rPr/>
        <w:t>For disposal, use an approved media-appropriate method and record its scope, verification, remaining copies and exceptions. NIST SP 800-88 Revision 2 is retained as supporting technical guidance, not a replacement for applicable organizational media handling. Deletion of a control-plane record alone does not demonstrate that all data was sanitized. [</w:t>
      </w:r>
      <w:hyperlink w:anchor="SVC_src_B2">
        <w:r>
          <w:rPr>
            <w:rStyle w:val="Style"/>
            <w:color w:val="176B70"/>
            <w:u w:val="single"/>
          </w:rPr>
          <w:t>B2</w:t>
        </w:r>
      </w:hyperlink>
      <w:r>
        <w:rPr/>
        <w:t xml:space="preserve"> §12; </w:t>
      </w:r>
      <w:hyperlink w:anchor="SVC_src_S27">
        <w:r>
          <w:rPr>
            <w:rStyle w:val="Style"/>
            <w:color w:val="176B70"/>
            <w:u w:val="single"/>
          </w:rPr>
          <w:t>S27</w:t>
        </w:r>
      </w:hyperlink>
      <w:r>
        <w:rPr/>
        <w:t>]</w:t>
      </w:r>
    </w:p>
    <w:p>
      <w:pPr>
        <w:pStyle w:val="Navigation"/>
        <w:rPr/>
      </w:pPr>
      <w:r>
        <w:rPr/>
        <w:t xml:space="preserve">Related engineering: </w:t>
      </w:r>
      <w:hyperlink w:anchor="SVC_s_005">
        <w:r>
          <w:rPr>
            <w:rStyle w:val="Style"/>
            <w:color w:val="176B70"/>
            <w:u w:val="single"/>
          </w:rPr>
          <w:t>Capture and restore architecture</w:t>
        </w:r>
      </w:hyperlink>
      <w:r>
        <w:rPr/>
        <w:t xml:space="preserve">  •  </w:t>
      </w:r>
      <w:r>
        <w:fldChar w:fldCharType="begin"/>
      </w:r>
      <w:r>
        <w:rPr>
          <w:rStyle w:val="Style"/>
          <w:u w:val="single"/>
          <w:color w:val="176B70"/>
        </w:rPr>
        <w:instrText xml:space="preserve"> HYPERLINK "04_Provisioning_and_Commissioning_v1_4.docx" \l "PROV_s_006"</w:instrText>
      </w:r>
      <w:r>
        <w:rPr>
          <w:rStyle w:val="Style"/>
          <w:u w:val="single"/>
          <w:color w:val="176B70"/>
        </w:rPr>
        <w:fldChar w:fldCharType="separate"/>
      </w:r>
      <w:r>
        <w:rPr>
          <w:rStyle w:val="Style"/>
          <w:color w:val="176B70"/>
          <w:u w:val="single"/>
        </w:rPr>
        <w:t>Retirement sequence</w:t>
      </w:r>
      <w:r>
        <w:rPr>
          <w:rStyle w:val="Style"/>
          <w:u w:val="single"/>
          <w:color w:val="176B70"/>
        </w:rPr>
        <w:fldChar w:fldCharType="end"/>
      </w:r>
    </w:p>
    <w:p>
      <w:pPr>
        <w:pStyle w:val="Heading1"/>
        <w:rPr/>
      </w:pPr>
      <w:bookmarkStart w:id="10" w:name="__RefHeading___Toc8883_1525915568"/>
      <w:bookmarkStart w:id="11" w:name="SVC_s_005"/>
      <w:bookmarkEnd w:id="10"/>
      <w:r>
        <w:rPr/>
        <w:t>5. Backup capture, independent protection and isolated restore</w:t>
      </w:r>
      <w:bookmarkEnd w:id="11"/>
    </w:p>
    <w:p>
      <w:pPr>
        <w:pStyle w:val="Normal"/>
        <w:spacing w:before="0" w:after="160"/>
        <w:rPr/>
      </w:pPr>
      <w:r>
        <w:rPr/>
        <w:t>The promised restore and recovery capability is part of readiness before the corresponding production service is activated. Later recurring exercises maintain that assurance; they are not a reason to accept an unproved initial service promise. The gate dependency is defined in WD §9 and QUAL.</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Normal"/>
        <w:rPr/>
      </w:pPr>
      <w:r>
        <w:rPr/>
        <w:t>Backup architecture has an orchestration path, a data path, a repository/copy path and a restoration path. A proxy may call a platform management API for snapshot orchestration while moving data through a different supported interface. That does not grant the tenant guest access to the management API. Capture methods are selected for the actual platform, consistency requirement and supported protection product; no universal API/agent mode is assumed. [</w:t>
      </w:r>
      <w:hyperlink w:anchor="SVC_src_B2">
        <w:r>
          <w:rPr>
            <w:rStyle w:val="Style"/>
            <w:color w:val="176B70"/>
            <w:u w:val="single"/>
          </w:rPr>
          <w:t>B2</w:t>
        </w:r>
      </w:hyperlink>
      <w:r>
        <w:rPr/>
        <w:t xml:space="preserve"> §§12, 22]</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256"/>
        <w:gridCol w:w="3859"/>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Backup plane</w:t>
            </w:r>
          </w:p>
        </w:tc>
        <w:tc>
          <w:tcPr>
            <w:tcW w:w="425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boundary</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Key design record</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Capture orchestration</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Scoped protection identity to the required platform/guest interface.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Permitted snapshot/quiesce/read operations, exact target scope and credential lifecycle.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 transfer</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agent/proxy/data-mover connection; direction and performance declared.</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path, source/destination identity, encryption and necessary temporary access.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Repository and copy protection</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Recovery copy isolated from routine production destruction where required.</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Immutability/retention mechanism, custodians, location, keys and accessible catalogue.</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Restore administration</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Separate authorized recovery operation and target selection.</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 owner, consistency point, eligible target domain/pool and activation authority.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Restored service</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Initially isolated endpoint/data attachments with approved essential services.</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Integrity, risk posture, identity/key renewal, application/data acceptance and measured timing.</w:t>
            </w:r>
          </w:p>
        </w:tc>
      </w:tr>
    </w:tbl>
    <w:p>
      <w:pPr>
        <w:pStyle w:val="Normal"/>
        <w:spacing w:lineRule="auto" w:line="240" w:before="0" w:after="40"/>
        <w:rPr/>
      </w:pPr>
      <w:r>
        <w:rPr/>
      </w:r>
    </w:p>
    <w:p>
      <w:pPr>
        <w:pStyle w:val="Normal"/>
        <w:rPr/>
      </w:pPr>
      <w:r>
        <w:rPr/>
        <w:t>A protected copy is not independent merely because it has a different name or repository. Examine whether a compromised production administrator can delete it, shorten retention, destroy its key or remove the only catalogue. Record which protections are technically enforced and which are custodial/operational. Recovery access must remain possible for authorized owners without granting routine production credentials those destructive powers.</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174"/>
        <w:gridCol w:w="3941"/>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Restore step</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Deliverable</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Acceptance observation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Choose and authorize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Owner-approved copy and recoverable consistency point; target eligible under same security/location rules.</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Catalogue, key and copy integrity accessible through trusted recovery path.</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Prepare isolated target</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Denied/quarantined target domains and owned compute/storage; essential services only.</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accidental production or cross-tenant connection.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Recover data and configuration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restore with retained ownership and appropriate drivers/boot/identity.</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Useful data/consistency markers, correct target access and key context.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Validate service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checks plus accountable workload/data-owner functional acceptance.</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RPO at recovered consistent point and RTO at agreed service boundary measured.</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Reconnect deliberately</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routes/names/exposure changed after isolation and consistency acceptance.</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post-activation path works; old writer/session authority controlled.</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Close or retain exercise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Temporary connections/credentials removed and recovery evidence stored.</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orphan grants/copies; remaining retained test data explicitly owned.</w:t>
            </w:r>
          </w:p>
        </w:tc>
      </w:tr>
    </w:tbl>
    <w:p>
      <w:pPr>
        <w:pStyle w:val="Normal"/>
        <w:spacing w:lineRule="auto" w:line="240" w:before="0" w:after="40"/>
        <w:rPr/>
      </w:pPr>
      <w:r>
        <w:rPr/>
      </w:r>
    </w:p>
    <w:p>
      <w:pPr>
        <w:pStyle w:val="Normal"/>
        <w:rPr/>
      </w:pPr>
      <w:r>
        <w:rPr/>
        <w:t>The parent requires useful restore evidence, not simply a successful backup job. The service class must define whether the claim is crash-consistent, application-consistent or another approved recovery point. Infrastructure staff cannot infer business correctness from a booting VM. A named workload/data owner accepts the restored content without turning this guide into the design of that application.</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"QUAL_s_004"</w:instrText>
      </w:r>
      <w:r>
        <w:rPr>
          <w:rStyle w:val="Style"/>
          <w:u w:val="single"/>
          <w:color w:val="176B70"/>
        </w:rPr>
        <w:fldChar w:fldCharType="separate"/>
      </w:r>
      <w:r>
        <w:rPr>
          <w:rStyle w:val="Style"/>
          <w:color w:val="176B70"/>
          <w:u w:val="single"/>
        </w:rPr>
        <w:t>RTO/RPO and retention decisions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Recovery qualification scope</w:t>
      </w:r>
      <w:r>
        <w:rPr>
          <w:rStyle w:val="Style"/>
          <w:u w:val="single"/>
          <w:color w:val="176B70"/>
        </w:rPr>
        <w:fldChar w:fldCharType="end"/>
      </w:r>
    </w:p>
    <w:p>
      <w:pPr>
        <w:pStyle w:val="Heading1"/>
        <w:rPr/>
      </w:pPr>
      <w:bookmarkStart w:id="12" w:name="__RefHeading___Toc8885_1525915568"/>
      <w:bookmarkStart w:id="13" w:name="SVC_s_006"/>
      <w:bookmarkEnd w:id="12"/>
      <w:r>
        <w:rPr/>
        <w:t>6. Failure, recovery, migration and failback topology</w:t>
      </w:r>
      <w:bookmarkEnd w:id="1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Normal"/>
        <w:rPr/>
      </w:pPr>
      <w:r>
        <w:rPr/>
        <w:t>Recovery follows the dependency and authority graph, not just the order in which VMs appear in inventory. Declare the failure scope, prevent ambiguous writers, and establish trusted management before restoring dependent platforms and workloads. A control-plane outage, security-edge outage, storage partition and complete site loss have different effects. The actual versioned implementation must support the claimed behaviour. [</w:t>
      </w:r>
      <w:hyperlink w:anchor="SVC_src_B2">
        <w:r>
          <w:rPr>
            <w:rStyle w:val="Style"/>
            <w:color w:val="176B70"/>
            <w:u w:val="single"/>
          </w:rPr>
          <w:t>B2</w:t>
        </w:r>
      </w:hyperlink>
      <w:r>
        <w:rPr/>
        <w:t xml:space="preserve"> §§14, 27]</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178"/>
        <w:gridCol w:w="3780"/>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Failure scenario</w:t>
            </w:r>
          </w:p>
        </w:tc>
        <w:tc>
          <w:tcPr>
            <w:tcW w:w="417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secure operating state</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Recovery authority and dependency</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Primary management/control lost</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new untracked changes; existing workload behaviour only as proven by the selected stack.</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Management owner restores independent trust/access and reconciles native state.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Security edge member/path lost</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Remaining qualified path enforces policy; otherwise affected traffic fails closed.</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Edge owner restores routing/session ownership without introducing a bypass.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Storage/network partition</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 not promote a second writer on ambiguous ownership.</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Data/platform owner establishes fencing, quorum and selected recoverable state.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KMS/identity/name dependency lost</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uncontrolled substitute credentials, plaintext or guessed name/address allocation.</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Relevant service owner invokes approved continuity/recovery path.</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lost</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Recover in an already authorized target footprint; no emergency route leaking.</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Incident/continuity authority coordinates data, trust, platform and exposure owners.</w:t>
            </w:r>
          </w:p>
        </w:tc>
      </w:tr>
    </w:tbl>
    <w:p>
      <w:pPr>
        <w:pStyle w:val="Normal"/>
        <w:spacing w:lineRule="auto" w:line="240" w:before="0" w:after="40"/>
        <w:rPr/>
      </w:pPr>
      <w:r>
        <w:rPr/>
      </w:r>
    </w:p>
    <w:p>
      <w:pPr>
        <w:pStyle w:val="Normal"/>
        <w:rPr/>
      </w:pPr>
      <w:r>
        <w:rPr/>
        <w:t>The dependency order is: authority and writer exclusion; independent console/privileged access and minimum time/name/trust/key access; trusted configuration/state/catalogue recovery; transport/platform/storage baseline; edge and necessary service endpoints under deny; data and endpoints in approved recovery domains; positive/negative and recovered-data acceptance; controlled exposure/name activation; observation and cleanup. Some tasks can run in parallel, but a dependent activation cannot precede its accepted prerequisite.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327"/>
        <w:gridCol w:w="3548"/>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Migration/failback milestone</w:t>
            </w:r>
          </w:p>
        </w:tc>
        <w:tc>
          <w:tcPr>
            <w:tcW w:w="432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decision</w:t>
            </w:r>
          </w:p>
        </w:tc>
        <w:tc>
          <w:tcPr>
            <w:tcW w:w="354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Unsafe shortcut to exclude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Target preparation</w:t>
            </w:r>
          </w:p>
        </w:tc>
        <w:tc>
          <w:tcPr>
            <w:tcW w:w="432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Same security/service constraints; supported image/data compatibility and enough surviving capacity.</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 an ineligible host or weaker boundary because the target is temporary.</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Transfer window</w:t>
            </w:r>
          </w:p>
        </w:tc>
        <w:tc>
          <w:tcPr>
            <w:tcW w:w="432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endpoints/protocol, consistency method, bandwidth and temporary-access expiry.</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permanent shared migration VRF connecting unrelated domains by default.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Final consistency and cutover</w:t>
            </w:r>
          </w:p>
        </w:tc>
        <w:tc>
          <w:tcPr>
            <w:tcW w:w="432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Record last recoverable point, exclude old writer, verify target and switch controlled names/exposure.</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Assume two independent writable copies are safe because both are reachable.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Post-target writes</w:t>
            </w:r>
          </w:p>
        </w:tc>
        <w:tc>
          <w:tcPr>
            <w:tcW w:w="432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 owner decides forward repair, reverse synchronization or another restore.</w:t>
            </w:r>
          </w:p>
        </w:tc>
        <w:tc>
          <w:tcPr>
            <w:tcW w:w="354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Revert to stale source by restarting it or restoring an old state file.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Failback and cleanup</w:t>
            </w:r>
          </w:p>
        </w:tc>
        <w:tc>
          <w:tcPr>
            <w:tcW w:w="432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New consistency point, reverse direction, accepted source health and withdrawal of obsolete access/copies.</w:t>
            </w:r>
          </w:p>
        </w:tc>
        <w:tc>
          <w:tcPr>
            <w:tcW w:w="354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Leave temporary keys, routes, permissions or old external endpoints active.</w:t>
            </w:r>
          </w:p>
        </w:tc>
      </w:tr>
    </w:tbl>
    <w:p>
      <w:pPr>
        <w:pStyle w:val="Normal"/>
        <w:spacing w:lineRule="auto" w:line="240" w:before="0" w:after="40"/>
        <w:rPr/>
      </w:pPr>
      <w:r>
        <w:rPr/>
      </w:r>
    </w:p>
    <w:p>
      <w:pPr>
        <w:pStyle w:val="Normal"/>
        <w:rPr/>
      </w:pPr>
      <w:r>
        <w:rPr/>
        <w:t>Persistent hypervisor mobility and storage replication transports may remain after the migration. Temporary cross-domain transfer grants do not. Track these separately in the interface and lifecycle records so cleanup does not break normal platform operation or leave an enduring transition bypass. Measure recovery and exit effort against the service definition; record excluded dependencies and actual breaches honestly.</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Stateful failure paths</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"PROV_s_002"</w:instrText>
      </w:r>
      <w:r>
        <w:rPr>
          <w:rStyle w:val="Style"/>
          <w:u w:val="single"/>
          <w:color w:val="176B70"/>
        </w:rPr>
        <w:fldChar w:fldCharType="separate"/>
      </w:r>
      <w:r>
        <w:rPr>
          <w:rStyle w:val="Style"/>
          <w:color w:val="176B70"/>
          <w:u w:val="single"/>
        </w:rPr>
        <w:t>Independent bootstrap</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Failure and portability qualification</w:t>
      </w:r>
      <w:r>
        <w:rPr>
          <w:rStyle w:val="Style"/>
          <w:u w:val="single"/>
          <w:color w:val="176B70"/>
        </w:rPr>
        <w:fldChar w:fldCharType="end"/>
      </w:r>
      <w:r>
        <w:br w:type="page"/>
      </w:r>
    </w:p>
    <w:p>
      <w:pPr>
        <w:pStyle w:val="Heading1"/>
        <w:spacing w:before="0" w:after="120"/>
        <w:rPr/>
      </w:pPr>
      <w:bookmarkStart w:id="14" w:name="__RefHeading___Toc8887_1525915568"/>
      <w:bookmarkStart w:id="15" w:name="SVC_app_References"/>
      <w:bookmarkEnd w:id="14"/>
      <w:r>
        <w:rPr/>
        <w:t>References — Parent basis and external context</w:t>
      </w:r>
      <w:bookmarkEnd w:id="15"/>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16" w:name="SVC_src_B2"/>
      <w:r>
        <w:rPr/>
        <w:t>B2 — Portable Secure Hosting — Infrastructure Reference Architecture and Cross-Platform Provisioning Strategy, Draft v1.2</w:t>
      </w:r>
      <w:bookmarkEnd w:id="16"/>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rPr/>
      </w:pPr>
      <w:r>
        <w:rPr/>
        <w:t>Source file: Portable_Secure_Hosting_Infrastructure_Architecture_v1_2.docx. Complete baseline fingerprint is in registers/release_manifest.json.</w:t>
      </w:r>
    </w:p>
    <w:p>
      <w:pPr>
        <w:pStyle w:val="Heading2"/>
        <w:rPr/>
      </w:pPr>
      <w:bookmarkStart w:id="17" w:name="SVC_src_S10"/>
      <w:r>
        <w:rPr/>
        <w:t>S10 — ITSP.40.111 - Cryptographic algorithms for Unclassified, Protected A and Protected B information, version 5</w:t>
      </w:r>
      <w:bookmarkEnd w:id="17"/>
    </w:p>
    <w:p>
      <w:pPr>
        <w:pStyle w:val="Small"/>
        <w:rPr/>
      </w:pPr>
      <w:r>
        <w:rPr/>
        <w:t>Effective 2026-05-29 | Cyber Centre cryptographic guidance</w:t>
      </w:r>
    </w:p>
    <w:p>
      <w:pPr>
        <w:pStyle w:val="Small"/>
        <w:rPr/>
      </w:pPr>
      <w:r>
        <w:rPr/>
        <w:t>Use a versioned cryptographic profile and migration inventory; a fixed legacy algorithm list is insufficient.</w:t>
      </w:r>
    </w:p>
    <w:p>
      <w:pPr>
        <w:pStyle w:val="Small"/>
        <w:rPr/>
      </w:pPr>
      <w:r>
        <w:rPr/>
        <w:t>Review status: Full official page reviewed: versioned algorithm guidance; no product validation asserted.</w:t>
      </w:r>
    </w:p>
    <w:p>
      <w:pPr>
        <w:pStyle w:val="Small"/>
        <w:rPr/>
      </w:pPr>
      <w:hyperlink r:id="rId2">
        <w:r>
          <w:rPr>
            <w:rStyle w:val="Style"/>
            <w:color w:val="176B70"/>
            <w:u w:val="single"/>
          </w:rPr>
          <w:t>Open official source — ITSP.40.111 - Cryptographic algorithms for Unclassified, Protected A and Protected B information, version 5</w:t>
        </w:r>
      </w:hyperlink>
    </w:p>
    <w:p>
      <w:pPr>
        <w:pStyle w:val="Heading2"/>
        <w:rPr/>
      </w:pPr>
      <w:bookmarkStart w:id="18" w:name="SVC_src_S27"/>
      <w:r>
        <w:rPr/>
        <w:t>S27 — NIST SP 800-88 Revision 2 - Guidelines for Media Sanitization</w:t>
      </w:r>
      <w:bookmarkEnd w:id="18"/>
    </w:p>
    <w:p>
      <w:pPr>
        <w:pStyle w:val="Small"/>
        <w:rPr/>
      </w:pPr>
      <w:r>
        <w:rPr/>
        <w:t>Final 2025 | Supporting technical guidance; GC tailoring required</w:t>
      </w:r>
    </w:p>
    <w:p>
      <w:pPr>
        <w:pStyle w:val="Small"/>
        <w:rPr/>
      </w:pPr>
      <w:r>
        <w:rPr/>
        <w:t>Sanitization methods and verification; use applicable GC media-handling rules and approved technical methods.</w:t>
      </w:r>
    </w:p>
    <w:p>
      <w:pPr>
        <w:pStyle w:val="Small"/>
        <w:rPr/>
      </w:pPr>
      <w:r>
        <w:rPr/>
        <w:t>Review status: Inherited baseline reference; not independently reverified in this release.</w:t>
      </w:r>
    </w:p>
    <w:p>
      <w:pPr>
        <w:pStyle w:val="Small"/>
        <w:rPr/>
      </w:pPr>
      <w:hyperlink r:id="rId3">
        <w:r>
          <w:rPr>
            <w:rStyle w:val="Style"/>
            <w:color w:val="176B70"/>
            <w:u w:val="single"/>
          </w:rPr>
          <w:t>Open official source — NIST SP 800-88 Revision 2 - Guidelines for Media Sanitization</w:t>
        </w:r>
      </w:hyperlink>
    </w:p>
    <w:p>
      <w:pPr>
        <w:pStyle w:val="Heading2"/>
        <w:rPr/>
      </w:pPr>
      <w:bookmarkStart w:id="19" w:name="SVC_src_S38"/>
      <w:r>
        <w:rPr/>
        <w:t>S38 — RFC 7766 — DNS Transport over TCP: Implementation Requirements</w:t>
      </w:r>
      <w:bookmarkEnd w:id="19"/>
    </w:p>
    <w:p>
      <w:pPr>
        <w:pStyle w:val="Small"/>
        <w:rPr/>
      </w:pPr>
      <w:r>
        <w:rPr/>
        <w:t>March 2016 | IETF standards-track reference</w:t>
      </w:r>
    </w:p>
    <w:p>
      <w:pPr>
        <w:pStyle w:val="Small"/>
        <w:rPr/>
      </w:pPr>
      <w:r>
        <w:rPr/>
        <w:t>General-purpose DNS TCP support and fallback; not a blanket firewall policy for all DNS roles.</w:t>
      </w:r>
    </w:p>
    <w:p>
      <w:pPr>
        <w:pStyle w:val="Small"/>
        <w:rPr/>
      </w:pPr>
      <w:r>
        <w:rPr/>
        <w:t>Review status: Official full text reviewed.</w:t>
      </w:r>
    </w:p>
    <w:p>
      <w:pPr>
        <w:pStyle w:val="Small"/>
        <w:rPr/>
      </w:pPr>
      <w:hyperlink r:id="rId4">
        <w:r>
          <w:rPr>
            <w:rStyle w:val="Style"/>
            <w:color w:val="176B70"/>
            <w:u w:val="single"/>
          </w:rPr>
          <w:t>Open official source — RFC 7766 — DNS Transport over TCP: Implementation Requirements</w:t>
        </w:r>
      </w:hyperlink>
    </w:p>
    <w:p>
      <w:pPr>
        <w:pStyle w:val="Heading2"/>
        <w:rPr/>
      </w:pPr>
      <w:bookmarkStart w:id="20" w:name="SVC_src_S39"/>
      <w:r>
        <w:rPr/>
        <w:t>S39 — ITSP.40.062 — Guidance on securely configuring network protocols</w:t>
      </w:r>
      <w:bookmarkEnd w:id="20"/>
    </w:p>
    <w:p>
      <w:pPr>
        <w:pStyle w:val="Small"/>
        <w:rPr/>
      </w:pPr>
      <w:r>
        <w:rPr/>
        <w:t>Official web guidance reviewed 16 September 2026 | Cyber Centre guidance; applicability and selected configuration require adoption</w:t>
      </w:r>
    </w:p>
    <w:p>
      <w:pPr>
        <w:pStyle w:val="Small"/>
        <w:rPr/>
      </w:pPr>
      <w:r>
        <w:rPr/>
        <w:t>Secure protocol configuration as distinct from algorithm selection.</w:t>
      </w:r>
    </w:p>
    <w:p>
      <w:pPr>
        <w:pStyle w:val="Small"/>
        <w:rPr/>
      </w:pPr>
      <w:r>
        <w:rPr/>
        <w:t>Review status: Official full page reviewed.</w:t>
      </w:r>
    </w:p>
    <w:p>
      <w:pPr>
        <w:pStyle w:val="Small"/>
        <w:widowControl/>
        <w:bidi w:val="0"/>
        <w:spacing w:lineRule="auto" w:line="245" w:before="0" w:after="100"/>
        <w:jc w:val="left"/>
        <w:rPr/>
      </w:pPr>
      <w:hyperlink r:id="rId5">
        <w:r>
          <w:rPr>
            <w:rStyle w:val="Style"/>
            <w:color w:val="176B70"/>
            <w:u w:val="single"/>
          </w:rPr>
          <w:t>Open official source — ITSP.40.062 — Guidance on securely configuring network protocols</w:t>
        </w:r>
      </w:hyperlink>
    </w:p>
    <w:p>
      <w:pPr>
        <w:pStyle w:val="Normal"/>
        <w:rPr/>
      </w:pPr>
      <w:r>
        <w:rPr/>
      </w:r>
      <w:r>
        <w:br w:type="page"/>
      </w:r>
    </w:p>
    <w:p>
      <w:pPr>
        <w:pStyle w:val="Heading1"/>
        <w:spacing w:before="0" w:after="120"/>
        <w:rPr/>
      </w:pPr>
      <w:bookmarkStart w:id="21" w:name="__RefHeading___Toc9353_1692646980"/>
      <w:bookmarkStart w:id="22" w:name="V14_SVC_REVISION"/>
      <w:bookmarkEnd w:id="21"/>
      <w:r>
        <w:rPr/>
        <w:t>v1.4 — Connected infrastructure design and acceptance</w:t>
      </w:r>
      <w:bookmarkEnd w:id="22"/>
    </w:p>
    <w:p>
      <w:pPr>
        <w:pStyle w:val="Heading2"/>
        <w:rPr/>
      </w:pPr>
      <w:r>
        <w:rPr/>
        <w:t>Concrete provider-service boundary and residual risk</w:t>
      </w:r>
    </w:p>
    <w:p>
      <w:pPr>
        <w:pStyle w:val="Normal"/>
        <w:rPr/>
      </w:pPr>
      <w:r>
        <w:rPr/>
        <w:t>WD §§3–7 makes the provider service domain and dedicated tenant service handoffs explicit. Service endpoints have a supported return route through the originating tenant service-edge context. They do not become transit routers or acquire general reverse-session permission. Network controls do not eliminate the residual risk of a compromised shared resolver, collector or repository operating within its legitimate service permissions; service identities, resource entitlement, content/provenance checks and compromise response remain required. Virtual-disk key clients and backup API/data movers are designed separately from guest service access.</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widowControl/>
        <w:suppressAutoHyphens w:val="true"/>
        <w:bidi w:val="0"/>
        <w:spacing w:lineRule="auto" w:line="259" w:before="0" w:after="120"/>
        <w:jc w:val="left"/>
        <w:rPr/>
      </w:pPr>
      <w:r>
        <w:rPr/>
        <w:t>Read this clarification with the original chapter. It does not create an exemption to an adopted requirement, waive a mandatory control, select an unknown site value or report a live test as passed.</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12</w:t>
    </w:r>
    <w:r>
      <w:rPr/>
      <w:fldChar w:fldCharType="end"/>
    </w:r>
    <w:r>
      <w:rPr/>
      <w:t xml:space="preserve"> /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12</w:t>
    </w:r>
    <w:r>
      <w:rPr/>
      <w:fldChar w:fldCharType="end"/>
    </w:r>
    <w:r>
      <w:rPr/>
      <w:t xml:space="preserve"> /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SVC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SVC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yber.gc.ca/en/guidance/cryptographic-algorithms-unclassified-protected-protected-b-information-itsp40111" TargetMode="External"/><Relationship Id="rId3" Type="http://schemas.openxmlformats.org/officeDocument/2006/relationships/hyperlink" Target="https://csrc.nist.gov/pubs/sp/800/88/r2/final" TargetMode="External"/><Relationship Id="rId4" Type="http://schemas.openxmlformats.org/officeDocument/2006/relationships/hyperlink" Target="https://www.rfc-editor.org/rfc/rfc7766" TargetMode="External"/><Relationship Id="rId5" Type="http://schemas.openxmlformats.org/officeDocument/2006/relationships/hyperlink" Target="https://www.cyber.gc.ca/en/guidance/guidance-securely-configuring-network-protocols-itsp40062"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12</Pages>
  <Words>3682</Words>
  <Characters>24942</Characters>
  <CharactersWithSpaces>28372</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2026-09-16T23:24:39Z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