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yebrow"/>
        <w:rPr/>
      </w:pPr>
      <w:bookmarkStart w:id="0" w:name="V14_QUAL_START"/>
      <w:r>
        <w:rPr/>
        <w:t>INFRASTRUCTURE ARCHITECTURE  /  QUAL</w:t>
      </w:r>
      <w:bookmarkEnd w:id="0"/>
    </w:p>
    <w:p>
      <w:pPr>
        <w:pStyle w:val="Normal"/>
        <w:rPr/>
      </w:pPr>
      <w:r>
        <w:rPr/>
        <w:t xml:space="preserve">v1.4 linked worked design: </w:t>
      </w:r>
      <w:r>
        <w:fldChar w:fldCharType="begin"/>
      </w:r>
      <w:r>
        <w:rPr>
          <w:rStyle w:val="Hyperlink"/>
        </w:rPr>
        <w:instrText xml:space="preserve"> HYPERLINK "07_Worked_Infrastructure_Design_and_Acceptance_v1_4.docx" \l "V14_WD_START"</w:instrText>
      </w:r>
      <w:r>
        <w:rPr>
          <w:rStyle w:val="Hyperlink"/>
        </w:rPr>
        <w:fldChar w:fldCharType="separate"/>
      </w:r>
      <w:r>
        <w:rPr>
          <w:rStyle w:val="Hyperlink"/>
        </w:rPr>
        <w:t>WD — resources, paths, build receipts and acceptance</w:t>
      </w:r>
      <w:r>
        <w:rPr>
          <w:rStyle w:val="Hyperlink"/>
        </w:rPr>
        <w:fldChar w:fldCharType="end"/>
      </w:r>
    </w:p>
    <w:p>
      <w:pPr>
        <w:pStyle w:val="Title"/>
        <w:rPr/>
      </w:pPr>
      <w:r>
        <w:rPr/>
        <w:t>Portable Multi-Tenant</w:t>
        <w:br/>
        <w:t>Secure Hosting</w:t>
      </w:r>
    </w:p>
    <w:p>
      <w:pPr>
        <w:pStyle w:val="Subtitle"/>
        <w:rPr/>
      </w:pPr>
      <w:r>
        <w:rPr/>
        <w:t>Site Design, Qualification and Operational Acceptance</w:t>
      </w:r>
    </w:p>
    <w:p>
      <w:pPr>
        <w:pStyle w:val="Small"/>
        <w:rPr/>
      </w:pPr>
      <w:r>
        <w:rPr/>
        <w:t>Draft v1.4  |  16 September 2026</w:t>
      </w:r>
    </w:p>
    <w:p>
      <w:pPr>
        <w:pStyle w:val="Normal"/>
        <w:rPr/>
      </w:pPr>
      <w:r>
        <w:rPr/>
        <w:t>The actual site decisions, measurements, evidence and operating responsibilities required to turn the reference design into an accepted service.</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304"/>
        <w:gridCol w:w="7775"/>
      </w:tblGrid>
      <w:tr>
        <w:trPr>
          <w:tblHeader w:val="true"/>
          <w:cantSplit w:val="true"/>
        </w:trPr>
        <w:tc>
          <w:tcPr>
            <w:tcW w:w="230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Document control</w:t>
            </w:r>
          </w:p>
        </w:tc>
        <w:tc>
          <w:tcPr>
            <w:tcW w:w="777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Record</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Document ID / parent</w:t>
            </w:r>
          </w:p>
        </w:tc>
        <w:tc>
          <w:tcPr>
            <w:tcW w:w="777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QUAL — supplement to RA v1.4</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Status</w:t>
            </w:r>
          </w:p>
        </w:tc>
        <w:tc>
          <w:tcPr>
            <w:tcW w:w="777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Proposed reference design and engineering guidance; adoption and qualification remain separate.</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Baseline</w:t>
            </w:r>
          </w:p>
        </w:tc>
        <w:tc>
          <w:tcPr>
            <w:tcW w:w="777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Draft v1.2 infrastructure architecture, with retained v1.2 requirements and verification catalogues.</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Audience</w:t>
            </w:r>
          </w:p>
        </w:tc>
        <w:tc>
          <w:tcPr>
            <w:tcW w:w="777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Infrastructure, security, network, platform, storage, service and operations owners; provisioning engineers.</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Authority</w:t>
            </w:r>
          </w:p>
        </w:tc>
        <w:tc>
          <w:tcPr>
            <w:tcW w:w="777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Applicable external obligations and adopted controls prevail; supplements cannot silently weaken the parent.</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Release boundary</w:t>
            </w:r>
          </w:p>
        </w:tc>
        <w:tc>
          <w:tcPr>
            <w:tcW w:w="777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Documentation and local document checks only. No live infrastructure deployment, qualification or authorization asserted.</w:t>
            </w:r>
          </w:p>
        </w:tc>
      </w:tr>
    </w:tbl>
    <w:p>
      <w:pPr>
        <w:pStyle w:val="Normal"/>
        <w:spacing w:lineRule="auto" w:line="240" w:before="0" w:after="40"/>
        <w:rPr/>
      </w:pPr>
      <w:r>
        <w:rPr/>
      </w:r>
    </w:p>
    <w:p>
      <w:pPr>
        <w:pStyle w:val="Navigation"/>
        <w:rPr/>
      </w:pPr>
      <w:r>
        <w:rPr/>
        <w:t xml:space="preserve">Start here: </w:t>
      </w:r>
      <w:r>
        <w:fldChar w:fldCharType="begin"/>
      </w:r>
      <w:r>
        <w:rPr>
          <w:rStyle w:val="Style"/>
          <w:u w:val="single"/>
          <w:color w:val="176B70"/>
        </w:rPr>
        <w:instrText xml:space="preserve"> HYPERLINK "00_Reference_Architecture_v1_4.docx" \l "RA_s_001"</w:instrText>
      </w:r>
      <w:r>
        <w:rPr>
          <w:rStyle w:val="Style"/>
          <w:u w:val="single"/>
          <w:color w:val="176B70"/>
        </w:rPr>
        <w:fldChar w:fldCharType="separate"/>
      </w:r>
      <w:r>
        <w:rPr>
          <w:rStyle w:val="Style"/>
          <w:color w:val="176B70"/>
          <w:u w:val="single"/>
        </w:rPr>
        <w:t>Parent architecture — RA</w:t>
      </w:r>
      <w:r>
        <w:rPr>
          <w:rStyle w:val="Style"/>
          <w:u w:val="single"/>
          <w:color w:val="176B70"/>
        </w:rPr>
        <w:fldChar w:fldCharType="end"/>
      </w:r>
      <w:r>
        <w:rPr/>
        <w:t xml:space="preserve">  •  </w:t>
      </w:r>
      <w:r>
        <w:fldChar w:fldCharType="begin"/>
      </w:r>
      <w:r>
        <w:rPr>
          <w:rStyle w:val="Style"/>
          <w:u w:val="single"/>
          <w:color w:val="176B70"/>
        </w:rPr>
        <w:instrText xml:space="preserve"> HYPERLINK "01_Gap_Map_and_Decision_Register_v1_4.docx" \l "GM_s_001"</w:instrText>
      </w:r>
      <w:r>
        <w:rPr>
          <w:rStyle w:val="Style"/>
          <w:u w:val="single"/>
          <w:color w:val="176B70"/>
        </w:rPr>
        <w:fldChar w:fldCharType="separate"/>
      </w:r>
      <w:r>
        <w:rPr>
          <w:rStyle w:val="Style"/>
          <w:color w:val="176B70"/>
          <w:u w:val="single"/>
        </w:rPr>
        <w:t>Document family and gap map — GM</w:t>
      </w:r>
      <w:r>
        <w:rPr>
          <w:rStyle w:val="Style"/>
          <w:u w:val="single"/>
          <w:color w:val="176B70"/>
        </w:rPr>
        <w:fldChar w:fldCharType="end"/>
      </w:r>
    </w:p>
    <w:p>
      <w:pPr>
        <w:pStyle w:val="Small"/>
        <w:rPr/>
      </w:pPr>
      <w:r>
        <w:rPr/>
        <w:t>Keep the eight Word files together after extracting the release package. Cross-document links use sibling filenames and stable bookmarks. START_HERE.html provides an additional navigation index.</w:t>
      </w:r>
    </w:p>
    <w:p>
      <w:pPr>
        <w:pStyle w:val="Normal"/>
        <w:rPr/>
      </w:pPr>
      <w:r>
        <w:rPr/>
      </w:r>
      <w:r>
        <w:br w:type="page"/>
      </w:r>
    </w:p>
    <w:p>
      <w:pPr>
        <w:pStyle w:val="Subtitle"/>
        <w:spacing w:before="0" w:after="120"/>
        <w:rPr/>
      </w:pPr>
      <w:bookmarkStart w:id="1" w:name="QUAL_contents"/>
      <w:r>
        <w:rPr/>
        <w:t>Contents</w:t>
      </w:r>
      <w:bookmarkEnd w:id="1"/>
    </w:p>
    <w:sdt>
      <w:sdtPr>
        <w:docPartObj>
          <w:docPartGallery w:val="Table of Contents"/>
          <w:docPartUnique w:val="true"/>
        </w:docPartObj>
      </w:sdtPr>
      <w:sdtContent>
        <w:p>
          <w:pPr>
            <w:pStyle w:val="TOC1"/>
            <w:tabs>
              <w:tab w:val="clear" w:pos="9965"/>
              <w:tab w:val="right" w:pos="10079" w:leader="dot"/>
            </w:tabs>
            <w:rPr/>
          </w:pPr>
          <w:r>
            <w:fldChar w:fldCharType="begin"/>
          </w:r>
          <w:r>
            <w:rPr>
              <w:webHidden/>
              <w:rStyle w:val="IndexLink"/>
            </w:rPr>
            <w:instrText xml:space="preserve"> TOC \z \o "1-1" \h</w:instrText>
          </w:r>
          <w:r>
            <w:rPr>
              <w:webHidden/>
              <w:rStyle w:val="IndexLink"/>
            </w:rPr>
            <w:fldChar w:fldCharType="separate"/>
          </w:r>
          <w:hyperlink w:anchor="__RefHeading___Toc10033_1525915568">
            <w:r>
              <w:rPr>
                <w:webHidden/>
                <w:rStyle w:val="IndexLink"/>
              </w:rPr>
              <w:t>1. From proposed architecture to accepted service</w:t>
              <w:tab/>
              <w:t>3</w:t>
            </w:r>
          </w:hyperlink>
        </w:p>
        <w:p>
          <w:pPr>
            <w:pStyle w:val="TOC1"/>
            <w:tabs>
              <w:tab w:val="clear" w:pos="9965"/>
              <w:tab w:val="right" w:pos="10079" w:leader="dot"/>
            </w:tabs>
            <w:rPr/>
          </w:pPr>
          <w:hyperlink w:anchor="__RefHeading___Toc10035_1525915568">
            <w:r>
              <w:rPr>
                <w:webHidden/>
                <w:rStyle w:val="IndexLink"/>
              </w:rPr>
              <w:t>2. Site low-level design and dependency schedule</w:t>
              <w:tab/>
              <w:t>3</w:t>
            </w:r>
          </w:hyperlink>
        </w:p>
        <w:p>
          <w:pPr>
            <w:pStyle w:val="TOC1"/>
            <w:tabs>
              <w:tab w:val="clear" w:pos="9965"/>
              <w:tab w:val="right" w:pos="10079" w:leader="dot"/>
            </w:tabs>
            <w:rPr/>
          </w:pPr>
          <w:hyperlink w:anchor="__RefHeading___Toc10037_1525915568">
            <w:r>
              <w:rPr>
                <w:webHidden/>
                <w:rStyle w:val="IndexLink"/>
              </w:rPr>
              <w:t>3. Capacity, service envelopes and growth triggers</w:t>
              <w:tab/>
              <w:t>5</w:t>
            </w:r>
          </w:hyperlink>
        </w:p>
        <w:p>
          <w:pPr>
            <w:pStyle w:val="TOC1"/>
            <w:tabs>
              <w:tab w:val="clear" w:pos="9965"/>
              <w:tab w:val="right" w:pos="10079" w:leader="dot"/>
            </w:tabs>
            <w:rPr/>
          </w:pPr>
          <w:hyperlink w:anchor="__RefHeading___Toc10039_1525915568">
            <w:r>
              <w:rPr>
                <w:webHidden/>
                <w:rStyle w:val="IndexLink"/>
              </w:rPr>
              <w:t>4. Service parameter and requirement decisions</w:t>
              <w:tab/>
              <w:t>6</w:t>
            </w:r>
          </w:hyperlink>
        </w:p>
        <w:p>
          <w:pPr>
            <w:pStyle w:val="TOC1"/>
            <w:tabs>
              <w:tab w:val="clear" w:pos="9965"/>
              <w:tab w:val="right" w:pos="10079" w:leader="dot"/>
            </w:tabs>
            <w:rPr/>
          </w:pPr>
          <w:hyperlink w:anchor="__RefHeading___Toc10041_1525915568">
            <w:r>
              <w:rPr>
                <w:webHidden/>
                <w:rStyle w:val="IndexLink"/>
              </w:rPr>
              <w:t>5. Qualification stages, applicability and evidence</w:t>
              <w:tab/>
              <w:t>7</w:t>
            </w:r>
          </w:hyperlink>
        </w:p>
        <w:p>
          <w:pPr>
            <w:pStyle w:val="TOC1"/>
            <w:tabs>
              <w:tab w:val="clear" w:pos="9965"/>
              <w:tab w:val="right" w:pos="10079" w:leader="dot"/>
            </w:tabs>
            <w:rPr/>
          </w:pPr>
          <w:hyperlink w:anchor="__RefHeading___Toc10043_1525915568">
            <w:r>
              <w:rPr>
                <w:webHidden/>
                <w:rStyle w:val="IndexLink"/>
              </w:rPr>
              <w:t>6. Control inheritance, assurance and organizational interfaces</w:t>
              <w:tab/>
              <w:t>8</w:t>
            </w:r>
          </w:hyperlink>
        </w:p>
        <w:p>
          <w:pPr>
            <w:pStyle w:val="TOC1"/>
            <w:tabs>
              <w:tab w:val="clear" w:pos="9965"/>
              <w:tab w:val="right" w:pos="10079" w:leader="dot"/>
            </w:tabs>
            <w:rPr/>
          </w:pPr>
          <w:hyperlink w:anchor="__RefHeading___Toc10045_1525915568">
            <w:r>
              <w:rPr>
                <w:webHidden/>
                <w:rStyle w:val="IndexLink"/>
              </w:rPr>
              <w:t>7. Operating accountability, handover and change</w:t>
              <w:tab/>
              <w:t>9</w:t>
            </w:r>
          </w:hyperlink>
        </w:p>
        <w:p>
          <w:pPr>
            <w:pStyle w:val="TOC1"/>
            <w:tabs>
              <w:tab w:val="clear" w:pos="9965"/>
              <w:tab w:val="right" w:pos="10079" w:leader="dot"/>
            </w:tabs>
            <w:rPr/>
          </w:pPr>
          <w:hyperlink w:anchor="__RefHeading___Toc10047_1525915568">
            <w:r>
              <w:rPr>
                <w:webHidden/>
                <w:rStyle w:val="IndexLink"/>
              </w:rPr>
              <w:t>8. Extensions and release maintenance</w:t>
              <w:tab/>
              <w:t>10</w:t>
            </w:r>
          </w:hyperlink>
        </w:p>
        <w:p>
          <w:pPr>
            <w:pStyle w:val="TOC1"/>
            <w:tabs>
              <w:tab w:val="clear" w:pos="9965"/>
              <w:tab w:val="right" w:pos="10079" w:leader="dot"/>
            </w:tabs>
            <w:rPr/>
          </w:pPr>
          <w:hyperlink w:anchor="__RefHeading___Toc10049_1525915568">
            <w:r>
              <w:rPr>
                <w:webHidden/>
                <w:rStyle w:val="IndexLink"/>
              </w:rPr>
              <w:t>References — Parent basis and external context</w:t>
              <w:tab/>
              <w:t>12</w:t>
            </w:r>
          </w:hyperlink>
        </w:p>
        <w:p>
          <w:pPr>
            <w:pStyle w:val="TOC1"/>
            <w:tabs>
              <w:tab w:val="clear" w:pos="9965"/>
              <w:tab w:val="right" w:pos="10079" w:leader="dot"/>
            </w:tabs>
            <w:rPr/>
          </w:pPr>
          <w:hyperlink w:anchor="__RefHeading___Toc10630_1692646980">
            <w:r>
              <w:rPr>
                <w:webHidden/>
                <w:rStyle w:val="IndexLink"/>
              </w:rPr>
              <w:t>v1.4 — Connected infrastructure design and acceptance</w:t>
              <w:tab/>
              <w:t>13</w:t>
            </w:r>
          </w:hyperlink>
          <w:r>
            <w:rPr>
              <w:rStyle w:val="IndexLink"/>
            </w:rPr>
            <w:fldChar w:fldCharType="end"/>
          </w:r>
        </w:p>
      </w:sdtContent>
    </w:sdt>
    <w:p>
      <w:pPr>
        <w:pStyle w:val="Normal"/>
        <w:widowControl/>
        <w:bidi w:val="0"/>
        <w:spacing w:lineRule="auto" w:line="259" w:before="0" w:after="120"/>
        <w:jc w:val="left"/>
        <w:rPr>
          <w:rFonts w:ascii="Calibri" w:hAnsi="Calibri"/>
          <w:sz w:val="22"/>
          <w:lang w:val="en-CA"/>
        </w:rPr>
      </w:pPr>
      <w:r>
        <w:rPr>
          <w:sz w:val="22"/>
          <w:lang w:val="en-CA"/>
        </w:rPr>
      </w:r>
    </w:p>
    <w:p>
      <w:pPr>
        <w:pStyle w:val="Small"/>
        <w:rPr/>
      </w:pPr>
      <w:r>
        <w:rPr/>
        <w:t>Use the contents and named section links to navigate. After later edits, update Word fields and verify pagination before release.</w:t>
      </w:r>
    </w:p>
    <w:p>
      <w:pPr>
        <w:pStyle w:val="Normal"/>
        <w:rPr/>
      </w:pPr>
      <w:r>
        <w:rPr/>
      </w:r>
      <w:r>
        <w:br w:type="page"/>
      </w:r>
    </w:p>
    <w:p>
      <w:pPr>
        <w:pStyle w:val="Heading1"/>
        <w:spacing w:before="0" w:after="120"/>
        <w:rPr/>
      </w:pPr>
      <w:bookmarkStart w:id="2" w:name="__RefHeading___Toc10033_1525915568"/>
      <w:bookmarkStart w:id="3" w:name="QUAL_s_001"/>
      <w:bookmarkEnd w:id="2"/>
      <w:r>
        <w:rPr/>
        <w:t>1. From proposed architecture to accepted service</w:t>
      </w:r>
      <w:bookmarkEnd w:id="3"/>
    </w:p>
    <w:p>
      <w:pPr>
        <w:pStyle w:val="Normal"/>
        <w:spacing w:before="0" w:after="160"/>
        <w:rPr/>
      </w:pPr>
      <w:r>
        <w:rPr/>
        <w:t>Clarification of G3 and G4: the IDs classify decisions and are not a strict ascending execution sequence. G4 initial readiness for the offered operational/recovery scope is a prerequisite of production G3. G4 also includes continuing and recurring acceptance after activation. Restricted non-production fixtures are separately authorized and may exist before G2 to generate its qualification evidence.</w:t>
      </w:r>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"RA_s_001"</w:instrText>
      </w:r>
      <w:r>
        <w:rPr>
          <w:rStyle w:val="Style"/>
          <w:u w:val="single"/>
          <w:color w:val="176B70"/>
        </w:rPr>
        <w:fldChar w:fldCharType="separate"/>
      </w:r>
      <w:r>
        <w:rPr>
          <w:rStyle w:val="Style"/>
          <w:color w:val="176B70"/>
          <w:u w:val="single"/>
        </w:rPr>
        <w:t>RA §1</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"RA_s_028"</w:instrText>
      </w:r>
      <w:r>
        <w:rPr>
          <w:rStyle w:val="Style"/>
          <w:u w:val="single"/>
          <w:color w:val="176B70"/>
        </w:rPr>
        <w:fldChar w:fldCharType="separate"/>
      </w:r>
      <w:r>
        <w:rPr>
          <w:rStyle w:val="Style"/>
          <w:color w:val="176B70"/>
          <w:u w:val="single"/>
        </w:rPr>
        <w:t>RA §28</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"RA_s_030"</w:instrText>
      </w:r>
      <w:r>
        <w:rPr>
          <w:rStyle w:val="Style"/>
          <w:u w:val="single"/>
          <w:color w:val="176B70"/>
        </w:rPr>
        <w:fldChar w:fldCharType="separate"/>
      </w:r>
      <w:r>
        <w:rPr>
          <w:rStyle w:val="Style"/>
          <w:color w:val="176B70"/>
          <w:u w:val="single"/>
        </w:rPr>
        <w:t>RA §30</w:t>
      </w:r>
      <w:r>
        <w:rPr>
          <w:rStyle w:val="Style"/>
          <w:u w:val="single"/>
          <w:color w:val="176B70"/>
        </w:rPr>
        <w:fldChar w:fldCharType="end"/>
      </w:r>
    </w:p>
    <w:p>
      <w:pPr>
        <w:pStyle w:val="Normal"/>
        <w:rPr/>
      </w:pPr>
      <w:r>
        <w:rPr/>
        <w:t>The document family supplies a reference architecture and engineering knowledge. A site design selects actual values and resolves local decisions. An as-built record describes what was deployed. Qualification records observed outcomes on that deployment, and formal authorization is issued separately by its designated authority. None of these records can be substituted merely by changing a document status. [</w:t>
      </w:r>
      <w:hyperlink w:anchor="QUAL_src_B2">
        <w:r>
          <w:rPr>
            <w:rStyle w:val="Style"/>
            <w:color w:val="176B70"/>
            <w:u w:val="single"/>
          </w:rPr>
          <w:t>B2</w:t>
        </w:r>
      </w:hyperlink>
      <w:r>
        <w:rPr/>
        <w:t xml:space="preserve"> §§1, 28, 30]</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122"/>
        <w:gridCol w:w="4493"/>
        <w:gridCol w:w="3465"/>
      </w:tblGrid>
      <w:tr>
        <w:trPr>
          <w:tblHeader w:val="true"/>
          <w:cantSplit w:val="true"/>
        </w:trPr>
        <w:tc>
          <w:tcPr>
            <w:tcW w:w="2122"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Gate</w:t>
            </w:r>
          </w:p>
        </w:tc>
        <w:tc>
          <w:tcPr>
            <w:tcW w:w="4493"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Decision and deliverable</w:t>
            </w:r>
          </w:p>
        </w:tc>
        <w:tc>
          <w:tcPr>
            <w:tcW w:w="346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What remains unproven after this gate</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G0 · design adoption</w:t>
            </w:r>
          </w:p>
        </w:tc>
        <w:tc>
          <w:tcPr>
            <w:tcW w:w="449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Architecture, isolation choices, service envelope, responsibilities and source applicability accepted.</w:t>
            </w:r>
          </w:p>
        </w:tc>
        <w:tc>
          <w:tcPr>
            <w:tcW w:w="34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Hardware installation, actual provider coverage and live enforcement.</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G1 · foundation acceptance</w:t>
            </w:r>
          </w:p>
        </w:tc>
        <w:tc>
          <w:tcPr>
            <w:tcW w:w="449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Physical/fault inventory, OOB/management, fabric and bootstrap dependencies built and observed.</w:t>
            </w:r>
          </w:p>
        </w:tc>
        <w:tc>
          <w:tcPr>
            <w:tcW w:w="34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Complete platform and shared-service capability for tenants.</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G2 · platform/service acceptance</w:t>
            </w:r>
          </w:p>
        </w:tc>
        <w:tc>
          <w:tcPr>
            <w:tcW w:w="449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Exact stack and shared-service topology, supported operations, capacity and applicable qualification accepted.</w:t>
            </w:r>
          </w:p>
        </w:tc>
        <w:tc>
          <w:tcPr>
            <w:tcW w:w="34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An individual workload’s readiness or general portability to every other stack.</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r>
              <w:t>G3 — Workload activation; scope explicit</w:t>
            </w:r>
          </w:p>
        </w:tc>
        <w:tc>
          <w:tcPr>
            <w:tcW w:w="4493" w:type="dxa"/>
            <w:tcBorders>
              <w:top w:val="single" w:sz="4" w:space="0" w:color="D7E1E6"/>
              <w:left w:val="single" w:sz="4" w:space="0" w:color="D7E1E6"/>
              <w:bottom w:val="single" w:sz="4" w:space="0" w:color="D7E1E6"/>
              <w:right w:val="single" w:sz="4" w:space="0" w:color="D7E1E6"/>
            </w:tcBorders>
            <w:shd w:fill="F4F7F9"/>
          </w:tcPr>
          <w:p>
            <w:r>
              <w:t>Current workload/domain/path evidence. Production also requires applicable G0/G1/G2 acceptance, initial G4 operational and promised recovery readiness, and valid authority to operate. A restricted qualification fixture is separately authorized and is not production readiness.</w:t>
            </w:r>
          </w:p>
        </w:tc>
        <w:tc>
          <w:tcPr>
            <w:tcW w:w="3465" w:type="dxa"/>
            <w:tcBorders>
              <w:top w:val="single" w:sz="4" w:space="0" w:color="D7E1E6"/>
              <w:left w:val="single" w:sz="4" w:space="0" w:color="D7E1E6"/>
              <w:bottom w:val="single" w:sz="4" w:space="0" w:color="D7E1E6"/>
              <w:right w:val="single" w:sz="4" w:space="0" w:color="D7E1E6"/>
            </w:tcBorders>
            <w:shd w:fill="F4F7F9"/>
          </w:tcPr>
          <w:p>
            <w:r>
              <w:t>Does not authorize deferral of required recovery, ownership, key/catalogue custody, support or operating authority until a later gate.</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r>
              <w:t>G4 — Initial readiness and continuing acceptance</w:t>
            </w:r>
          </w:p>
        </w:tc>
        <w:tc>
          <w:tcPr>
            <w:tcW w:w="4493" w:type="dxa"/>
            <w:tcBorders>
              <w:top w:val="single" w:sz="4" w:space="0" w:color="D7E1E6"/>
              <w:left w:val="single" w:sz="4" w:space="0" w:color="D7E1E6"/>
              <w:bottom w:val="single" w:sz="4" w:space="0" w:color="D7E1E6"/>
              <w:right w:val="single" w:sz="4" w:space="0" w:color="D7E1E6"/>
            </w:tcBorders>
          </w:tcPr>
          <w:p>
            <w:r>
              <w:t>Before relevant production activation: accepted operations, custody, support, and the offered protection/recovery capability. After activation: recurring and material-change evidence maintains acceptance at the approved cadence.</w:t>
            </w:r>
          </w:p>
        </w:tc>
        <w:tc>
          <w:tcPr>
            <w:tcW w:w="3465" w:type="dxa"/>
            <w:tcBorders>
              <w:top w:val="single" w:sz="4" w:space="0" w:color="D7E1E6"/>
              <w:left w:val="single" w:sz="4" w:space="0" w:color="D7E1E6"/>
              <w:bottom w:val="single" w:sz="4" w:space="0" w:color="D7E1E6"/>
              <w:right w:val="single" w:sz="4" w:space="0" w:color="D7E1E6"/>
            </w:tcBorders>
          </w:tcPr>
          <w:p>
            <w:r>
              <w:t>A later exercise cannot retroactively replace initial evidence for a promised service. Scope depends on the actual offered class; unsupported capabilities remain excluded.</w:t>
            </w:r>
          </w:p>
        </w:tc>
      </w:tr>
    </w:tbl>
    <w:p>
      <w:pPr>
        <w:pStyle w:val="Normal"/>
        <w:spacing w:lineRule="auto" w:line="240" w:before="0" w:after="40"/>
        <w:rPr/>
      </w:pPr>
      <w:r>
        <w:rPr/>
      </w:r>
    </w:p>
    <w:p>
      <w:pPr>
        <w:pStyle w:val="Normal"/>
        <w:rPr/>
      </w:pPr>
      <w:r>
        <w:rPr/>
        <w:t>These gate IDs are a v1.3 coordination aid and do not replace organizational approval processes. One existing change, service or assessment process may implement several gates, provided responsibility and evidence remain clear. An adopting authority can approve the architecture before every stack is qualified, while keeping unsupported service classes explicitly unavailable.</w:t>
      </w:r>
    </w:p>
    <w:p>
      <w:pPr>
        <w:pStyle w:val="Navigation"/>
        <w:rPr/>
      </w:pPr>
      <w:r>
        <w:rPr/>
        <w:t xml:space="preserve">Related engineering: </w:t>
      </w:r>
      <w:r>
        <w:fldChar w:fldCharType="begin"/>
      </w:r>
      <w:r>
        <w:rPr>
          <w:rStyle w:val="Style"/>
          <w:u w:val="single"/>
          <w:color w:val="176B70"/>
        </w:rPr>
        <w:instrText xml:space="preserve"> HYPERLINK "01_Gap_Map_and_Decision_Register_v1_4.docx" \l "GM_s_003"</w:instrText>
      </w:r>
      <w:r>
        <w:rPr>
          <w:rStyle w:val="Style"/>
          <w:u w:val="single"/>
          <w:color w:val="176B70"/>
        </w:rPr>
        <w:fldChar w:fldCharType="separate"/>
      </w:r>
      <w:r>
        <w:rPr>
          <w:rStyle w:val="Style"/>
          <w:color w:val="176B70"/>
          <w:u w:val="single"/>
        </w:rPr>
        <w:t>Gap-to-gate map</w:t>
      </w:r>
      <w:r>
        <w:rPr>
          <w:rStyle w:val="Style"/>
          <w:u w:val="single"/>
          <w:color w:val="176B70"/>
        </w:rPr>
        <w:fldChar w:fldCharType="end"/>
      </w:r>
      <w:r>
        <w:rPr/>
        <w:t xml:space="preserve">  •  </w:t>
      </w:r>
      <w:r>
        <w:fldChar w:fldCharType="begin"/>
      </w:r>
      <w:r>
        <w:rPr>
          <w:rStyle w:val="Style"/>
          <w:u w:val="single"/>
          <w:color w:val="176B70"/>
        </w:rPr>
        <w:instrText xml:space="preserve"> HYPERLINK "04_Provisioning_and_Commissioning_v1_4.docx" \l "PROV_s_001"</w:instrText>
      </w:r>
      <w:r>
        <w:rPr>
          <w:rStyle w:val="Style"/>
          <w:u w:val="single"/>
          <w:color w:val="176B70"/>
        </w:rPr>
        <w:fldChar w:fldCharType="separate"/>
      </w:r>
      <w:r>
        <w:rPr>
          <w:rStyle w:val="Style"/>
          <w:color w:val="176B70"/>
          <w:u w:val="single"/>
        </w:rPr>
        <w:t>P0–P6 delivery ownership</w:t>
      </w:r>
      <w:r>
        <w:rPr>
          <w:rStyle w:val="Style"/>
          <w:u w:val="single"/>
          <w:color w:val="176B70"/>
        </w:rPr>
        <w:fldChar w:fldCharType="end"/>
      </w:r>
    </w:p>
    <w:p>
      <w:pPr>
        <w:pStyle w:val="Heading1"/>
        <w:rPr/>
      </w:pPr>
      <w:bookmarkStart w:id="4" w:name="__RefHeading___Toc10035_1525915568"/>
      <w:bookmarkStart w:id="5" w:name="QUAL_s_002"/>
      <w:bookmarkEnd w:id="4"/>
      <w:r>
        <w:rPr/>
        <w:t>2. Site low-level design and dependency schedule</w:t>
      </w:r>
      <w:bookmarkEnd w:id="5"/>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"RA_s_003"</w:instrText>
      </w:r>
      <w:r>
        <w:rPr>
          <w:rStyle w:val="Style"/>
          <w:u w:val="single"/>
          <w:color w:val="176B70"/>
        </w:rPr>
        <w:fldChar w:fldCharType="separate"/>
      </w:r>
      <w:r>
        <w:rPr>
          <w:rStyle w:val="Style"/>
          <w:color w:val="176B70"/>
          <w:u w:val="single"/>
        </w:rPr>
        <w:t>RA §3</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"RA_s_004"</w:instrText>
      </w:r>
      <w:r>
        <w:rPr>
          <w:rStyle w:val="Style"/>
          <w:u w:val="single"/>
          <w:color w:val="176B70"/>
        </w:rPr>
        <w:fldChar w:fldCharType="separate"/>
      </w:r>
      <w:r>
        <w:rPr>
          <w:rStyle w:val="Style"/>
          <w:color w:val="176B70"/>
          <w:u w:val="single"/>
        </w:rPr>
        <w:t>RA §4</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"RA_s_005"</w:instrText>
      </w:r>
      <w:r>
        <w:rPr>
          <w:rStyle w:val="Style"/>
          <w:u w:val="single"/>
          <w:color w:val="176B70"/>
        </w:rPr>
        <w:fldChar w:fldCharType="separate"/>
      </w:r>
      <w:r>
        <w:rPr>
          <w:rStyle w:val="Style"/>
          <w:color w:val="176B70"/>
          <w:u w:val="single"/>
        </w:rPr>
        <w:t>RA §5</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"RA_s_006"</w:instrText>
      </w:r>
      <w:r>
        <w:rPr>
          <w:rStyle w:val="Style"/>
          <w:u w:val="single"/>
          <w:color w:val="176B70"/>
        </w:rPr>
        <w:fldChar w:fldCharType="separate"/>
      </w:r>
      <w:r>
        <w:rPr>
          <w:rStyle w:val="Style"/>
          <w:color w:val="176B70"/>
          <w:u w:val="single"/>
        </w:rPr>
        <w:t>RA §6</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"RA_s_014"</w:instrText>
      </w:r>
      <w:r>
        <w:rPr>
          <w:rStyle w:val="Style"/>
          <w:u w:val="single"/>
          <w:color w:val="176B70"/>
        </w:rPr>
        <w:fldChar w:fldCharType="separate"/>
      </w:r>
      <w:r>
        <w:rPr>
          <w:rStyle w:val="Style"/>
          <w:color w:val="176B70"/>
          <w:u w:val="single"/>
        </w:rPr>
        <w:t>RA §14</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"RA_s_030"</w:instrText>
      </w:r>
      <w:r>
        <w:rPr>
          <w:rStyle w:val="Style"/>
          <w:u w:val="single"/>
          <w:color w:val="176B70"/>
        </w:rPr>
        <w:fldChar w:fldCharType="separate"/>
      </w:r>
      <w:r>
        <w:rPr>
          <w:rStyle w:val="Style"/>
          <w:color w:val="176B70"/>
          <w:u w:val="single"/>
        </w:rPr>
        <w:t>RA §30</w:t>
      </w:r>
      <w:r>
        <w:rPr>
          <w:rStyle w:val="Style"/>
          <w:u w:val="single"/>
          <w:color w:val="176B70"/>
        </w:rPr>
        <w:fldChar w:fldCharType="end"/>
      </w:r>
    </w:p>
    <w:p>
      <w:pPr>
        <w:pStyle w:val="Normal"/>
        <w:rPr/>
      </w:pPr>
      <w:r>
        <w:rPr/>
        <w:t>A buildable site design resolves actual components and relationships rather than filling example IP addresses into a diagram. Record hardware and software inventories, component roles, physical fault groups, logical authorities, interface IDs, capacity, management ownership and recovery dependency. The parent topology symbols are functional roles, not assumed counts or independent failure domains. [</w:t>
      </w:r>
      <w:hyperlink w:anchor="QUAL_src_B2">
        <w:r>
          <w:rPr>
            <w:rStyle w:val="Style"/>
            <w:color w:val="176B70"/>
            <w:u w:val="single"/>
          </w:rPr>
          <w:t>B2</w:t>
        </w:r>
      </w:hyperlink>
      <w:r>
        <w:rPr/>
        <w:t xml:space="preserve"> §§3–6, 14, 30]</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047"/>
        <w:gridCol w:w="4957"/>
        <w:gridCol w:w="3075"/>
      </w:tblGrid>
      <w:tr>
        <w:trPr>
          <w:tblHeader w:val="true"/>
          <w:cantSplit w:val="true"/>
        </w:trPr>
        <w:tc>
          <w:tcPr>
            <w:tcW w:w="204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Site design record</w:t>
            </w:r>
          </w:p>
        </w:tc>
        <w:tc>
          <w:tcPr>
            <w:tcW w:w="495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Minimum populated fields</w:t>
            </w:r>
          </w:p>
        </w:tc>
        <w:tc>
          <w:tcPr>
            <w:tcW w:w="307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Acceptance owner</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Site/cell inventory</w:t>
            </w:r>
          </w:p>
        </w:tc>
        <w:tc>
          <w:tcPr>
            <w:tcW w:w="495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Site and cell IDs; actual devices/hosts; supported versions; rack, power and uplink fault groups.</w:t>
            </w:r>
          </w:p>
        </w:tc>
        <w:tc>
          <w:tcPr>
            <w:tcW w:w="307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Site/platform architect.</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Physical/network design</w:t>
            </w:r>
          </w:p>
        </w:tc>
        <w:tc>
          <w:tcPr>
            <w:tcW w:w="495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Port roles, peer/member links, ASN/prefix policy, VLAN/VNI/RT allocations where used, MTU and native gateway ownership.</w:t>
            </w:r>
          </w:p>
        </w:tc>
        <w:tc>
          <w:tcPr>
            <w:tcW w:w="307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Network engineering.</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Security and management topology</w:t>
            </w:r>
          </w:p>
        </w:tc>
        <w:tc>
          <w:tcPr>
            <w:tcW w:w="495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Domain authorities, ZIP contexts, administrative source/target paths, OOB dependency and accepted sharing.</w:t>
            </w:r>
          </w:p>
        </w:tc>
        <w:tc>
          <w:tcPr>
            <w:tcW w:w="307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Security/management owners.</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Vendor realization</w:t>
            </w:r>
          </w:p>
        </w:tc>
        <w:tc>
          <w:tcPr>
            <w:tcW w:w="495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Exact native domain/endpoint/storage resources; management/control placement; supported API/provider/installer operations.</w:t>
            </w:r>
          </w:p>
        </w:tc>
        <w:tc>
          <w:tcPr>
            <w:tcW w:w="307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Selected platform owner.</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Service dependency map</w:t>
            </w:r>
          </w:p>
        </w:tc>
        <w:tc>
          <w:tcPr>
            <w:tcW w:w="495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DNS/time/identity/key/log/protection endpoints and their management/backends; common fault and privilege dependencies.</w:t>
            </w:r>
          </w:p>
        </w:tc>
        <w:tc>
          <w:tcPr>
            <w:tcW w:w="307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Shared-service owners.</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Data and recovery schedule</w:t>
            </w:r>
          </w:p>
        </w:tc>
        <w:tc>
          <w:tcPr>
            <w:tcW w:w="495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Owned data/copies, keys, consistency, retention, fencing, target eligibility and restoring order.</w:t>
            </w:r>
          </w:p>
        </w:tc>
        <w:tc>
          <w:tcPr>
            <w:tcW w:w="307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Data/protection/continuity owners.</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As-built and evidence references</w:t>
            </w:r>
          </w:p>
        </w:tc>
        <w:tc>
          <w:tcPr>
            <w:tcW w:w="495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Actual configuration and resource identities, approved changes, tests, variations and operating restrictions.</w:t>
            </w:r>
          </w:p>
        </w:tc>
        <w:tc>
          <w:tcPr>
            <w:tcW w:w="307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Operations and assurance owners.</w:t>
            </w:r>
          </w:p>
        </w:tc>
      </w:tr>
    </w:tbl>
    <w:p>
      <w:pPr>
        <w:pStyle w:val="Normal"/>
        <w:spacing w:lineRule="auto" w:line="240" w:before="0" w:after="40"/>
        <w:rPr/>
      </w:pPr>
      <w:r>
        <w:rPr/>
      </w:r>
    </w:p>
    <w:p>
      <w:pPr>
        <w:pStyle w:val="Normal"/>
        <w:rPr/>
      </w:pPr>
      <w:r>
        <w:rPr/>
        <w:t>For every claim of redundancy, enumerate the common components that can defeat it. Two VMs can share a host; two hosts can share power or a storage controller; two sites can share the sole identity/KMS or security management dependency. Conversely, a shared fabric can be acceptable when the service’s stated failure scope and isolation controls account for it. The design must disclose the dependency rather than mandate physical duplication of every component.</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047"/>
        <w:gridCol w:w="4563"/>
        <w:gridCol w:w="3469"/>
      </w:tblGrid>
      <w:tr>
        <w:trPr>
          <w:tblHeader w:val="true"/>
          <w:cantSplit w:val="true"/>
        </w:trPr>
        <w:tc>
          <w:tcPr>
            <w:tcW w:w="204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Claim to evaluate</w:t>
            </w:r>
          </w:p>
        </w:tc>
        <w:tc>
          <w:tcPr>
            <w:tcW w:w="4563"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Evidence needed</w:t>
            </w:r>
          </w:p>
        </w:tc>
        <w:tc>
          <w:tcPr>
            <w:tcW w:w="346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Consequence if unresolved</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Host-failure tolerance</w:t>
            </w:r>
          </w:p>
        </w:tc>
        <w:tc>
          <w:tcPr>
            <w:tcW w:w="456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Eligible survivor inventory, reservations and observed restart/evacuation with placement controls.</w:t>
            </w:r>
          </w:p>
        </w:tc>
        <w:tc>
          <w:tcPr>
            <w:tcW w:w="346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Do not advertise the host-failure service objective.</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Rack/link independence</w:t>
            </w:r>
          </w:p>
        </w:tc>
        <w:tc>
          <w:tcPr>
            <w:tcW w:w="456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Actual power/uplink mapping and selected multihoming failure results.</w:t>
            </w:r>
          </w:p>
        </w:tc>
        <w:tc>
          <w:tcPr>
            <w:tcW w:w="346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Treat the common rack/uplink as one failure domain.</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Storage independence</w:t>
            </w:r>
          </w:p>
        </w:tc>
        <w:tc>
          <w:tcPr>
            <w:tcW w:w="456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Backend/controller/media and copy placement, quorum and recovery path.</w:t>
            </w:r>
          </w:p>
        </w:tc>
        <w:tc>
          <w:tcPr>
            <w:tcW w:w="346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Separate datastores or names alone do not establish independence.</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Management recovery</w:t>
            </w:r>
          </w:p>
        </w:tc>
        <w:tc>
          <w:tcPr>
            <w:tcW w:w="456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Surviving OOB/privileged access, protected configuration and trust material.</w:t>
            </w:r>
          </w:p>
        </w:tc>
        <w:tc>
          <w:tcPr>
            <w:tcW w:w="346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Control recovery remains blocked even if workload disks survive.</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Site recovery</w:t>
            </w:r>
          </w:p>
        </w:tc>
        <w:tc>
          <w:tcPr>
            <w:tcW w:w="456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Independent usable target, trust/key/catalogue access, routed connectivity and writer exclusion.</w:t>
            </w:r>
          </w:p>
        </w:tc>
        <w:tc>
          <w:tcPr>
            <w:tcW w:w="346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 replication job alone is not a complete recovery service.</w:t>
            </w:r>
          </w:p>
        </w:tc>
      </w:tr>
    </w:tbl>
    <w:p>
      <w:pPr>
        <w:pStyle w:val="Normal"/>
        <w:spacing w:lineRule="auto" w:line="240" w:before="0" w:after="40"/>
        <w:rPr/>
      </w:pPr>
      <w:r>
        <w:rPr/>
      </w:r>
    </w:p>
    <w:p>
      <w:pPr>
        <w:pStyle w:val="Normal"/>
        <w:rPr/>
      </w:pPr>
      <w:r>
        <w:rPr/>
        <w:t>A site-specific design record remains open until values are supplied and the appropriate owner accepts them. The supplied decision CSV gives the question, required evidence and gate, rather than presenting fabricated environment values as approved. Additional rows are added for genuine local requirements; they do not silently amend the parent’s security semantics.</w:t>
      </w:r>
    </w:p>
    <w:p>
      <w:pPr>
        <w:pStyle w:val="Navigation"/>
        <w:rPr/>
      </w:pPr>
      <w:r>
        <w:rPr/>
        <w:t xml:space="preserve">Related engineering: </w:t>
      </w:r>
      <w:r>
        <w:fldChar w:fldCharType="begin"/>
      </w:r>
      <w:r>
        <w:rPr>
          <w:rStyle w:val="Style"/>
          <w:u w:val="single"/>
          <w:color w:val="176B70"/>
        </w:rPr>
        <w:instrText xml:space="preserve"> HYPERLINK "02_Fabric_Security_and_Interfaces_v1_4.docx" \l "NET_s_006"</w:instrText>
      </w:r>
      <w:r>
        <w:rPr>
          <w:rStyle w:val="Style"/>
          <w:u w:val="single"/>
          <w:color w:val="176B70"/>
        </w:rPr>
        <w:fldChar w:fldCharType="separate"/>
      </w:r>
      <w:r>
        <w:rPr>
          <w:rStyle w:val="Style"/>
          <w:color w:val="176B70"/>
          <w:u w:val="single"/>
        </w:rPr>
        <w:t>Interface ownership</w:t>
      </w:r>
      <w:r>
        <w:rPr>
          <w:rStyle w:val="Style"/>
          <w:u w:val="single"/>
          <w:color w:val="176B70"/>
        </w:rPr>
        <w:fldChar w:fldCharType="end"/>
      </w:r>
      <w:r>
        <w:rPr/>
        <w:t xml:space="preserve">  •  </w:t>
      </w:r>
      <w:r>
        <w:fldChar w:fldCharType="begin"/>
      </w:r>
      <w:r>
        <w:rPr>
          <w:rStyle w:val="Style"/>
          <w:u w:val="single"/>
          <w:color w:val="176B70"/>
        </w:rPr>
        <w:instrText xml:space="preserve"> HYPERLINK "03_Vendor_Stack_Realizations_v1_4.docx" \l "VND_s_002"</w:instrText>
      </w:r>
      <w:r>
        <w:rPr>
          <w:rStyle w:val="Style"/>
          <w:u w:val="single"/>
          <w:color w:val="176B70"/>
        </w:rPr>
        <w:fldChar w:fldCharType="separate"/>
      </w:r>
      <w:r>
        <w:rPr>
          <w:rStyle w:val="Style"/>
          <w:color w:val="176B70"/>
          <w:u w:val="single"/>
        </w:rPr>
        <w:t>Sharing decisions</w:t>
      </w:r>
      <w:r>
        <w:rPr>
          <w:rStyle w:val="Style"/>
          <w:u w:val="single"/>
          <w:color w:val="176B70"/>
        </w:rPr>
        <w:fldChar w:fldCharType="end"/>
      </w:r>
      <w:r>
        <w:rPr/>
        <w:t xml:space="preserve">  •  </w:t>
      </w:r>
      <w:r>
        <w:fldChar w:fldCharType="begin"/>
      </w:r>
      <w:r>
        <w:rPr>
          <w:rStyle w:val="Style"/>
          <w:u w:val="single"/>
          <w:color w:val="176B70"/>
        </w:rPr>
        <w:instrText xml:space="preserve"> HYPERLINK "05_Shared_Services_Data_and_Recovery_v1_4.docx" \l "SVC_s_006"</w:instrText>
      </w:r>
      <w:r>
        <w:rPr>
          <w:rStyle w:val="Style"/>
          <w:u w:val="single"/>
          <w:color w:val="176B70"/>
        </w:rPr>
        <w:fldChar w:fldCharType="separate"/>
      </w:r>
      <w:r>
        <w:rPr>
          <w:rStyle w:val="Style"/>
          <w:color w:val="176B70"/>
          <w:u w:val="single"/>
        </w:rPr>
        <w:t>Recovery dependencies</w:t>
      </w:r>
      <w:r>
        <w:rPr>
          <w:rStyle w:val="Style"/>
          <w:u w:val="single"/>
          <w:color w:val="176B70"/>
        </w:rPr>
        <w:fldChar w:fldCharType="end"/>
      </w:r>
    </w:p>
    <w:p>
      <w:pPr>
        <w:pStyle w:val="Heading1"/>
        <w:rPr/>
      </w:pPr>
      <w:bookmarkStart w:id="6" w:name="__RefHeading___Toc10037_1525915568"/>
      <w:bookmarkStart w:id="7" w:name="QUAL_s_003"/>
      <w:bookmarkEnd w:id="6"/>
      <w:r>
        <w:rPr/>
        <w:t>3. Capacity, service envelopes and growth triggers</w:t>
      </w:r>
      <w:bookmarkEnd w:id="7"/>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"RA_s_004"</w:instrText>
      </w:r>
      <w:r>
        <w:rPr>
          <w:rStyle w:val="Style"/>
          <w:u w:val="single"/>
          <w:color w:val="176B70"/>
        </w:rPr>
        <w:fldChar w:fldCharType="separate"/>
      </w:r>
      <w:r>
        <w:rPr>
          <w:rStyle w:val="Style"/>
          <w:color w:val="176B70"/>
          <w:u w:val="single"/>
        </w:rPr>
        <w:t>RA §4</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"RA_s_011"</w:instrText>
      </w:r>
      <w:r>
        <w:rPr>
          <w:rStyle w:val="Style"/>
          <w:u w:val="single"/>
          <w:color w:val="176B70"/>
        </w:rPr>
        <w:fldChar w:fldCharType="separate"/>
      </w:r>
      <w:r>
        <w:rPr>
          <w:rStyle w:val="Style"/>
          <w:color w:val="176B70"/>
          <w:u w:val="single"/>
        </w:rPr>
        <w:t>RA §11</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"RA_s_012"</w:instrText>
      </w:r>
      <w:r>
        <w:rPr>
          <w:rStyle w:val="Style"/>
          <w:u w:val="single"/>
          <w:color w:val="176B70"/>
        </w:rPr>
        <w:fldChar w:fldCharType="separate"/>
      </w:r>
      <w:r>
        <w:rPr>
          <w:rStyle w:val="Style"/>
          <w:color w:val="176B70"/>
          <w:u w:val="single"/>
        </w:rPr>
        <w:t>RA §12</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"RA_s_014"</w:instrText>
      </w:r>
      <w:r>
        <w:rPr>
          <w:rStyle w:val="Style"/>
          <w:u w:val="single"/>
          <w:color w:val="176B70"/>
        </w:rPr>
        <w:fldChar w:fldCharType="separate"/>
      </w:r>
      <w:r>
        <w:rPr>
          <w:rStyle w:val="Style"/>
          <w:color w:val="176B70"/>
          <w:u w:val="single"/>
        </w:rPr>
        <w:t>RA §14</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"RA_s_026"</w:instrText>
      </w:r>
      <w:r>
        <w:rPr>
          <w:rStyle w:val="Style"/>
          <w:u w:val="single"/>
          <w:color w:val="176B70"/>
        </w:rPr>
        <w:fldChar w:fldCharType="separate"/>
      </w:r>
      <w:r>
        <w:rPr>
          <w:rStyle w:val="Style"/>
          <w:color w:val="176B70"/>
          <w:u w:val="single"/>
        </w:rPr>
        <w:t>RA §26</w:t>
      </w:r>
      <w:r>
        <w:rPr>
          <w:rStyle w:val="Style"/>
          <w:u w:val="single"/>
          <w:color w:val="176B70"/>
        </w:rPr>
        <w:fldChar w:fldCharType="end"/>
      </w:r>
    </w:p>
    <w:p>
      <w:pPr>
        <w:pStyle w:val="Normal"/>
        <w:rPr/>
      </w:pPr>
      <w:r>
        <w:rPr/>
        <w:t>Admission is a multi-resource decision. Evaluate eligible compute, usable storage, inspected edge capacity, routing/policy objects, attachment contexts, addresses, API/service capacity and required recovery reserve together. Requested, reserved, consumed, procured and commissioned capacity are different quantities. A large installed total does not mean a particular service class can safely consume it. [</w:t>
      </w:r>
      <w:hyperlink w:anchor="QUAL_src_B2">
        <w:r>
          <w:rPr>
            <w:rStyle w:val="Style"/>
            <w:color w:val="176B70"/>
            <w:u w:val="single"/>
          </w:rPr>
          <w:t>B2</w:t>
        </w:r>
      </w:hyperlink>
      <w:r>
        <w:rPr/>
        <w:t xml:space="preserve"> §§4, 14, 26]</w:t>
      </w:r>
    </w:p>
    <w:p>
      <w:pPr>
        <w:pStyle w:val="Normal"/>
        <w:rPr/>
      </w:pPr>
      <w:r>
        <w:rPr/>
        <w:t>For each resource, admissible total demand is bounded by the measured qualified capacity surviving the selected failure, less the operational reserve for that same scenario. Existing commitments and the new request must be compared on the same units and accounting basis. Do not subtract a reserve twice if the measured figure already excludes it; do not count an allocation as both reserved and consumed in a total.</w:t>
      </w:r>
    </w:p>
    <w:p>
      <w:pPr>
        <w:pStyle w:val="Normal"/>
        <w:shd w:fill="EEF4F7"/>
        <w:spacing w:before="100" w:after="160"/>
        <w:rPr/>
      </w:pPr>
      <w:r>
        <w:rPr/>
        <w:t>ILLUSTRATIVE ARITHMETIC — NOT A SIZING RECOMMENDATION — The numbers below are invented for a decision example. They are not measured platform limits, product minimums, approved service commitments or government thresholds.</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205"/>
        <w:gridCol w:w="4800"/>
        <w:gridCol w:w="3075"/>
      </w:tblGrid>
      <w:tr>
        <w:trPr>
          <w:tblHeader w:val="true"/>
          <w:cantSplit w:val="true"/>
        </w:trPr>
        <w:tc>
          <w:tcPr>
            <w:tcW w:w="220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Resource and scenario</w:t>
            </w:r>
          </w:p>
        </w:tc>
        <w:tc>
          <w:tcPr>
            <w:tcW w:w="480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Illustrative calculation</w:t>
            </w:r>
          </w:p>
        </w:tc>
        <w:tc>
          <w:tcPr>
            <w:tcW w:w="307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Decision for the new request</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Memory; one of three 256 GiB hosts lost</w:t>
            </w:r>
          </w:p>
        </w:tc>
        <w:tc>
          <w:tcPr>
            <w:tcW w:w="480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Survivor 512 GiB − 64 GiB operating reserve = 448 GiB admissible. Existing 320 + requested 96 = 416 GiB.</w:t>
            </w:r>
          </w:p>
        </w:tc>
        <w:tc>
          <w:tcPr>
            <w:tcW w:w="307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Memory fits, with 32 GiB remaining under this model. Product minima and eligibility still need qualification.</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Usable storage under selected failure</w:t>
            </w:r>
          </w:p>
        </w:tc>
        <w:tc>
          <w:tcPr>
            <w:tcW w:w="480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20 TiB survivor − 4 TiB reserve = 16 TiB. Existing 12 + requested 3 = 15 TiB.</w:t>
            </w:r>
          </w:p>
        </w:tc>
        <w:tc>
          <w:tcPr>
            <w:tcW w:w="307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Capacity fits by 1 TiB; latency/rebuild/backup obligations must also fit.</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Inspected concurrent sessions under edge failure</w:t>
            </w:r>
          </w:p>
        </w:tc>
        <w:tc>
          <w:tcPr>
            <w:tcW w:w="480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10,000 survivor − 2,000 reserve = 8,000. Existing 7,000 + requested 1,500 = 8,500.</w:t>
            </w:r>
          </w:p>
        </w:tc>
        <w:tc>
          <w:tcPr>
            <w:tcW w:w="307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Reject or select another qualified capacity path: 500 sessions above admitted limit.</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Logical attachment slots</w:t>
            </w:r>
          </w:p>
        </w:tc>
        <w:tc>
          <w:tcPr>
            <w:tcW w:w="480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24 accepted − 16 allocated − 2 reserved − 2 unavailable = 4 available; request needs 4.</w:t>
            </w:r>
          </w:p>
        </w:tc>
        <w:tc>
          <w:tcPr>
            <w:tcW w:w="307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Slot count fits, but it cannot override the session-capacity failure.</w:t>
            </w:r>
          </w:p>
        </w:tc>
      </w:tr>
    </w:tbl>
    <w:p>
      <w:pPr>
        <w:pStyle w:val="Normal"/>
        <w:spacing w:lineRule="auto" w:line="240" w:before="0" w:after="40"/>
        <w:rPr/>
      </w:pPr>
      <w:r>
        <w:rPr/>
      </w:r>
    </w:p>
    <w:p>
      <w:pPr>
        <w:pStyle w:val="Normal"/>
        <w:rPr/>
      </w:pPr>
      <w:r>
        <w:rPr/>
        <w:t>The overall allocation is not accepted because one binding resource fails. Do not build an unprotected partial service, merge contexts or borrow security reserve to make the request succeed. Queue, select another already eligible placement, or expand the foundation through the approved work packages. A reservation is owned and time-bounded so an abandoned request does not strand every scarce resource.</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965"/>
        <w:gridCol w:w="4567"/>
        <w:gridCol w:w="3548"/>
      </w:tblGrid>
      <w:tr>
        <w:trPr>
          <w:tblHeader w:val="true"/>
          <w:cantSplit w:val="true"/>
        </w:trPr>
        <w:tc>
          <w:tcPr>
            <w:tcW w:w="196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Capacity dimension</w:t>
            </w:r>
          </w:p>
        </w:tc>
        <w:tc>
          <w:tcPr>
            <w:tcW w:w="456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Measurement and inventory</w:t>
            </w:r>
          </w:p>
        </w:tc>
        <w:tc>
          <w:tcPr>
            <w:tcW w:w="3548"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Growth trigger</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Compute</w:t>
            </w:r>
          </w:p>
        </w:tc>
        <w:tc>
          <w:tcPr>
            <w:tcW w:w="456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Eligible CPU/memory reservations, overcommit, actual host/rack survivor and maintenance load.</w:t>
            </w:r>
          </w:p>
        </w:tc>
        <w:tc>
          <w:tcPr>
            <w:tcW w:w="354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Forecast demand plus deployment lead time approaches safe envelope.</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Storage</w:t>
            </w:r>
          </w:p>
        </w:tc>
        <w:tc>
          <w:tcPr>
            <w:tcW w:w="456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Usable capacity, copy overhead, rebuild, contention and latency percentiles.</w:t>
            </w:r>
          </w:p>
        </w:tc>
        <w:tc>
          <w:tcPr>
            <w:tcW w:w="354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Capacity or performance limit, not only percentage raw disk used.</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Security edge</w:t>
            </w:r>
          </w:p>
        </w:tc>
        <w:tc>
          <w:tcPr>
            <w:tcW w:w="456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Inspection, packets/s, sessions/s, concurrent sessions, NAT ports, logical contexts and logs.</w:t>
            </w:r>
          </w:p>
        </w:tc>
        <w:tc>
          <w:tcPr>
            <w:tcW w:w="354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First applicable measured bottleneck under accepted failure.</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Network and services</w:t>
            </w:r>
          </w:p>
        </w:tc>
        <w:tc>
          <w:tcPr>
            <w:tcW w:w="456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Routes, MAC/neighbor state, policy objects, IP/attachment pools, DNS/key/backup/log/API capacity.</w:t>
            </w:r>
          </w:p>
        </w:tc>
        <w:tc>
          <w:tcPr>
            <w:tcW w:w="354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Any missing co-requisite prevents new accepted service.</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Procurement/commissioning</w:t>
            </w:r>
          </w:p>
        </w:tc>
        <w:tc>
          <w:tcPr>
            <w:tcW w:w="456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Ordered, received, staged, commissioned, reserved and consumed with age/support owner.</w:t>
            </w:r>
          </w:p>
        </w:tc>
        <w:tc>
          <w:tcPr>
            <w:tcW w:w="354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Stranded capacity or late expansion threatens service availability.</w:t>
            </w:r>
          </w:p>
        </w:tc>
      </w:tr>
    </w:tbl>
    <w:p>
      <w:pPr>
        <w:pStyle w:val="Normal"/>
        <w:spacing w:lineRule="auto" w:line="240" w:before="0" w:after="40"/>
        <w:rPr/>
      </w:pPr>
      <w:r>
        <w:rPr/>
      </w:r>
    </w:p>
    <w:p>
      <w:pPr>
        <w:pStyle w:val="Normal"/>
        <w:rPr/>
      </w:pPr>
      <w:r>
        <w:rPr/>
        <w:t>Showback can attribute scarce dedicated hosts, retained backup capacity, inspected edge use and inter-site movement to the offered service. Cost calculations and claimed savings require actual inventory and rates; no savings are inferred from the reference topology. Capacity reporting should identify why purchased resources cannot yet be consumed, including missing licences, network attachments, staff, storage or protection integration.</w:t>
      </w:r>
    </w:p>
    <w:p>
      <w:pPr>
        <w:pStyle w:val="Navigation"/>
        <w:rPr/>
      </w:pPr>
      <w:r>
        <w:rPr/>
        <w:t xml:space="preserve">Related engineering: </w:t>
      </w:r>
      <w:r>
        <w:fldChar w:fldCharType="begin"/>
      </w:r>
      <w:r>
        <w:rPr>
          <w:rStyle w:val="Style"/>
          <w:u w:val="single"/>
          <w:color w:val="176B70"/>
        </w:rPr>
        <w:instrText xml:space="preserve"> HYPERLINK "02_Fabric_Security_and_Interfaces_v1_4.docx" \l "NET_s_002"</w:instrText>
      </w:r>
      <w:r>
        <w:rPr>
          <w:rStyle w:val="Style"/>
          <w:u w:val="single"/>
          <w:color w:val="176B70"/>
        </w:rPr>
        <w:fldChar w:fldCharType="separate"/>
      </w:r>
      <w:r>
        <w:rPr>
          <w:rStyle w:val="Style"/>
          <w:color w:val="176B70"/>
          <w:u w:val="single"/>
        </w:rPr>
        <w:t>Attachment units</w:t>
      </w:r>
      <w:r>
        <w:rPr>
          <w:rStyle w:val="Style"/>
          <w:u w:val="single"/>
          <w:color w:val="176B70"/>
        </w:rPr>
        <w:fldChar w:fldCharType="end"/>
      </w:r>
      <w:r>
        <w:rPr/>
        <w:t xml:space="preserve">  •  </w:t>
      </w:r>
      <w:r>
        <w:fldChar w:fldCharType="begin"/>
      </w:r>
      <w:r>
        <w:rPr>
          <w:rStyle w:val="Style"/>
          <w:u w:val="single"/>
          <w:color w:val="176B70"/>
        </w:rPr>
        <w:instrText xml:space="preserve"> HYPERLINK "02_Fabric_Security_and_Interfaces_v1_4.docx" \l "NET_s_005"</w:instrText>
      </w:r>
      <w:r>
        <w:rPr>
          <w:rStyle w:val="Style"/>
          <w:u w:val="single"/>
          <w:color w:val="176B70"/>
        </w:rPr>
        <w:fldChar w:fldCharType="separate"/>
      </w:r>
      <w:r>
        <w:rPr>
          <w:rStyle w:val="Style"/>
          <w:color w:val="176B70"/>
          <w:u w:val="single"/>
        </w:rPr>
        <w:t>Performance/failure observations</w:t>
      </w:r>
      <w:r>
        <w:rPr>
          <w:rStyle w:val="Style"/>
          <w:u w:val="single"/>
          <w:color w:val="176B70"/>
        </w:rPr>
        <w:fldChar w:fldCharType="end"/>
      </w:r>
    </w:p>
    <w:p>
      <w:pPr>
        <w:pStyle w:val="Heading1"/>
        <w:rPr/>
      </w:pPr>
      <w:bookmarkStart w:id="8" w:name="__RefHeading___Toc10039_1525915568"/>
      <w:bookmarkStart w:id="9" w:name="QUAL_s_004"/>
      <w:bookmarkEnd w:id="8"/>
      <w:r>
        <w:rPr/>
        <w:t>4. Service parameter and requirement decisions</w:t>
      </w:r>
      <w:bookmarkEnd w:id="9"/>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"RA_s_011"</w:instrText>
      </w:r>
      <w:r>
        <w:rPr>
          <w:rStyle w:val="Style"/>
          <w:u w:val="single"/>
          <w:color w:val="176B70"/>
        </w:rPr>
        <w:fldChar w:fldCharType="separate"/>
      </w:r>
      <w:r>
        <w:rPr>
          <w:rStyle w:val="Style"/>
          <w:color w:val="176B70"/>
          <w:u w:val="single"/>
        </w:rPr>
        <w:t>RA §11</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"RA_s_012"</w:instrText>
      </w:r>
      <w:r>
        <w:rPr>
          <w:rStyle w:val="Style"/>
          <w:u w:val="single"/>
          <w:color w:val="176B70"/>
        </w:rPr>
        <w:fldChar w:fldCharType="separate"/>
      </w:r>
      <w:r>
        <w:rPr>
          <w:rStyle w:val="Style"/>
          <w:color w:val="176B70"/>
          <w:u w:val="single"/>
        </w:rPr>
        <w:t>RA §12</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"RA_s_013"</w:instrText>
      </w:r>
      <w:r>
        <w:rPr>
          <w:rStyle w:val="Style"/>
          <w:u w:val="single"/>
          <w:color w:val="176B70"/>
        </w:rPr>
        <w:fldChar w:fldCharType="separate"/>
      </w:r>
      <w:r>
        <w:rPr>
          <w:rStyle w:val="Style"/>
          <w:color w:val="176B70"/>
          <w:u w:val="single"/>
        </w:rPr>
        <w:t>RA §13</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"RA_s_014"</w:instrText>
      </w:r>
      <w:r>
        <w:rPr>
          <w:rStyle w:val="Style"/>
          <w:u w:val="single"/>
          <w:color w:val="176B70"/>
        </w:rPr>
        <w:fldChar w:fldCharType="separate"/>
      </w:r>
      <w:r>
        <w:rPr>
          <w:rStyle w:val="Style"/>
          <w:color w:val="176B70"/>
          <w:u w:val="single"/>
        </w:rPr>
        <w:t>RA §14</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"RA_s_026"</w:instrText>
      </w:r>
      <w:r>
        <w:rPr>
          <w:rStyle w:val="Style"/>
          <w:u w:val="single"/>
          <w:color w:val="176B70"/>
        </w:rPr>
        <w:fldChar w:fldCharType="separate"/>
      </w:r>
      <w:r>
        <w:rPr>
          <w:rStyle w:val="Style"/>
          <w:color w:val="176B70"/>
          <w:u w:val="single"/>
        </w:rPr>
        <w:t>RA §26</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"RA_s_030"</w:instrText>
      </w:r>
      <w:r>
        <w:rPr>
          <w:rStyle w:val="Style"/>
          <w:u w:val="single"/>
          <w:color w:val="176B70"/>
        </w:rPr>
        <w:fldChar w:fldCharType="separate"/>
      </w:r>
      <w:r>
        <w:rPr>
          <w:rStyle w:val="Style"/>
          <w:color w:val="176B70"/>
          <w:u w:val="single"/>
        </w:rPr>
        <w:t>RA §30</w:t>
      </w:r>
      <w:r>
        <w:rPr>
          <w:rStyle w:val="Style"/>
          <w:u w:val="single"/>
          <w:color w:val="176B70"/>
        </w:rPr>
        <w:fldChar w:fldCharType="end"/>
      </w:r>
    </w:p>
    <w:p>
      <w:pPr>
        <w:pStyle w:val="Normal"/>
        <w:rPr/>
      </w:pPr>
      <w:r>
        <w:rPr/>
        <w:t>The service owner defines required outcomes with the relevant data, security and operations owners; engineering demonstrates feasibility. Do not replace an unfilled RTO, RPO, retention or isolation decision with a product default. A security availability-impact category is not an uptime percentage, and synchronous replication is not automatic proof of an application recovery objective. [</w:t>
      </w:r>
      <w:hyperlink w:anchor="QUAL_src_B2">
        <w:r>
          <w:rPr>
            <w:rStyle w:val="Style"/>
            <w:color w:val="176B70"/>
            <w:u w:val="single"/>
          </w:rPr>
          <w:t>B2</w:t>
        </w:r>
      </w:hyperlink>
      <w:r>
        <w:rPr/>
        <w:t xml:space="preserve"> §14]</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122"/>
        <w:gridCol w:w="4410"/>
        <w:gridCol w:w="3548"/>
      </w:tblGrid>
      <w:tr>
        <w:trPr>
          <w:tblHeader w:val="true"/>
          <w:cantSplit w:val="true"/>
        </w:trPr>
        <w:tc>
          <w:tcPr>
            <w:tcW w:w="2122"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Parameter group</w:t>
            </w:r>
          </w:p>
        </w:tc>
        <w:tc>
          <w:tcPr>
            <w:tcW w:w="441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Decision to record</w:t>
            </w:r>
          </w:p>
        </w:tc>
        <w:tc>
          <w:tcPr>
            <w:tcW w:w="3548"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Required validation</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Service scope and category</w:t>
            </w:r>
          </w:p>
        </w:tc>
        <w:tc>
          <w:tcPr>
            <w:tcW w:w="441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Resource/service boundary; confidentiality, integrity and availability impact; explicit excluded classes.</w:t>
            </w:r>
          </w:p>
        </w:tc>
        <w:tc>
          <w:tcPr>
            <w:tcW w:w="354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Applicable control/placement envelope accepted by responsible authorities.</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Availability objective</w:t>
            </w:r>
          </w:p>
        </w:tc>
        <w:tc>
          <w:tcPr>
            <w:tcW w:w="441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Measured endpoint/operation, success definition, observation interval, maintenance accounting and failure scope.</w:t>
            </w:r>
          </w:p>
        </w:tc>
        <w:tc>
          <w:tcPr>
            <w:tcW w:w="354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Observed service result under offered topology; exclusions visible.</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Recovery objectives</w:t>
            </w:r>
          </w:p>
        </w:tc>
        <w:tc>
          <w:tcPr>
            <w:tcW w:w="441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RTO start/end milestones, RPO recoverable consistency point, target/site policy and acceptance owner.</w:t>
            </w:r>
          </w:p>
        </w:tc>
        <w:tc>
          <w:tcPr>
            <w:tcW w:w="354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Restore/failover includes actual dependencies and useful recovered data.</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Performance and capacity</w:t>
            </w:r>
          </w:p>
        </w:tc>
        <w:tc>
          <w:tcPr>
            <w:tcW w:w="441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Guaranteed versus best-effort resource quantities, contention model and operating reserve.</w:t>
            </w:r>
          </w:p>
        </w:tc>
        <w:tc>
          <w:tcPr>
            <w:tcW w:w="354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Unit-consistent measurements under specified load/failure.</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Retention and disposal</w:t>
            </w:r>
          </w:p>
        </w:tc>
        <w:tc>
          <w:tcPr>
            <w:tcW w:w="441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Data/copy/evidence retention, holds, custodians, key lifetime and disposition authority.</w:t>
            </w:r>
          </w:p>
        </w:tc>
        <w:tc>
          <w:tcPr>
            <w:tcW w:w="354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No premature key/copy loss; approved sanitization and remaining-copy record.</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Privilege and protocols</w:t>
            </w:r>
          </w:p>
        </w:tc>
        <w:tc>
          <w:tcPr>
            <w:tcW w:w="441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Target scope, identity strength, sessions/revocation, protocol/crypto profile and exceptions.</w:t>
            </w:r>
          </w:p>
        </w:tc>
        <w:tc>
          <w:tcPr>
            <w:tcW w:w="354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Actual configuration, endpoint identity and loss/recovery behaviour.</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Observation and cadence</w:t>
            </w:r>
          </w:p>
        </w:tc>
        <w:tc>
          <w:tcPr>
            <w:tcW w:w="441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Required events, forwarding/buffering, evidence freshness and recovery/review frequency.</w:t>
            </w:r>
          </w:p>
        </w:tc>
        <w:tc>
          <w:tcPr>
            <w:tcW w:w="354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One approved parameter source; test schedules refer to it rather than conflict.</w:t>
            </w:r>
          </w:p>
        </w:tc>
      </w:tr>
    </w:tbl>
    <w:p>
      <w:pPr>
        <w:pStyle w:val="Normal"/>
        <w:spacing w:lineRule="auto" w:line="240" w:before="0" w:after="40"/>
        <w:rPr/>
      </w:pPr>
      <w:r>
        <w:rPr/>
      </w:r>
    </w:p>
    <w:p>
      <w:pPr>
        <w:pStyle w:val="Normal"/>
        <w:rPr/>
      </w:pPr>
      <w:r>
        <w:rPr/>
        <w:t>The decision record contains proposed and approved values, measurement method, rationale, exact target profile, owner, approving authority, effective/review dates and impacts on dependent services. Reassessment follows material changes, not only a calendar date. A tighter service promise can require more independent capacity or a different platform; it cannot be obtained by relabelling the same untested topology.</w:t>
      </w:r>
    </w:p>
    <w:p>
      <w:pPr>
        <w:pStyle w:val="Normal"/>
        <w:rPr/>
      </w:pPr>
      <w:r>
        <w:rPr/>
        <w:t>Proposed examples in older material are not adopted values. Where inherited test procedures specify a cadence that differs from a subsequently approved service parameter, record the discrepancy and explicitly align the implementation test campaign. Do not silently change the historical procedure or select the more convenient schedule without authority.</w:t>
      </w:r>
    </w:p>
    <w:p>
      <w:pPr>
        <w:pStyle w:val="Navigation"/>
        <w:rPr/>
      </w:pPr>
      <w:r>
        <w:rPr/>
        <w:t xml:space="preserve">Related engineering: </w:t>
      </w:r>
      <w:r>
        <w:fldChar w:fldCharType="begin"/>
      </w:r>
      <w:r>
        <w:rPr>
          <w:rStyle w:val="Style"/>
          <w:u w:val="single"/>
          <w:color w:val="176B70"/>
        </w:rPr>
        <w:instrText xml:space="preserve"> HYPERLINK "01_Gap_Map_and_Decision_Register_v1_4.docx" \l "GM_s_003"</w:instrText>
      </w:r>
      <w:r>
        <w:rPr>
          <w:rStyle w:val="Style"/>
          <w:u w:val="single"/>
          <w:color w:val="176B70"/>
        </w:rPr>
        <w:fldChar w:fldCharType="separate"/>
      </w:r>
      <w:r>
        <w:rPr>
          <w:rStyle w:val="Style"/>
          <w:color w:val="176B70"/>
          <w:u w:val="single"/>
        </w:rPr>
        <w:t>Open service decisions</w:t>
      </w:r>
      <w:r>
        <w:rPr>
          <w:rStyle w:val="Style"/>
          <w:u w:val="single"/>
          <w:color w:val="176B70"/>
        </w:rPr>
        <w:fldChar w:fldCharType="end"/>
      </w:r>
      <w:r>
        <w:rPr/>
        <w:t xml:space="preserve">  •  </w:t>
      </w:r>
      <w:r>
        <w:fldChar w:fldCharType="begin"/>
      </w:r>
      <w:r>
        <w:rPr>
          <w:rStyle w:val="Style"/>
          <w:u w:val="single"/>
          <w:color w:val="176B70"/>
        </w:rPr>
        <w:instrText xml:space="preserve"> HYPERLINK "05_Shared_Services_Data_and_Recovery_v1_4.docx" \l "SVC_s_005"</w:instrText>
      </w:r>
      <w:r>
        <w:rPr>
          <w:rStyle w:val="Style"/>
          <w:u w:val="single"/>
          <w:color w:val="176B70"/>
        </w:rPr>
        <w:fldChar w:fldCharType="separate"/>
      </w:r>
      <w:r>
        <w:rPr>
          <w:rStyle w:val="Style"/>
          <w:color w:val="176B70"/>
          <w:u w:val="single"/>
        </w:rPr>
        <w:t>Measured restore boundary</w:t>
      </w:r>
      <w:r>
        <w:rPr>
          <w:rStyle w:val="Style"/>
          <w:u w:val="single"/>
          <w:color w:val="176B70"/>
        </w:rPr>
        <w:fldChar w:fldCharType="end"/>
      </w:r>
    </w:p>
    <w:p>
      <w:pPr>
        <w:pStyle w:val="Heading1"/>
        <w:rPr/>
      </w:pPr>
      <w:bookmarkStart w:id="10" w:name="__RefHeading___Toc10041_1525915568"/>
      <w:bookmarkStart w:id="11" w:name="QUAL_s_005"/>
      <w:bookmarkEnd w:id="10"/>
      <w:r>
        <w:rPr/>
        <w:t>5. Qualification stages, applicability and evidence</w:t>
      </w:r>
      <w:bookmarkEnd w:id="11"/>
    </w:p>
    <w:p>
      <w:pPr>
        <w:pStyle w:val="Normal"/>
        <w:spacing w:before="0" w:after="160"/>
        <w:rPr/>
      </w:pPr>
      <w:r>
        <w:rPr/>
        <w:t>WD §13 adds twelve connected-design assertions with all execution statuses not-run. Same-domain qualification requires an actual endpoint pair and approved placement; the four-endpoint base fixture alone cannot supply it. WD §11 records the extra temporary resource demand. No test is deemed passed from a diagram, a schema check or a count of linked requirements.</w:t>
      </w:r>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"RA_s_015"</w:instrText>
      </w:r>
      <w:r>
        <w:rPr>
          <w:rStyle w:val="Style"/>
          <w:u w:val="single"/>
          <w:color w:val="176B70"/>
        </w:rPr>
        <w:fldChar w:fldCharType="separate"/>
      </w:r>
      <w:r>
        <w:rPr>
          <w:rStyle w:val="Style"/>
          <w:color w:val="176B70"/>
          <w:u w:val="single"/>
        </w:rPr>
        <w:t>RA §15</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"RA_s_028"</w:instrText>
      </w:r>
      <w:r>
        <w:rPr>
          <w:rStyle w:val="Style"/>
          <w:u w:val="single"/>
          <w:color w:val="176B70"/>
        </w:rPr>
        <w:fldChar w:fldCharType="separate"/>
      </w:r>
      <w:r>
        <w:rPr>
          <w:rStyle w:val="Style"/>
          <w:color w:val="176B70"/>
          <w:u w:val="single"/>
        </w:rPr>
        <w:t>RA §28</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"RA_s_030"</w:instrText>
      </w:r>
      <w:r>
        <w:rPr>
          <w:rStyle w:val="Style"/>
          <w:u w:val="single"/>
          <w:color w:val="176B70"/>
        </w:rPr>
        <w:fldChar w:fldCharType="separate"/>
      </w:r>
      <w:r>
        <w:rPr>
          <w:rStyle w:val="Style"/>
          <w:color w:val="176B70"/>
          <w:u w:val="single"/>
        </w:rPr>
        <w:t>RA §30</w:t>
      </w:r>
      <w:r>
        <w:rPr>
          <w:rStyle w:val="Style"/>
          <w:u w:val="single"/>
          <w:color w:val="176B70"/>
        </w:rPr>
        <w:fldChar w:fldCharType="end"/>
      </w:r>
    </w:p>
    <w:p>
      <w:pPr>
        <w:pStyle w:val="Normal"/>
        <w:rPr/>
      </w:pPr>
      <w:r>
        <w:rPr/>
        <w:t>The retained 80 CT procedures and 12 realization addenda are reference specifications, all carried forward as not-run. This release does not execute infrastructure tests. Select procedures and individual required observations against the actual offered service class, topology, address family, sharing mode and change. A reference list is not itself a test campaign or proof that every assertion is covered. [</w:t>
      </w:r>
      <w:hyperlink w:anchor="QUAL_src_B2">
        <w:r>
          <w:rPr>
            <w:rStyle w:val="Style"/>
            <w:color w:val="176B70"/>
            <w:u w:val="single"/>
          </w:rPr>
          <w:t>B2</w:t>
        </w:r>
      </w:hyperlink>
      <w:r>
        <w:rPr/>
        <w:t xml:space="preserve"> §28]</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360"/>
        <w:gridCol w:w="4014"/>
        <w:gridCol w:w="3705"/>
      </w:tblGrid>
      <w:tr>
        <w:trPr>
          <w:tblHeader w:val="true"/>
          <w:cantSplit w:val="true"/>
        </w:trPr>
        <w:tc>
          <w:tcPr>
            <w:tcW w:w="236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Qualification stage</w:t>
            </w:r>
          </w:p>
        </w:tc>
        <w:tc>
          <w:tcPr>
            <w:tcW w:w="401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Scope</w:t>
            </w:r>
          </w:p>
        </w:tc>
        <w:tc>
          <w:tcPr>
            <w:tcW w:w="370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Avoid circular or overstated acceptance</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First-stack foundation/service qualification</w:t>
            </w:r>
          </w:p>
        </w:tc>
        <w:tc>
          <w:tcPr>
            <w:tcW w:w="401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All applicable single-stack isolation, resource, management, lifecycle, failure and recovery observations.</w:t>
            </w:r>
          </w:p>
        </w:tc>
        <w:tc>
          <w:tcPr>
            <w:tcW w:w="37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Do not require two already-qualified platforms as a prerequisite to qualifying the first.</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Second-stack outcome comparison</w:t>
            </w:r>
          </w:p>
        </w:tc>
        <w:tc>
          <w:tcPr>
            <w:tcW w:w="401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Repeat the common fixture and expected service/security outcomes on the second eligible realization.</w:t>
            </w:r>
          </w:p>
        </w:tc>
        <w:tc>
          <w:tcPr>
            <w:tcW w:w="37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Equivalent semantics, not identical native object IDs.</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Portability/exit qualification</w:t>
            </w:r>
          </w:p>
        </w:tc>
        <w:tc>
          <w:tcPr>
            <w:tcW w:w="401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Representative image/data transfer or restore, identity/key/network rebinding and service acceptance.</w:t>
            </w:r>
          </w:p>
        </w:tc>
        <w:tc>
          <w:tcPr>
            <w:tcW w:w="37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Provisioning on two platforms alone does not prove migration or data portability.</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Routine tenant deployment/change</w:t>
            </w:r>
          </w:p>
        </w:tc>
        <w:tc>
          <w:tcPr>
            <w:tcW w:w="401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Affected paths/resources plus stable critical isolation, service and ownership checks.</w:t>
            </w:r>
          </w:p>
        </w:tc>
        <w:tc>
          <w:tcPr>
            <w:tcW w:w="37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Avoid destructive shared-platform fault injection on every tenant create.</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Shared foundation upgrade</w:t>
            </w:r>
          </w:p>
        </w:tc>
        <w:tc>
          <w:tcPr>
            <w:tcW w:w="401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Representative affected lifecycle, path, capacity and failure regression before broad rollout.</w:t>
            </w:r>
          </w:p>
        </w:tc>
        <w:tc>
          <w:tcPr>
            <w:tcW w:w="37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 provider/version change can alter behaviour even when request syntax is unchanged.</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Operational recovery and retirement</w:t>
            </w:r>
          </w:p>
        </w:tc>
        <w:tc>
          <w:tcPr>
            <w:tcW w:w="401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Accepted cadence plus material changes; isolated restore, writer control, access/copy cleanup.</w:t>
            </w:r>
          </w:p>
        </w:tc>
        <w:tc>
          <w:tcPr>
            <w:tcW w:w="37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Not-run or unknown outcome cannot satisfy a mandatory service promise.</w:t>
            </w:r>
          </w:p>
        </w:tc>
      </w:tr>
    </w:tbl>
    <w:p>
      <w:pPr>
        <w:pStyle w:val="Normal"/>
        <w:spacing w:lineRule="auto" w:line="240" w:before="0" w:after="40"/>
        <w:rPr/>
      </w:pPr>
      <w:r>
        <w:rPr/>
      </w:r>
    </w:p>
    <w:p>
      <w:pPr>
        <w:pStyle w:val="Normal"/>
        <w:rPr/>
      </w:pPr>
      <w:r>
        <w:rPr/>
        <w:t>For a compound requirement, list its assertions and show the observation supporting each. For example, management separation includes routing isolation, native API permission and surviving recovery access; one ping failure cannot prove all three. Many-to-many requirement/test links are useful navigation but do not substitute for assertion coverage. This is an assurance record, not a demand for a new evidence microservice.</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047"/>
        <w:gridCol w:w="4174"/>
        <w:gridCol w:w="3859"/>
      </w:tblGrid>
      <w:tr>
        <w:trPr>
          <w:tblHeader w:val="true"/>
          <w:cantSplit w:val="true"/>
        </w:trPr>
        <w:tc>
          <w:tcPr>
            <w:tcW w:w="204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Observation class</w:t>
            </w:r>
          </w:p>
        </w:tc>
        <w:tc>
          <w:tcPr>
            <w:tcW w:w="417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Example from the reference fixture</w:t>
            </w:r>
          </w:p>
        </w:tc>
        <w:tc>
          <w:tcPr>
            <w:tcW w:w="385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Required evidence</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Tenant/domain isolation</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D01O/R cannot reach D02O/R; processor-01 reaches only the declared data-01 service.</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Healthy allowed controls, actual policy/routing and attributed deny/allow observations.</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Native boundary path</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No VPC connected, Tier-0/inter-VRF or Neutron distributed/provider shortcut.</w:t>
            </w:r>
          </w:p>
        </w:tc>
        <w:tc>
          <w:tcPr>
            <w:tcW w:w="385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Native configuration and data-path/enforcement trace on selected tuple.</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Resource and trust isolation</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Foreign disk/copy/key use and administrative scope denied.</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Target-service decisions and actual ownership/custody records.</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Safe lifecycle</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Lost API response, changed approval, import, update and delete reconcile correctly.</w:t>
            </w:r>
          </w:p>
        </w:tc>
        <w:tc>
          <w:tcPr>
            <w:tcW w:w="385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Native task/state comparison, no unexpected replacement or orphaned authority.</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Failure and recovery</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Edge loss, eligible host restart, KMS/control outage and isolated restore.</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Authorized fault scope, timestamps, survivor capacity, consistency and controlled recovery.</w:t>
            </w:r>
          </w:p>
        </w:tc>
      </w:tr>
    </w:tbl>
    <w:p>
      <w:pPr>
        <w:pStyle w:val="Normal"/>
        <w:spacing w:lineRule="auto" w:line="240" w:before="0" w:after="40"/>
        <w:rPr/>
      </w:pPr>
      <w:r>
        <w:rPr/>
      </w:r>
    </w:p>
    <w:p>
      <w:pPr>
        <w:pStyle w:val="Normal"/>
        <w:rPr/>
      </w:pPr>
      <w:r>
        <w:rPr/>
        <w:t>Each actual execution identifies the exact component/API/provider releases, topology, service parameters, applicable requirement assertions, address families, endpoints, preconditions, observed result, artifact identity and reviewer. Acceptable outcomes distinguish passed, failed, blocked, not-run and not-applicable with approved rationale. No unexecuted test is prefilled as passed, and an unsigned status string is not a formal risk decision.</w:t>
      </w:r>
    </w:p>
    <w:p>
      <w:pPr>
        <w:pStyle w:val="Normal"/>
        <w:rPr/>
      </w:pPr>
      <w:r>
        <w:rPr/>
        <w:t>Intrusive negative tests and fault injection require authorization, an isolated or controlled scope and a recovery procedure protecting unrelated tenants. Tests establish outcomes for the measured scope; a small fixture is not proof of maximum production scale or every possible path. Requalification follows changes to the used enforcement, topology, backend, sharing or service constraints.</w:t>
      </w:r>
    </w:p>
    <w:p>
      <w:pPr>
        <w:pStyle w:val="Navigation"/>
        <w:rPr/>
      </w:pPr>
      <w:r>
        <w:rPr/>
        <w:t xml:space="preserve">Related engineering: </w:t>
      </w:r>
      <w:r>
        <w:fldChar w:fldCharType="begin"/>
      </w:r>
      <w:r>
        <w:rPr>
          <w:rStyle w:val="Style"/>
          <w:u w:val="single"/>
          <w:color w:val="176B70"/>
        </w:rPr>
        <w:instrText xml:space="preserve"> HYPERLINK "02_Fabric_Security_and_Interfaces_v1_4.docx" \l "NET_s_003"</w:instrText>
      </w:r>
      <w:r>
        <w:rPr>
          <w:rStyle w:val="Style"/>
          <w:u w:val="single"/>
          <w:color w:val="176B70"/>
        </w:rPr>
        <w:fldChar w:fldCharType="separate"/>
      </w:r>
      <w:r>
        <w:rPr>
          <w:rStyle w:val="Style"/>
          <w:color w:val="176B70"/>
          <w:u w:val="single"/>
        </w:rPr>
        <w:t>Paths and expected denials</w:t>
      </w:r>
      <w:r>
        <w:rPr>
          <w:rStyle w:val="Style"/>
          <w:u w:val="single"/>
          <w:color w:val="176B70"/>
        </w:rPr>
        <w:fldChar w:fldCharType="end"/>
      </w:r>
      <w:r>
        <w:rPr/>
        <w:t xml:space="preserve">  •  </w:t>
      </w:r>
      <w:r>
        <w:fldChar w:fldCharType="begin"/>
      </w:r>
      <w:r>
        <w:rPr>
          <w:rStyle w:val="Style"/>
          <w:u w:val="single"/>
          <w:color w:val="176B70"/>
        </w:rPr>
        <w:instrText xml:space="preserve"> HYPERLINK "03_Vendor_Stack_Realizations_v1_4.docx" \l "VND_s_007"</w:instrText>
      </w:r>
      <w:r>
        <w:rPr>
          <w:rStyle w:val="Style"/>
          <w:u w:val="single"/>
          <w:color w:val="176B70"/>
        </w:rPr>
        <w:fldChar w:fldCharType="separate"/>
      </w:r>
      <w:r>
        <w:rPr>
          <w:rStyle w:val="Style"/>
          <w:color w:val="176B70"/>
          <w:u w:val="single"/>
        </w:rPr>
        <w:t>Actual qualification tuple</w:t>
      </w:r>
      <w:r>
        <w:rPr>
          <w:rStyle w:val="Style"/>
          <w:u w:val="single"/>
          <w:color w:val="176B70"/>
        </w:rPr>
        <w:fldChar w:fldCharType="end"/>
      </w:r>
      <w:r>
        <w:rPr/>
        <w:t xml:space="preserve">  •  </w:t>
      </w:r>
      <w:hyperlink w:anchor="QUAL_s_006">
        <w:r>
          <w:rPr>
            <w:rStyle w:val="Style"/>
            <w:color w:val="176B70"/>
            <w:u w:val="single"/>
          </w:rPr>
          <w:t>Control responsibility</w:t>
        </w:r>
      </w:hyperlink>
    </w:p>
    <w:p>
      <w:pPr>
        <w:pStyle w:val="Heading1"/>
        <w:rPr/>
      </w:pPr>
      <w:bookmarkStart w:id="12" w:name="__RefHeading___Toc10043_1525915568"/>
      <w:bookmarkStart w:id="13" w:name="QUAL_s_006"/>
      <w:bookmarkEnd w:id="12"/>
      <w:r>
        <w:rPr/>
        <w:t>6. Control inheritance, assurance and organizational interfaces</w:t>
      </w:r>
      <w:bookmarkEnd w:id="13"/>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"RA_s_001"</w:instrText>
      </w:r>
      <w:r>
        <w:rPr>
          <w:rStyle w:val="Style"/>
          <w:u w:val="single"/>
          <w:color w:val="176B70"/>
        </w:rPr>
        <w:fldChar w:fldCharType="separate"/>
      </w:r>
      <w:r>
        <w:rPr>
          <w:rStyle w:val="Style"/>
          <w:color w:val="176B70"/>
          <w:u w:val="single"/>
        </w:rPr>
        <w:t>RA §1</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"RA_s_006"</w:instrText>
      </w:r>
      <w:r>
        <w:rPr>
          <w:rStyle w:val="Style"/>
          <w:u w:val="single"/>
          <w:color w:val="176B70"/>
        </w:rPr>
        <w:fldChar w:fldCharType="separate"/>
      </w:r>
      <w:r>
        <w:rPr>
          <w:rStyle w:val="Style"/>
          <w:color w:val="176B70"/>
          <w:u w:val="single"/>
        </w:rPr>
        <w:t>RA §6</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"RA_s_007"</w:instrText>
      </w:r>
      <w:r>
        <w:rPr>
          <w:rStyle w:val="Style"/>
          <w:u w:val="single"/>
          <w:color w:val="176B70"/>
        </w:rPr>
        <w:fldChar w:fldCharType="separate"/>
      </w:r>
      <w:r>
        <w:rPr>
          <w:rStyle w:val="Style"/>
          <w:color w:val="176B70"/>
          <w:u w:val="single"/>
        </w:rPr>
        <w:t>RA §7</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"RA_s_013"</w:instrText>
      </w:r>
      <w:r>
        <w:rPr>
          <w:rStyle w:val="Style"/>
          <w:u w:val="single"/>
          <w:color w:val="176B70"/>
        </w:rPr>
        <w:fldChar w:fldCharType="separate"/>
      </w:r>
      <w:r>
        <w:rPr>
          <w:rStyle w:val="Style"/>
          <w:color w:val="176B70"/>
          <w:u w:val="single"/>
        </w:rPr>
        <w:t>RA §13</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"RA_s_026"</w:instrText>
      </w:r>
      <w:r>
        <w:rPr>
          <w:rStyle w:val="Style"/>
          <w:u w:val="single"/>
          <w:color w:val="176B70"/>
        </w:rPr>
        <w:fldChar w:fldCharType="separate"/>
      </w:r>
      <w:r>
        <w:rPr>
          <w:rStyle w:val="Style"/>
          <w:color w:val="176B70"/>
          <w:u w:val="single"/>
        </w:rPr>
        <w:t>RA §26</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"RA_s_028"</w:instrText>
      </w:r>
      <w:r>
        <w:rPr>
          <w:rStyle w:val="Style"/>
          <w:u w:val="single"/>
          <w:color w:val="176B70"/>
        </w:rPr>
        <w:fldChar w:fldCharType="separate"/>
      </w:r>
      <w:r>
        <w:rPr>
          <w:rStyle w:val="Style"/>
          <w:color w:val="176B70"/>
          <w:u w:val="single"/>
        </w:rPr>
        <w:t>RA §28</w:t>
      </w:r>
      <w:r>
        <w:rPr>
          <w:rStyle w:val="Style"/>
          <w:u w:val="single"/>
          <w:color w:val="176B70"/>
        </w:rPr>
        <w:fldChar w:fldCharType="end"/>
      </w:r>
    </w:p>
    <w:p>
      <w:pPr>
        <w:pStyle w:val="Normal"/>
        <w:rPr/>
      </w:pPr>
      <w:r>
        <w:rPr/>
        <w:t>The architecture supplies infrastructure controls and defined interfaces to organization-wide controls. It does not replace the personnel, facility, procurement, maintenance, training, privacy or risk-management authorities. For each selected control and parameter, identify provider implementation, tenant implementation, shared responsibility or accepted inheritance, and retain evidence of the boundary. [</w:t>
      </w:r>
      <w:hyperlink w:anchor="QUAL_src_B2">
        <w:r>
          <w:rPr>
            <w:rStyle w:val="Style"/>
            <w:color w:val="176B70"/>
            <w:u w:val="single"/>
          </w:rPr>
          <w:t>B2</w:t>
        </w:r>
      </w:hyperlink>
      <w:r>
        <w:rPr/>
        <w:t xml:space="preserve"> §§1, 26, 28]</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122"/>
        <w:gridCol w:w="4178"/>
        <w:gridCol w:w="3780"/>
      </w:tblGrid>
      <w:tr>
        <w:trPr>
          <w:tblHeader w:val="true"/>
          <w:cantSplit w:val="true"/>
        </w:trPr>
        <w:tc>
          <w:tcPr>
            <w:tcW w:w="2122"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Control interface</w:t>
            </w:r>
          </w:p>
        </w:tc>
        <w:tc>
          <w:tcPr>
            <w:tcW w:w="4178"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Hosting design obligation</w:t>
            </w:r>
          </w:p>
        </w:tc>
        <w:tc>
          <w:tcPr>
            <w:tcW w:w="378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External owner/evidence to resolve</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Physical/environmental</w:t>
            </w:r>
          </w:p>
        </w:tc>
        <w:tc>
          <w:tcPr>
            <w:tcW w:w="417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Record site/rack access, power, media custody and failure groups that hosting depends on.</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Facility authority; accepted site protections and current evidence.</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Personnel and privileged roles</w:t>
            </w:r>
          </w:p>
        </w:tc>
        <w:tc>
          <w:tcPr>
            <w:tcW w:w="417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Scope access and support/recovery duties; remove stale grants.</w:t>
            </w:r>
          </w:p>
        </w:tc>
        <w:tc>
          <w:tcPr>
            <w:tcW w:w="378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Relevant personnel/security and identity authorities; eligibility and access-review evidence.</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Maintenance and support</w:t>
            </w:r>
          </w:p>
        </w:tc>
        <w:tc>
          <w:tcPr>
            <w:tcW w:w="417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Controlled vendor sessions, supported update/repair path, diagnostics handling and part/media disposition.</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Platform, maintenance and security owners; procedures and supplier access records.</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Training and operations</w:t>
            </w:r>
          </w:p>
        </w:tc>
        <w:tc>
          <w:tcPr>
            <w:tcW w:w="417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Operators can execute recovery, containment and safe change for the actual stack.</w:t>
            </w:r>
          </w:p>
        </w:tc>
        <w:tc>
          <w:tcPr>
            <w:tcW w:w="378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Operational owner; exercised runbooks, role competence and escalation coverage.</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Data/privacy/location</w:t>
            </w:r>
          </w:p>
        </w:tc>
        <w:tc>
          <w:tcPr>
            <w:tcW w:w="417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Apply approved data, copy, telemetry, key and support-location constraints.</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Data/privacy/legal/security authorities; decisions and retention obligations.</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Assessment and authorization</w:t>
            </w:r>
          </w:p>
        </w:tc>
        <w:tc>
          <w:tcPr>
            <w:tcW w:w="417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Supply configuration/test/inheritance evidence tied to actual scope and current conditions.</w:t>
            </w:r>
          </w:p>
        </w:tc>
        <w:tc>
          <w:tcPr>
            <w:tcW w:w="378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Assessor and designated authorizing authority; separate attributable decision.</w:t>
            </w:r>
          </w:p>
        </w:tc>
      </w:tr>
    </w:tbl>
    <w:p>
      <w:pPr>
        <w:pStyle w:val="Normal"/>
        <w:spacing w:lineRule="auto" w:line="240" w:before="0" w:after="40"/>
        <w:rPr/>
      </w:pPr>
      <w:r>
        <w:rPr/>
      </w:r>
    </w:p>
    <w:p>
      <w:pPr>
        <w:pStyle w:val="Normal"/>
        <w:rPr/>
      </w:pPr>
      <w:r>
        <w:rPr/>
        <w:t>The current ITSP.10.033 catalogue supersedes ITSG-33 Annex 3A; source edition and identifier remain necessary when reconciling inherited assessments. The family mappings in the baseline requirements are selection aids, not a complete assessment. The regenerated family index in this release includes every family present in the retained catalogue, while additional organizational interfaces above remain explicit applicability decisions. [</w:t>
      </w:r>
      <w:hyperlink w:anchor="QUAL_src_S05">
        <w:r>
          <w:rPr>
            <w:rStyle w:val="Style"/>
            <w:color w:val="176B70"/>
            <w:u w:val="single"/>
          </w:rPr>
          <w:t>S05</w:t>
        </w:r>
      </w:hyperlink>
      <w:r>
        <w:rPr/>
        <w:t>]</w:t>
      </w:r>
    </w:p>
    <w:p>
      <w:pPr>
        <w:pStyle w:val="Normal"/>
        <w:rPr/>
      </w:pPr>
      <w:r>
        <w:rPr/>
        <w:t>A supplier or shared service may provide inherited evidence for an infrastructure control, but that evidence must apply to the actual service, site, version, tenant scope and time interval. Inheritance cannot silently cover a different data location or administrative path. The adopting authority records residual gaps and conditions rather than treating a cloud/private-platform brand as a compliance certificate.</w:t>
      </w:r>
    </w:p>
    <w:p>
      <w:pPr>
        <w:pStyle w:val="Navigation"/>
        <w:rPr/>
      </w:pPr>
      <w:r>
        <w:rPr/>
        <w:t xml:space="preserve">Related engineering: </w:t>
      </w:r>
      <w:r>
        <w:fldChar w:fldCharType="begin"/>
      </w:r>
      <w:r>
        <w:rPr>
          <w:rStyle w:val="Style"/>
          <w:u w:val="single"/>
          <w:color w:val="176B70"/>
        </w:rPr>
        <w:instrText xml:space="preserve"> HYPERLINK "03_Vendor_Stack_Realizations_v1_4.docx" \l "VND_s_002"</w:instrText>
      </w:r>
      <w:r>
        <w:rPr>
          <w:rStyle w:val="Style"/>
          <w:u w:val="single"/>
          <w:color w:val="176B70"/>
        </w:rPr>
        <w:fldChar w:fldCharType="separate"/>
      </w:r>
      <w:r>
        <w:rPr>
          <w:rStyle w:val="Style"/>
          <w:color w:val="176B70"/>
          <w:u w:val="single"/>
        </w:rPr>
        <w:t>Isolation dimensions</w:t>
      </w:r>
      <w:r>
        <w:rPr>
          <w:rStyle w:val="Style"/>
          <w:u w:val="single"/>
          <w:color w:val="176B70"/>
        </w:rPr>
        <w:fldChar w:fldCharType="end"/>
      </w:r>
      <w:r>
        <w:rPr/>
        <w:t xml:space="preserve">  •  </w:t>
      </w:r>
      <w:r>
        <w:fldChar w:fldCharType="begin"/>
      </w:r>
      <w:r>
        <w:rPr>
          <w:rStyle w:val="Style"/>
          <w:u w:val="single"/>
          <w:color w:val="176B70"/>
        </w:rPr>
        <w:instrText xml:space="preserve"> HYPERLINK "01_Gap_Map_and_Decision_Register_v1_4.docx" \l "GM_s_003"</w:instrText>
      </w:r>
      <w:r>
        <w:rPr>
          <w:rStyle w:val="Style"/>
          <w:u w:val="single"/>
          <w:color w:val="176B70"/>
        </w:rPr>
        <w:fldChar w:fldCharType="separate"/>
      </w:r>
      <w:r>
        <w:rPr>
          <w:rStyle w:val="Style"/>
          <w:color w:val="176B70"/>
          <w:u w:val="single"/>
        </w:rPr>
        <w:t>Adoption and inheritance gaps</w:t>
      </w:r>
      <w:r>
        <w:rPr>
          <w:rStyle w:val="Style"/>
          <w:u w:val="single"/>
          <w:color w:val="176B70"/>
        </w:rPr>
        <w:fldChar w:fldCharType="end"/>
      </w:r>
    </w:p>
    <w:p>
      <w:pPr>
        <w:pStyle w:val="Heading1"/>
        <w:rPr/>
      </w:pPr>
      <w:bookmarkStart w:id="14" w:name="__RefHeading___Toc10045_1525915568"/>
      <w:bookmarkStart w:id="15" w:name="QUAL_s_007"/>
      <w:bookmarkEnd w:id="14"/>
      <w:r>
        <w:rPr/>
        <w:t>7. Operating accountability, handover and change</w:t>
      </w:r>
      <w:bookmarkEnd w:id="15"/>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"RA_s_025"</w:instrText>
      </w:r>
      <w:r>
        <w:rPr>
          <w:rStyle w:val="Style"/>
          <w:u w:val="single"/>
          <w:color w:val="176B70"/>
        </w:rPr>
        <w:fldChar w:fldCharType="separate"/>
      </w:r>
      <w:r>
        <w:rPr>
          <w:rStyle w:val="Style"/>
          <w:color w:val="176B70"/>
          <w:u w:val="single"/>
        </w:rPr>
        <w:t>RA §25</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"RA_s_026"</w:instrText>
      </w:r>
      <w:r>
        <w:rPr>
          <w:rStyle w:val="Style"/>
          <w:u w:val="single"/>
          <w:color w:val="176B70"/>
        </w:rPr>
        <w:fldChar w:fldCharType="separate"/>
      </w:r>
      <w:r>
        <w:rPr>
          <w:rStyle w:val="Style"/>
          <w:color w:val="176B70"/>
          <w:u w:val="single"/>
        </w:rPr>
        <w:t>RA §26</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"RA_s_027"</w:instrText>
      </w:r>
      <w:r>
        <w:rPr>
          <w:rStyle w:val="Style"/>
          <w:u w:val="single"/>
          <w:color w:val="176B70"/>
        </w:rPr>
        <w:fldChar w:fldCharType="separate"/>
      </w:r>
      <w:r>
        <w:rPr>
          <w:rStyle w:val="Style"/>
          <w:color w:val="176B70"/>
          <w:u w:val="single"/>
        </w:rPr>
        <w:t>RA §27</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"RA_s_030"</w:instrText>
      </w:r>
      <w:r>
        <w:rPr>
          <w:rStyle w:val="Style"/>
          <w:u w:val="single"/>
          <w:color w:val="176B70"/>
        </w:rPr>
        <w:fldChar w:fldCharType="separate"/>
      </w:r>
      <w:r>
        <w:rPr>
          <w:rStyle w:val="Style"/>
          <w:color w:val="176B70"/>
          <w:u w:val="single"/>
        </w:rPr>
        <w:t>RA §30</w:t>
      </w:r>
      <w:r>
        <w:rPr>
          <w:rStyle w:val="Style"/>
          <w:u w:val="single"/>
          <w:color w:val="176B70"/>
        </w:rPr>
        <w:fldChar w:fldCharType="end"/>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205"/>
        <w:gridCol w:w="3618"/>
        <w:gridCol w:w="4256"/>
      </w:tblGrid>
      <w:tr>
        <w:trPr>
          <w:tblHeader w:val="true"/>
          <w:cantSplit w:val="true"/>
        </w:trPr>
        <w:tc>
          <w:tcPr>
            <w:tcW w:w="220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Decision</w:t>
            </w:r>
          </w:p>
        </w:tc>
        <w:tc>
          <w:tcPr>
            <w:tcW w:w="3618"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Accountable role</w:t>
            </w:r>
          </w:p>
        </w:tc>
        <w:tc>
          <w:tcPr>
            <w:tcW w:w="4256"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Executing/consulted roles and evidence</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Adopt topology/variation</w:t>
            </w:r>
          </w:p>
        </w:tc>
        <w:tc>
          <w:tcPr>
            <w:tcW w:w="361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Architecture authority</w:t>
            </w:r>
          </w:p>
        </w:tc>
        <w:tc>
          <w:tcPr>
            <w:tcW w:w="425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Security, network, platform, storage and service owners; decision and affected interfaces.</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Approve security boundary</w:t>
            </w:r>
          </w:p>
        </w:tc>
        <w:tc>
          <w:tcPr>
            <w:tcW w:w="361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Responsible security authority</w:t>
            </w:r>
          </w:p>
        </w:tc>
        <w:tc>
          <w:tcPr>
            <w:tcW w:w="425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Both adjacent domain authorities and edge owner; permitted flows and residual risks.</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Accept cell/service capacity</w:t>
            </w:r>
          </w:p>
        </w:tc>
        <w:tc>
          <w:tcPr>
            <w:tcW w:w="361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Hosting service owner</w:t>
            </w:r>
          </w:p>
        </w:tc>
        <w:tc>
          <w:tcPr>
            <w:tcW w:w="425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Capacity, platform, network, edge and shared-service owners; measured service envelope.</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Authorize tenant service activation</w:t>
            </w:r>
          </w:p>
        </w:tc>
        <w:tc>
          <w:tcPr>
            <w:tcW w:w="361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Tenant service acceptance owner under applicable authorization conditions</w:t>
            </w:r>
          </w:p>
        </w:tc>
        <w:tc>
          <w:tcPr>
            <w:tcW w:w="425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Platform, security, data and operations owners; current as-built and required checks.</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Accept data retention/disposal</w:t>
            </w:r>
          </w:p>
        </w:tc>
        <w:tc>
          <w:tcPr>
            <w:tcW w:w="361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Data owner or designated disposition authority</w:t>
            </w:r>
          </w:p>
        </w:tc>
        <w:tc>
          <w:tcPr>
            <w:tcW w:w="425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Backup, storage, key and compliance owners; copy/hold/key evidence.</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Contain incident / release containment</w:t>
            </w:r>
          </w:p>
        </w:tc>
        <w:tc>
          <w:tcPr>
            <w:tcW w:w="361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Designated incident authority</w:t>
            </w:r>
          </w:p>
        </w:tc>
        <w:tc>
          <w:tcPr>
            <w:tcW w:w="425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Affected service and security operations; scoped action, evidence and explicit release.</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Execute shared foundation change</w:t>
            </w:r>
          </w:p>
        </w:tc>
        <w:tc>
          <w:tcPr>
            <w:tcW w:w="361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Assigned infrastructure change authority</w:t>
            </w:r>
          </w:p>
        </w:tc>
        <w:tc>
          <w:tcPr>
            <w:tcW w:w="425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Authoritative resource owners; compatibility, survivor capacity and recovery plan.</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Issue formal system authorization</w:t>
            </w:r>
          </w:p>
        </w:tc>
        <w:tc>
          <w:tcPr>
            <w:tcW w:w="361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Designated authorizing official</w:t>
            </w:r>
          </w:p>
        </w:tc>
        <w:tc>
          <w:tcPr>
            <w:tcW w:w="425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Assessor and responsible owners; selected controls, evidence, residual risk and operating conditions.</w:t>
            </w:r>
          </w:p>
        </w:tc>
      </w:tr>
    </w:tbl>
    <w:p>
      <w:pPr>
        <w:pStyle w:val="Normal"/>
        <w:spacing w:lineRule="auto" w:line="240" w:before="0" w:after="40"/>
        <w:rPr/>
      </w:pPr>
      <w:r>
        <w:rPr/>
      </w:r>
    </w:p>
    <w:p>
      <w:pPr>
        <w:pStyle w:val="Normal"/>
        <w:rPr/>
      </w:pPr>
      <w:r>
        <w:rPr/>
        <w:t>These are roles, not invented personnel assignments. The site must name actual teams and escalation contacts and map the reference decisions into its existing process. Separate approval and execution for high-impact changes as required by the adopted control set. One routine workload executor must not acquire unrestricted fabric, management, security-edge and tenant authority.</w:t>
      </w:r>
    </w:p>
    <w:p>
      <w:pPr>
        <w:pStyle w:val="Normal"/>
        <w:rPr/>
      </w:pPr>
      <w:r>
        <w:rPr/>
        <w:t>Handover covers as-built topology, component/owner inventory, offered class and limits, current support/patch state, monitoring questions and alerts, credential/custody arrangements, backup and key dependencies, recovery and failback runbooks, remaining gaps and accepted variations. The operator accepts this specific service, not merely receipt of a generic reference document.</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205"/>
        <w:gridCol w:w="4170"/>
        <w:gridCol w:w="3705"/>
      </w:tblGrid>
      <w:tr>
        <w:trPr>
          <w:tblHeader w:val="true"/>
          <w:cantSplit w:val="true"/>
        </w:trPr>
        <w:tc>
          <w:tcPr>
            <w:tcW w:w="220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Operational question</w:t>
            </w:r>
          </w:p>
        </w:tc>
        <w:tc>
          <w:tcPr>
            <w:tcW w:w="417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Minimum attributable information</w:t>
            </w:r>
          </w:p>
        </w:tc>
        <w:tc>
          <w:tcPr>
            <w:tcW w:w="370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Action when missing</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Why is this flow allowed?</w:t>
            </w:r>
          </w:p>
        </w:tc>
        <w:tc>
          <w:tcPr>
            <w:tcW w:w="417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Tenant/domain identity, approved relationship, actual route/enforcement policy and responsible authority.</w:t>
            </w:r>
          </w:p>
        </w:tc>
        <w:tc>
          <w:tcPr>
            <w:tcW w:w="37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Restrict or investigate according to risk; do not infer permission from reachability.</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Can the service survive the offered failure?</w:t>
            </w:r>
          </w:p>
        </w:tc>
        <w:tc>
          <w:tcPr>
            <w:tcW w:w="417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Current eligible survivor capacity and tested dependencies/runbooks.</w:t>
            </w:r>
          </w:p>
        </w:tc>
        <w:tc>
          <w:tcPr>
            <w:tcW w:w="37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Withdraw the unsupported promise or remediate under accountable ownership.</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Who can change or destroy this resource/copy?</w:t>
            </w:r>
          </w:p>
        </w:tc>
        <w:tc>
          <w:tcPr>
            <w:tcW w:w="417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Actual native roles, tool ownership, retention and key custody.</w:t>
            </w:r>
          </w:p>
        </w:tc>
        <w:tc>
          <w:tcPr>
            <w:tcW w:w="37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Resolve authority before activation or disposal.</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What changed outside approved configuration?</w:t>
            </w:r>
          </w:p>
        </w:tc>
        <w:tc>
          <w:tcPr>
            <w:tcW w:w="417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Before/after observed state, actor/time, service impact and current containment.</w:t>
            </w:r>
          </w:p>
        </w:tc>
        <w:tc>
          <w:tcPr>
            <w:tcW w:w="37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Preserve incident override, assign repair and reconcile source deliberately.</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What is overdue or unsupported?</w:t>
            </w:r>
          </w:p>
        </w:tc>
        <w:tc>
          <w:tcPr>
            <w:tcW w:w="417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Asset/software support status, findings, remediation authority and accepted exception.</w:t>
            </w:r>
          </w:p>
        </w:tc>
        <w:tc>
          <w:tcPr>
            <w:tcW w:w="37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Escalate through adopted risk policy; do not invent universal deadlines.</w:t>
            </w:r>
          </w:p>
        </w:tc>
      </w:tr>
    </w:tbl>
    <w:p>
      <w:pPr>
        <w:pStyle w:val="Normal"/>
        <w:spacing w:lineRule="auto" w:line="240" w:before="0" w:after="40"/>
        <w:rPr/>
      </w:pPr>
      <w:r>
        <w:rPr/>
      </w:r>
    </w:p>
    <w:p>
      <w:pPr>
        <w:pStyle w:val="Navigation"/>
        <w:rPr/>
      </w:pPr>
      <w:r>
        <w:rPr/>
        <w:t xml:space="preserve">Related engineering: </w:t>
      </w:r>
      <w:r>
        <w:fldChar w:fldCharType="begin"/>
      </w:r>
      <w:r>
        <w:rPr>
          <w:rStyle w:val="Style"/>
          <w:u w:val="single"/>
          <w:color w:val="176B70"/>
        </w:rPr>
        <w:instrText xml:space="preserve"> HYPERLINK "04_Provisioning_and_Commissioning_v1_4.docx" \l "PROV_s_005"</w:instrText>
      </w:r>
      <w:r>
        <w:rPr>
          <w:rStyle w:val="Style"/>
          <w:u w:val="single"/>
          <w:color w:val="176B70"/>
        </w:rPr>
        <w:fldChar w:fldCharType="separate"/>
      </w:r>
      <w:r>
        <w:rPr>
          <w:rStyle w:val="Style"/>
          <w:color w:val="176B70"/>
          <w:u w:val="single"/>
        </w:rPr>
        <w:t>Writer and containment handling</w:t>
      </w:r>
      <w:r>
        <w:rPr>
          <w:rStyle w:val="Style"/>
          <w:u w:val="single"/>
          <w:color w:val="176B70"/>
        </w:rPr>
        <w:fldChar w:fldCharType="end"/>
      </w:r>
      <w:r>
        <w:rPr/>
        <w:t xml:space="preserve">  •  </w:t>
      </w:r>
      <w:r>
        <w:fldChar w:fldCharType="begin"/>
      </w:r>
      <w:r>
        <w:rPr>
          <w:rStyle w:val="Style"/>
          <w:u w:val="single"/>
          <w:color w:val="176B70"/>
        </w:rPr>
        <w:instrText xml:space="preserve"> HYPERLINK "05_Shared_Services_Data_and_Recovery_v1_4.docx" \l "SVC_s_006"</w:instrText>
      </w:r>
      <w:r>
        <w:rPr>
          <w:rStyle w:val="Style"/>
          <w:u w:val="single"/>
          <w:color w:val="176B70"/>
        </w:rPr>
        <w:fldChar w:fldCharType="separate"/>
      </w:r>
      <w:r>
        <w:rPr>
          <w:rStyle w:val="Style"/>
          <w:color w:val="176B70"/>
          <w:u w:val="single"/>
        </w:rPr>
        <w:t>Recovery/retirement accountability</w:t>
      </w:r>
      <w:r>
        <w:rPr>
          <w:rStyle w:val="Style"/>
          <w:u w:val="single"/>
          <w:color w:val="176B70"/>
        </w:rPr>
        <w:fldChar w:fldCharType="end"/>
      </w:r>
    </w:p>
    <w:p>
      <w:pPr>
        <w:pStyle w:val="Heading1"/>
        <w:rPr/>
      </w:pPr>
      <w:bookmarkStart w:id="16" w:name="__RefHeading___Toc10047_1525915568"/>
      <w:bookmarkStart w:id="17" w:name="QUAL_s_008"/>
      <w:bookmarkEnd w:id="16"/>
      <w:r>
        <w:rPr/>
        <w:t>8. Extensions and release maintenance</w:t>
      </w:r>
      <w:bookmarkEnd w:id="17"/>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"RA_s_019"</w:instrText>
      </w:r>
      <w:r>
        <w:rPr>
          <w:rStyle w:val="Style"/>
          <w:u w:val="single"/>
          <w:color w:val="176B70"/>
        </w:rPr>
        <w:fldChar w:fldCharType="separate"/>
      </w:r>
      <w:r>
        <w:rPr>
          <w:rStyle w:val="Style"/>
          <w:color w:val="176B70"/>
          <w:u w:val="single"/>
        </w:rPr>
        <w:t>RA §19</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"RA_s_029"</w:instrText>
      </w:r>
      <w:r>
        <w:rPr>
          <w:rStyle w:val="Style"/>
          <w:u w:val="single"/>
          <w:color w:val="176B70"/>
        </w:rPr>
        <w:fldChar w:fldCharType="separate"/>
      </w:r>
      <w:r>
        <w:rPr>
          <w:rStyle w:val="Style"/>
          <w:color w:val="176B70"/>
          <w:u w:val="single"/>
        </w:rPr>
        <w:t>RA §29</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"RA_s_030"</w:instrText>
      </w:r>
      <w:r>
        <w:rPr>
          <w:rStyle w:val="Style"/>
          <w:u w:val="single"/>
          <w:color w:val="176B70"/>
        </w:rPr>
        <w:fldChar w:fldCharType="separate"/>
      </w:r>
      <w:r>
        <w:rPr>
          <w:rStyle w:val="Style"/>
          <w:color w:val="176B70"/>
          <w:u w:val="single"/>
        </w:rPr>
        <w:t>RA §30</w:t>
      </w:r>
      <w:r>
        <w:rPr>
          <w:rStyle w:val="Style"/>
          <w:u w:val="single"/>
          <w:color w:val="176B70"/>
        </w:rPr>
        <w:fldChar w:fldCharType="end"/>
      </w:r>
    </w:p>
    <w:p>
      <w:pPr>
        <w:pStyle w:val="Normal"/>
        <w:rPr/>
      </w:pPr>
      <w:r>
        <w:rPr/>
        <w:t>Bare metal, containers, accelerators, cross-vendor overlay federation, L2 stretch and higher-assurance extensions are not silently promoted into the base offered service. An extension supplies its own component topology, trust/failure boundaries, actual supported stack, provisioning ownership, service parameters and applicable qualification. Reusing the WSD terminology does not make a container namespace or physical port a complete security boundary. [</w:t>
      </w:r>
      <w:hyperlink w:anchor="QUAL_src_B2">
        <w:r>
          <w:rPr>
            <w:rStyle w:val="Style"/>
            <w:color w:val="176B70"/>
            <w:u w:val="single"/>
          </w:rPr>
          <w:t>B2</w:t>
        </w:r>
      </w:hyperlink>
      <w:r>
        <w:rPr/>
        <w:t xml:space="preserve"> §19]</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205"/>
        <w:gridCol w:w="4489"/>
        <w:gridCol w:w="3386"/>
      </w:tblGrid>
      <w:tr>
        <w:trPr>
          <w:tblHeader w:val="true"/>
          <w:cantSplit w:val="true"/>
        </w:trPr>
        <w:tc>
          <w:tcPr>
            <w:tcW w:w="220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Extension</w:t>
            </w:r>
          </w:p>
        </w:tc>
        <w:tc>
          <w:tcPr>
            <w:tcW w:w="448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Specific additional design</w:t>
            </w:r>
          </w:p>
        </w:tc>
        <w:tc>
          <w:tcPr>
            <w:tcW w:w="3386"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Gate before offering</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Bare metal</w:t>
            </w:r>
          </w:p>
        </w:tc>
        <w:tc>
          <w:tcPr>
            <w:tcW w:w="448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BMC/boot/firmware, port/gateway authority, data attachment and sanitization before reuse.</w:t>
            </w:r>
          </w:p>
        </w:tc>
        <w:tc>
          <w:tcPr>
            <w:tcW w:w="338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G0 extension scope and G1–G4 applicable qualification.</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Containers</w:t>
            </w:r>
          </w:p>
        </w:tc>
        <w:tc>
          <w:tcPr>
            <w:tcW w:w="448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Control-plane/node sharing, network-policy enforcement, privileged workloads, storage and cluster recovery.</w:t>
            </w:r>
          </w:p>
        </w:tc>
        <w:tc>
          <w:tcPr>
            <w:tcW w:w="338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Separate service design and proof of the required tenancy boundary.</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Special devices/accelerators</w:t>
            </w:r>
          </w:p>
        </w:tc>
        <w:tc>
          <w:tcPr>
            <w:tcW w:w="448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Physical/device tenancy, host compatibility, reset/data handling and mobility limits.</w:t>
            </w:r>
          </w:p>
        </w:tc>
        <w:tc>
          <w:tcPr>
            <w:tcW w:w="338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Supported assignment and recovery/exit evidence.</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L2 stretch or composite cross-stack</w:t>
            </w:r>
          </w:p>
        </w:tc>
        <w:tc>
          <w:tcPr>
            <w:tcW w:w="448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Actual gateway/partition/fencing, latency, failure coupling and ownership.</w:t>
            </w:r>
          </w:p>
        </w:tc>
        <w:tc>
          <w:tcPr>
            <w:tcW w:w="338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Accepted variation with no bypass or unsupported availability promise.</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HRZ/higher assurance</w:t>
            </w:r>
          </w:p>
        </w:tc>
        <w:tc>
          <w:tcPr>
            <w:tcW w:w="448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Source applicability, infrastructure dedication/control scope and explicit approval.</w:t>
            </w:r>
          </w:p>
        </w:tc>
        <w:tc>
          <w:tcPr>
            <w:tcW w:w="338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Not a base portable cloud offering; separate authorized design.</w:t>
            </w:r>
          </w:p>
        </w:tc>
      </w:tr>
    </w:tbl>
    <w:p>
      <w:pPr>
        <w:pStyle w:val="Normal"/>
        <w:spacing w:lineRule="auto" w:line="240" w:before="0" w:after="40"/>
        <w:rPr/>
      </w:pPr>
      <w:r>
        <w:rPr/>
      </w:r>
    </w:p>
    <w:p>
      <w:pPr>
        <w:pStyle w:val="Normal"/>
        <w:rPr/>
      </w:pPr>
      <w:r>
        <w:rPr/>
        <w:t>Maintain the document family as one versioned architecture release. Change the parent when a durable design decision changes; update the relevant supplement when an engineering pattern or evidence interface changes; update the site/as-built record when actual values or resources change. A supplement must not silently weaken the parent. A detected conflict remains open until resolved by the appropriate architecture/security authority.</w:t>
      </w:r>
    </w:p>
    <w:p>
      <w:pPr>
        <w:pStyle w:val="Normal"/>
        <w:rPr/>
      </w:pPr>
      <w:r>
        <w:rPr/>
        <w:t>The release package includes the gap map, primary-home crosswalk, source review status, baseline requirements/tests and reproducible document-generation source. Automated package checks verify identifiers and links, not deployed safety. Future maintainers should update fields after editing and rerun rendering/link checks before release, then re-evaluate which installed environments are affected.</w:t>
      </w:r>
    </w:p>
    <w:p>
      <w:pPr>
        <w:pStyle w:val="Navigation"/>
        <w:rPr/>
      </w:pPr>
      <w:r>
        <w:rPr/>
        <w:t xml:space="preserve">Related engineering: </w:t>
      </w:r>
      <w:r>
        <w:fldChar w:fldCharType="begin"/>
      </w:r>
      <w:r>
        <w:rPr>
          <w:rStyle w:val="Style"/>
          <w:u w:val="single"/>
          <w:color w:val="176B70"/>
        </w:rPr>
        <w:instrText xml:space="preserve"> HYPERLINK "01_Gap_Map_and_Decision_Register_v1_4.docx" \l "GM_s_001"</w:instrText>
      </w:r>
      <w:r>
        <w:rPr>
          <w:rStyle w:val="Style"/>
          <w:u w:val="single"/>
          <w:color w:val="176B70"/>
        </w:rPr>
        <w:fldChar w:fldCharType="separate"/>
      </w:r>
      <w:r>
        <w:rPr>
          <w:rStyle w:val="Style"/>
          <w:color w:val="176B70"/>
          <w:u w:val="single"/>
        </w:rPr>
        <w:t>Document precedence</w:t>
      </w:r>
      <w:r>
        <w:rPr>
          <w:rStyle w:val="Style"/>
          <w:u w:val="single"/>
          <w:color w:val="176B70"/>
        </w:rPr>
        <w:fldChar w:fldCharType="end"/>
      </w:r>
      <w:r>
        <w:rPr/>
        <w:t xml:space="preserve">  •  </w:t>
      </w:r>
      <w:r>
        <w:fldChar w:fldCharType="begin"/>
      </w:r>
      <w:r>
        <w:rPr>
          <w:rStyle w:val="Style"/>
          <w:u w:val="single"/>
          <w:color w:val="176B70"/>
        </w:rPr>
        <w:instrText xml:space="preserve"> HYPERLINK "01_Gap_Map_and_Decision_Register_v1_4.docx" \l "GM_s_002"</w:instrText>
      </w:r>
      <w:r>
        <w:rPr>
          <w:rStyle w:val="Style"/>
          <w:u w:val="single"/>
          <w:color w:val="176B70"/>
        </w:rPr>
        <w:fldChar w:fldCharType="separate"/>
      </w:r>
      <w:r>
        <w:rPr>
          <w:rStyle w:val="Style"/>
          <w:color w:val="176B70"/>
          <w:u w:val="single"/>
        </w:rPr>
        <w:t>Knowledge ownership and maintenance</w:t>
      </w:r>
      <w:r>
        <w:rPr>
          <w:rStyle w:val="Style"/>
          <w:u w:val="single"/>
          <w:color w:val="176B70"/>
        </w:rPr>
        <w:fldChar w:fldCharType="end"/>
      </w:r>
      <w:r>
        <w:br w:type="page"/>
      </w:r>
    </w:p>
    <w:p>
      <w:pPr>
        <w:pStyle w:val="Heading1"/>
        <w:spacing w:before="0" w:after="120"/>
        <w:rPr/>
      </w:pPr>
      <w:bookmarkStart w:id="18" w:name="__RefHeading___Toc10049_1525915568"/>
      <w:bookmarkStart w:id="19" w:name="QUAL_app_References"/>
      <w:bookmarkEnd w:id="18"/>
      <w:r>
        <w:rPr/>
        <w:t>References — Parent basis and external context</w:t>
      </w:r>
      <w:bookmarkEnd w:id="19"/>
    </w:p>
    <w:p>
      <w:pPr>
        <w:pStyle w:val="Small"/>
        <w:rPr/>
      </w:pPr>
      <w:r>
        <w:rPr/>
        <w:t>Source IDs distinguish baseline-derived architecture from external context. References inform the stated design, not automatic adoption, installed compatibility or authorization. New engineering examples are local proposals. Review status below is specific to this release; inherited dates are not recertified merely by copying the source register.</w:t>
      </w:r>
    </w:p>
    <w:p>
      <w:pPr>
        <w:pStyle w:val="Heading2"/>
        <w:rPr/>
      </w:pPr>
      <w:bookmarkStart w:id="20" w:name="QUAL_src_B2"/>
      <w:r>
        <w:rPr/>
        <w:t>B2 — Portable Secure Hosting — Infrastructure Reference Architecture and Cross-Platform Provisioning Strategy, Draft v1.2</w:t>
      </w:r>
      <w:bookmarkEnd w:id="20"/>
    </w:p>
    <w:p>
      <w:pPr>
        <w:pStyle w:val="Small"/>
        <w:rPr/>
      </w:pPr>
      <w:r>
        <w:rPr/>
        <w:t>16 September 2026; 55-page conversation baseline | Source baseline, not external authority</w:t>
      </w:r>
    </w:p>
    <w:p>
      <w:pPr>
        <w:pStyle w:val="Small"/>
        <w:rPr/>
      </w:pPr>
      <w:r>
        <w:rPr/>
        <w:t>Primary parent narrative, diagrams, 30 sections, 194 requirement IDs and referenced verification catalogues.</w:t>
      </w:r>
    </w:p>
    <w:p>
      <w:pPr>
        <w:pStyle w:val="Small"/>
        <w:rPr/>
      </w:pPr>
      <w:r>
        <w:rPr/>
        <w:t>Review status: Entire text read; three vendor diagram pages also inspected through Files; source bytes verified.</w:t>
      </w:r>
    </w:p>
    <w:p>
      <w:pPr>
        <w:pStyle w:val="Small"/>
        <w:rPr/>
      </w:pPr>
      <w:r>
        <w:rPr/>
        <w:t>Source file: Portable_Secure_Hosting_Infrastructure_Architecture_v1_2.docx. Complete baseline fingerprint is in registers/release_manifest.json.</w:t>
      </w:r>
    </w:p>
    <w:p>
      <w:pPr>
        <w:pStyle w:val="Heading2"/>
        <w:rPr/>
      </w:pPr>
      <w:bookmarkStart w:id="21" w:name="QUAL_src_S05"/>
      <w:r>
        <w:rPr/>
        <w:t>S05 — ITSP.10.033 - Security and privacy controls and assurance activities catalogue: Foreword, overview, introduction</w:t>
      </w:r>
      <w:bookmarkEnd w:id="21"/>
    </w:p>
    <w:p>
      <w:pPr>
        <w:pStyle w:val="Small"/>
        <w:rPr/>
      </w:pPr>
      <w:r>
        <w:rPr/>
        <w:t>Effective 2026-03-31 | Cyber Centre control catalogue</w:t>
      </w:r>
    </w:p>
    <w:p>
      <w:pPr>
        <w:pStyle w:val="Small"/>
        <w:rPr/>
      </w:pPr>
      <w:r>
        <w:rPr/>
        <w:t>Explicitly supersedes ITSG-33 Annex 3A. Canadian-specific 100-series identifiers move to 400-series. Source families are starting points for tailoring, not automatic control equivalence.</w:t>
      </w:r>
    </w:p>
    <w:p>
      <w:pPr>
        <w:pStyle w:val="Small"/>
        <w:rPr/>
      </w:pPr>
      <w:r>
        <w:rPr/>
        <w:t>Review status: Full official page reviewed: 2026 catalogue transition; not a selected-control assessment.</w:t>
      </w:r>
    </w:p>
    <w:p>
      <w:pPr>
        <w:pStyle w:val="Small"/>
        <w:widowControl/>
        <w:bidi w:val="0"/>
        <w:spacing w:lineRule="auto" w:line="245" w:before="0" w:after="100"/>
        <w:jc w:val="left"/>
        <w:rPr/>
      </w:pPr>
      <w:hyperlink r:id="rId2">
        <w:r>
          <w:rPr>
            <w:rStyle w:val="Style"/>
            <w:color w:val="176B70"/>
            <w:u w:val="single"/>
          </w:rPr>
          <w:t>Open official source — ITSP.10.033 - Security and privacy controls and assurance activities catalogue: Foreword, overview, introduction</w:t>
        </w:r>
      </w:hyperlink>
    </w:p>
    <w:p>
      <w:pPr>
        <w:pStyle w:val="Normal"/>
        <w:rPr/>
      </w:pPr>
      <w:r>
        <w:rPr/>
      </w:r>
      <w:r>
        <w:br w:type="page"/>
      </w:r>
    </w:p>
    <w:p>
      <w:pPr>
        <w:pStyle w:val="Heading1"/>
        <w:spacing w:before="0" w:after="120"/>
        <w:rPr/>
      </w:pPr>
      <w:bookmarkStart w:id="22" w:name="__RefHeading___Toc10630_1692646980"/>
      <w:bookmarkStart w:id="23" w:name="V14_QUAL_REVISION"/>
      <w:bookmarkEnd w:id="22"/>
      <w:r>
        <w:rPr/>
        <w:t>v1.4 — Connected infrastructure design and acceptance</w:t>
      </w:r>
      <w:bookmarkEnd w:id="23"/>
    </w:p>
    <w:p>
      <w:pPr>
        <w:pStyle w:val="Heading2"/>
        <w:rPr/>
      </w:pPr>
      <w:r>
        <w:rPr/>
        <w:t>Acceptance is a dependency graph, not a numbered permission ladder</w:t>
      </w:r>
    </w:p>
    <w:p>
      <w:pPr>
        <w:pStyle w:val="Normal"/>
        <w:rPr/>
      </w:pPr>
      <w:r>
        <w:rPr/>
        <w:t>G3 production activation requires accepted G0/G1/G2 prerequisites, the applicable G4 operational and recovery readiness, current per-workload evidence and valid authority to operate. G4 also covers subsequent recurring exercises and continuing acceptance; those later activities cannot defer initial proof of a promised recovery service. Restricted qualification fixtures use a separate approved non-production scope and can exist before G2 to generate its evidence. The gate IDs remain stable for traceability. Record the scope and evidence consumed by each gate rather than assuming numeric order authorizes an incomplete service.</w:t>
      </w:r>
    </w:p>
    <w:p>
      <w:pPr>
        <w:pStyle w:val="Normal"/>
        <w:rPr/>
      </w:pPr>
      <w:r>
        <w:rPr/>
        <w:t xml:space="preserve">Authoritative linked treatment: </w:t>
      </w:r>
      <w:r>
        <w:fldChar w:fldCharType="begin"/>
      </w:r>
      <w:r>
        <w:rPr>
          <w:rStyle w:val="Hyperlink"/>
        </w:rPr>
        <w:instrText xml:space="preserve"> HYPERLINK "07_Worked_Infrastructure_Design_and_Acceptance_v1_4.docx" \l "V14_WD_START"</w:instrText>
      </w:r>
      <w:r>
        <w:rPr>
          <w:rStyle w:val="Hyperlink"/>
        </w:rPr>
        <w:fldChar w:fldCharType="separate"/>
      </w:r>
      <w:r>
        <w:rPr>
          <w:rStyle w:val="Hyperlink"/>
        </w:rPr>
        <w:t>WD — Worked Infrastructure Design, Build Schedules and Acceptance</w:t>
      </w:r>
      <w:r>
        <w:rPr>
          <w:rStyle w:val="Hyperlink"/>
        </w:rPr>
        <w:fldChar w:fldCharType="end"/>
      </w:r>
    </w:p>
    <w:p>
      <w:pPr>
        <w:pStyle w:val="Normal"/>
        <w:rPr/>
      </w:pPr>
      <w:r>
        <w:rPr/>
        <w:t>Read this clarification with the original chapter. It does not create an exemption to an adopted requirement, waive a mandatory control, select an unknown site value or report a live test as passed.</w:t>
      </w:r>
    </w:p>
    <w:tbl>
      <w:tblPr>
        <w:tblStyle w:val="LightShading-Accent1"/>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blHeader w:val="true"/>
          <w:cantSplit w:val="true"/>
        </w:trPr>
        <w:tc>
          <w:tcPr>
            <w:tcW w:w="3360" w:type="dxa"/>
            <w:tcBorders/>
          </w:tcPr>
          <w:p>
            <w:pPr>
              <w:pStyle w:val="Normal"/>
              <w:spacing w:before="0" w:after="100"/>
              <w:rPr>
                <w:b/>
                <w:bCs/>
                <w:color w:themeColor="accent1" w:themeShade="bf" w:val="auto"/>
              </w:rPr>
            </w:pPr>
            <w:r>
              <w:rPr>
                <w:b/>
                <w:bCs/>
                <w:color w:themeColor="accent1" w:themeShade="bf" w:val="auto"/>
                <w:sz w:val="18"/>
              </w:rPr>
              <w:t>Acceptance scope</w:t>
            </w:r>
          </w:p>
        </w:tc>
        <w:tc>
          <w:tcPr>
            <w:tcW w:w="3360" w:type="dxa"/>
            <w:tcBorders/>
          </w:tcPr>
          <w:p>
            <w:pPr>
              <w:pStyle w:val="Normal"/>
              <w:spacing w:before="0" w:after="100"/>
              <w:rPr>
                <w:b/>
                <w:bCs/>
                <w:color w:themeColor="accent1" w:themeShade="bf" w:val="auto"/>
              </w:rPr>
            </w:pPr>
            <w:r>
              <w:rPr>
                <w:b/>
                <w:bCs/>
                <w:color w:themeColor="accent1" w:themeShade="bf" w:val="auto"/>
                <w:sz w:val="18"/>
              </w:rPr>
              <w:t>Required predecessors</w:t>
            </w:r>
          </w:p>
        </w:tc>
        <w:tc>
          <w:tcPr>
            <w:tcW w:w="3360" w:type="dxa"/>
            <w:tcBorders/>
          </w:tcPr>
          <w:p>
            <w:pPr>
              <w:pStyle w:val="Normal"/>
              <w:spacing w:before="0" w:after="100"/>
              <w:rPr>
                <w:b/>
                <w:bCs/>
                <w:color w:themeColor="accent1" w:themeShade="bf" w:val="auto"/>
              </w:rPr>
            </w:pPr>
            <w:r>
              <w:rPr>
                <w:b/>
                <w:bCs/>
                <w:color w:themeColor="accent1" w:themeShade="bf" w:val="auto"/>
                <w:sz w:val="18"/>
              </w:rPr>
              <w:t>Not equivalent to</w:t>
            </w:r>
          </w:p>
        </w:tc>
      </w:tr>
      <w:tr>
        <w:trPr>
          <w:cantSplit w:val="true"/>
        </w:trPr>
        <w:tc>
          <w:tcPr>
            <w:tcW w:w="3360" w:type="dxa"/>
            <w:tcBorders>
              <w:top w:val="nil"/>
              <w:bottom w:val="nil"/>
            </w:tcBorders>
            <w:shd w:color="auto" w:fill="D3DFEE" w:themeFill="accent1" w:themeFillTint="3f" w:val="clear"/>
          </w:tcPr>
          <w:p>
            <w:pPr>
              <w:pStyle w:val="Normal"/>
              <w:spacing w:before="0" w:after="100"/>
              <w:rPr>
                <w:b/>
                <w:bCs/>
                <w:color w:themeColor="accent1" w:themeShade="bf" w:val="auto"/>
              </w:rPr>
            </w:pPr>
            <w:r>
              <w:rPr>
                <w:b/>
                <w:bCs/>
                <w:color w:themeColor="accent1" w:themeShade="bf" w:val="auto"/>
                <w:sz w:val="18"/>
              </w:rPr>
              <w:t>Restricted qualification fixture</w:t>
            </w:r>
          </w:p>
        </w:tc>
        <w:tc>
          <w:tcPr>
            <w:tcW w:w="3360" w:type="dxa"/>
            <w:tcBorders>
              <w:top w:val="nil"/>
              <w:bottom w:val="nil"/>
            </w:tcBorders>
            <w:shd w:color="auto" w:fill="D3DFEE" w:themeFill="accent1" w:themeFillTint="3f" w:val="clear"/>
          </w:tcPr>
          <w:p>
            <w:pPr>
              <w:pStyle w:val="Normal"/>
              <w:spacing w:before="0" w:after="100"/>
              <w:rPr>
                <w:color w:themeColor="accent1" w:themeShade="bf" w:val="auto"/>
              </w:rPr>
            </w:pPr>
            <w:r>
              <w:rPr>
                <w:color w:themeColor="accent1" w:themeShade="bf" w:val="auto"/>
                <w:sz w:val="18"/>
              </w:rPr>
              <w:t>Approved non-production scope; accepted foundational access; installed candidate platform and necessary safeguards.</w:t>
            </w:r>
          </w:p>
        </w:tc>
        <w:tc>
          <w:tcPr>
            <w:tcW w:w="3360" w:type="dxa"/>
            <w:tcBorders>
              <w:top w:val="nil"/>
              <w:bottom w:val="nil"/>
            </w:tcBorders>
            <w:shd w:color="auto" w:fill="D3DFEE" w:themeFill="accent1" w:themeFillTint="3f" w:val="clear"/>
          </w:tcPr>
          <w:p>
            <w:pPr>
              <w:pStyle w:val="Normal"/>
              <w:spacing w:before="0" w:after="100"/>
              <w:rPr>
                <w:color w:themeColor="accent1" w:themeShade="bf" w:val="auto"/>
              </w:rPr>
            </w:pPr>
            <w:r>
              <w:rPr>
                <w:color w:themeColor="accent1" w:themeShade="bf" w:val="auto"/>
                <w:sz w:val="18"/>
              </w:rPr>
              <w:t>Production G3, qualified service advertising or permission for production data.</w:t>
            </w:r>
          </w:p>
        </w:tc>
      </w:tr>
      <w:tr>
        <w:trPr>
          <w:cantSplit w:val="true"/>
        </w:trPr>
        <w:tc>
          <w:tcPr>
            <w:tcW w:w="3360" w:type="dxa"/>
            <w:tcBorders>
              <w:top w:val="nil"/>
              <w:bottom w:val="nil"/>
            </w:tcBorders>
          </w:tcPr>
          <w:p>
            <w:pPr>
              <w:pStyle w:val="Normal"/>
              <w:spacing w:before="0" w:after="100"/>
              <w:rPr>
                <w:b/>
                <w:bCs/>
                <w:color w:themeColor="accent1" w:themeShade="bf" w:val="auto"/>
              </w:rPr>
            </w:pPr>
            <w:r>
              <w:rPr>
                <w:b/>
                <w:bCs/>
                <w:color w:themeColor="accent1" w:themeShade="bf" w:val="auto"/>
                <w:sz w:val="18"/>
              </w:rPr>
              <w:t>Production G3</w:t>
            </w:r>
          </w:p>
        </w:tc>
        <w:tc>
          <w:tcPr>
            <w:tcW w:w="3360" w:type="dxa"/>
            <w:tcBorders>
              <w:top w:val="nil"/>
              <w:bottom w:val="nil"/>
            </w:tcBorders>
          </w:tcPr>
          <w:p>
            <w:pPr>
              <w:pStyle w:val="Normal"/>
              <w:spacing w:before="0" w:after="100"/>
              <w:rPr>
                <w:color w:themeColor="accent1" w:themeShade="bf" w:val="auto"/>
              </w:rPr>
            </w:pPr>
            <w:r>
              <w:rPr>
                <w:color w:themeColor="accent1" w:themeShade="bf" w:val="auto"/>
                <w:sz w:val="18"/>
              </w:rPr>
              <w:t>Applicable G0/G1/G2; current G4 readiness for the promised service; workload-specific evidence and valid authority.</w:t>
            </w:r>
          </w:p>
        </w:tc>
        <w:tc>
          <w:tcPr>
            <w:tcW w:w="3360" w:type="dxa"/>
            <w:tcBorders>
              <w:top w:val="nil"/>
              <w:bottom w:val="nil"/>
            </w:tcBorders>
          </w:tcPr>
          <w:p>
            <w:pPr>
              <w:pStyle w:val="Normal"/>
              <w:spacing w:before="0" w:after="100"/>
              <w:rPr>
                <w:color w:themeColor="accent1" w:themeShade="bf" w:val="auto"/>
              </w:rPr>
            </w:pPr>
            <w:r>
              <w:rPr>
                <w:color w:themeColor="accent1" w:themeShade="bf" w:val="auto"/>
                <w:sz w:val="18"/>
              </w:rPr>
              <w:t>Permission to defer owner, restore, key custody, support or required recovery decisions until later.</w:t>
            </w:r>
          </w:p>
        </w:tc>
      </w:tr>
      <w:tr>
        <w:trPr>
          <w:cantSplit w:val="true"/>
        </w:trPr>
        <w:tc>
          <w:tcPr>
            <w:tcW w:w="3360" w:type="dxa"/>
            <w:tcBorders>
              <w:top w:val="nil"/>
            </w:tcBorders>
            <w:shd w:color="auto" w:fill="D3DFEE" w:themeFill="accent1" w:themeFillTint="3f" w:val="clear"/>
          </w:tcPr>
          <w:p>
            <w:pPr>
              <w:pStyle w:val="Normal"/>
              <w:spacing w:before="0" w:after="100"/>
              <w:rPr>
                <w:b/>
                <w:bCs/>
                <w:color w:themeColor="accent1" w:themeShade="bf" w:val="auto"/>
              </w:rPr>
            </w:pPr>
            <w:r>
              <w:rPr>
                <w:b/>
                <w:bCs/>
                <w:color w:themeColor="accent1" w:themeShade="bf" w:val="auto"/>
                <w:sz w:val="18"/>
              </w:rPr>
              <w:t>Continuing G4</w:t>
            </w:r>
          </w:p>
        </w:tc>
        <w:tc>
          <w:tcPr>
            <w:tcW w:w="3360" w:type="dxa"/>
            <w:tcBorders>
              <w:top w:val="nil"/>
            </w:tcBorders>
            <w:shd w:color="auto" w:fill="D3DFEE" w:themeFill="accent1" w:themeFillTint="3f" w:val="clear"/>
          </w:tcPr>
          <w:p>
            <w:pPr>
              <w:pStyle w:val="Normal"/>
              <w:spacing w:before="0" w:after="100"/>
              <w:rPr>
                <w:color w:themeColor="accent1" w:themeShade="bf" w:val="auto"/>
              </w:rPr>
            </w:pPr>
            <w:r>
              <w:rPr>
                <w:color w:themeColor="accent1" w:themeShade="bf" w:val="auto"/>
                <w:sz w:val="18"/>
              </w:rPr>
              <w:t>Accepted initial readiness plus recurring and change-triggered evidence within approved scope.</w:t>
            </w:r>
          </w:p>
        </w:tc>
        <w:tc>
          <w:tcPr>
            <w:tcW w:w="3360" w:type="dxa"/>
            <w:tcBorders>
              <w:top w:val="nil"/>
            </w:tcBorders>
            <w:shd w:color="auto" w:fill="D3DFEE" w:themeFill="accent1" w:themeFillTint="3f" w:val="clear"/>
          </w:tcPr>
          <w:p>
            <w:pPr>
              <w:pStyle w:val="Normal"/>
              <w:spacing w:before="0" w:after="100"/>
              <w:rPr>
                <w:color w:themeColor="accent1" w:themeShade="bf" w:val="auto"/>
              </w:rPr>
            </w:pPr>
            <w:r>
              <w:rPr>
                <w:color w:themeColor="accent1" w:themeShade="bf" w:val="auto"/>
                <w:sz w:val="18"/>
              </w:rPr>
              <w:t>A retroactive substitute for unproven initial service commitments.</w:t>
            </w:r>
          </w:p>
        </w:tc>
      </w:tr>
    </w:tbl>
    <w:p>
      <w:pPr>
        <w:pStyle w:val="Normal"/>
        <w:spacing w:before="0" w:after="2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80" w:right="1080" w:gutter="0" w:header="360" w:top="979" w:footer="403"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tabs>
        <w:tab w:val="clear" w:pos="720"/>
        <w:tab w:val="right" w:pos="10080" w:leader="none"/>
      </w:tabs>
      <w:spacing w:before="0" w:after="100"/>
      <w:rPr/>
    </w:pPr>
    <w:r>
      <w:rPr/>
      <w:t>Draft v1.4  |  Proposed architecture document set</w:t>
      <w:tab/>
    </w:r>
    <w:r>
      <w:rPr/>
      <w:fldChar w:fldCharType="begin"/>
    </w:r>
    <w:r>
      <w:rPr/>
      <w:instrText xml:space="preserve"> PAGE </w:instrText>
    </w:r>
    <w:r>
      <w:rPr/>
      <w:fldChar w:fldCharType="separate"/>
    </w:r>
    <w:r>
      <w:rPr/>
      <w:t>13</w:t>
    </w:r>
    <w:r>
      <w:rPr/>
      <w:fldChar w:fldCharType="end"/>
    </w:r>
    <w:r>
      <w:rPr/>
      <w:t xml:space="preserve"> / </w:t>
    </w:r>
    <w:r>
      <w:rPr/>
      <w:fldChar w:fldCharType="begin"/>
    </w:r>
    <w:r>
      <w:rPr/>
      <w:instrText xml:space="preserve"> NUMPAGES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tabs>
        <w:tab w:val="clear" w:pos="720"/>
        <w:tab w:val="right" w:pos="10080" w:leader="none"/>
      </w:tabs>
      <w:spacing w:before="0" w:after="100"/>
      <w:rPr/>
    </w:pPr>
    <w:r>
      <w:rPr/>
      <w:t>Draft v1.4  |  Proposed architecture document set</w:t>
      <w:tab/>
    </w:r>
    <w:r>
      <w:rPr/>
      <w:fldChar w:fldCharType="begin"/>
    </w:r>
    <w:r>
      <w:rPr/>
      <w:instrText xml:space="preserve"> PAGE </w:instrText>
    </w:r>
    <w:r>
      <w:rPr/>
      <w:fldChar w:fldCharType="separate"/>
    </w:r>
    <w:r>
      <w:rPr/>
      <w:t>13</w:t>
    </w:r>
    <w:r>
      <w:rPr/>
      <w:fldChar w:fldCharType="end"/>
    </w:r>
    <w:r>
      <w:rPr/>
      <w:t xml:space="preserve"> / </w:t>
    </w:r>
    <w:r>
      <w:rPr/>
      <w:fldChar w:fldCharType="begin"/>
    </w:r>
    <w:r>
      <w:rPr/>
      <w:instrText xml:space="preserve"> NUMPAGES </w:instrText>
    </w:r>
    <w:r>
      <w:rPr/>
      <w:fldChar w:fldCharType="separate"/>
    </w:r>
    <w:r>
      <w:rPr/>
      <w:t>13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pBdr>
        <w:bottom w:val="single" w:sz="4" w:space="0" w:color="B7C8D2"/>
      </w:pBdr>
      <w:spacing w:before="0" w:after="100"/>
      <w:rPr/>
    </w:pPr>
    <w:r>
      <w:rPr/>
      <w:t>PORTABLE MULTI-TENANT SECURE HOSTING  |  QUAL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pBdr>
        <w:bottom w:val="single" w:sz="4" w:space="0" w:color="B7C8D2"/>
      </w:pBdr>
      <w:spacing w:before="0" w:after="100"/>
      <w:rPr/>
    </w:pPr>
    <w:r>
      <w:rPr/>
      <w:t>PORTABLE MULTI-TENANT SECURE HOSTING  |  QUAL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20"/>
      <w:jc w:val="left"/>
    </w:pPr>
    <w:rPr>
      <w:rFonts w:ascii="Calibri" w:hAnsi="Calibri" w:eastAsia="" w:cs="" w:cstheme="minorBidi" w:eastAsiaTheme="minorEastAsia"/>
      <w:color w:val="auto"/>
      <w:kern w:val="0"/>
      <w:sz w:val="22"/>
      <w:szCs w:val="22"/>
      <w:lang w:val="en-CA" w:eastAsia="en-US" w:bidi="ar-SA"/>
    </w:rPr>
  </w:style>
  <w:style w:type="paragraph" w:styleId="Heading1">
    <w:name w:val="heading 1"/>
    <w:basedOn w:val="Normal"/>
    <w:next w:val="Normal"/>
    <w:link w:val="Heading1Char"/>
    <w:uiPriority w:val="9"/>
    <w:qFormat/>
    <w:rsid w:val="00fc693f"/>
    <w:pPr>
      <w:keepNext w:val="true"/>
      <w:keepLines/>
      <w:spacing w:before="260" w:after="120"/>
      <w:outlineLvl w:val="0"/>
    </w:pPr>
    <w:rPr>
      <w:rFonts w:ascii="Calibri" w:hAnsi="Calibri" w:eastAsia="" w:cs="" w:asciiTheme="majorHAnsi" w:cstheme="majorBidi" w:eastAsiaTheme="majorEastAsia" w:hAnsiTheme="majorHAnsi"/>
      <w:b/>
      <w:bCs/>
      <w:color w:val="203C50"/>
      <w:sz w:val="36"/>
      <w:szCs w:val="28"/>
    </w:rPr>
  </w:style>
  <w:style w:type="paragraph" w:styleId="Heading2">
    <w:name w:val="heading 2"/>
    <w:basedOn w:val="Normal"/>
    <w:next w:val="Normal"/>
    <w:link w:val="Heading2Char"/>
    <w:uiPriority w:val="9"/>
    <w:unhideWhenUsed/>
    <w:qFormat/>
    <w:rsid w:val="00fc693f"/>
    <w:pPr>
      <w:keepNext w:val="true"/>
      <w:keepLines/>
      <w:spacing w:before="180" w:after="120"/>
      <w:outlineLvl w:val="1"/>
    </w:pPr>
    <w:rPr>
      <w:rFonts w:ascii="Calibri" w:hAnsi="Calibri" w:eastAsia="" w:cs="" w:asciiTheme="majorHAnsi" w:cstheme="majorBidi" w:eastAsiaTheme="majorEastAsia" w:hAnsiTheme="majorHAnsi"/>
      <w:b/>
      <w:bCs/>
      <w:color w:val="176B70"/>
      <w:sz w:val="25"/>
      <w:szCs w:val="26"/>
    </w:rPr>
  </w:style>
  <w:style w:type="paragraph" w:styleId="Heading3">
    <w:name w:val="heading 3"/>
    <w:basedOn w:val="Normal"/>
    <w:next w:val="Normal"/>
    <w:link w:val="Heading3Char"/>
    <w:uiPriority w:val="9"/>
    <w:unhideWhenUsed/>
    <w:qFormat/>
    <w:rsid w:val="00fc693f"/>
    <w:pPr>
      <w:keepNext w:val="true"/>
      <w:keepLines/>
      <w:spacing w:before="180" w:after="120"/>
      <w:outlineLvl w:val="2"/>
    </w:pPr>
    <w:rPr>
      <w:rFonts w:ascii="Calibri" w:hAnsi="Calibri" w:eastAsia="" w:cs="" w:asciiTheme="majorHAnsi" w:cstheme="majorBidi" w:eastAsiaTheme="majorEastAsia" w:hAnsiTheme="majorHAnsi"/>
      <w:b/>
      <w:bCs/>
      <w:color w:val="203C50"/>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widowControl/>
      <w:spacing w:lineRule="auto" w:line="259" w:before="0" w:after="120"/>
    </w:pPr>
    <w:rPr>
      <w:rFonts w:ascii="Calibri" w:hAnsi="Calibri"/>
      <w:sz w:val="22"/>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keepNext w:val="false"/>
      <w:widowControl/>
      <w:spacing w:lineRule="auto" w:line="245" w:before="0" w:after="100"/>
    </w:pPr>
    <w:rPr>
      <w:rFonts w:ascii="Calibri" w:hAnsi="Calibri"/>
      <w:b/>
      <w:bCs/>
      <w:color w:val="586874"/>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180" w:after="120"/>
      <w:contextualSpacing/>
    </w:pPr>
    <w:rPr>
      <w:rFonts w:ascii="Calibri" w:hAnsi="Calibri" w:eastAsia="" w:cs="" w:asciiTheme="majorHAnsi" w:cstheme="majorBidi" w:eastAsiaTheme="majorEastAsia" w:hAnsiTheme="majorHAnsi"/>
      <w:b/>
      <w:color w:val="203C50"/>
      <w:spacing w:val="5"/>
      <w:kern w:val="2"/>
      <w:sz w:val="58"/>
      <w:szCs w:val="52"/>
    </w:rPr>
  </w:style>
  <w:style w:type="paragraph" w:styleId="Subtitle">
    <w:name w:val="Subtitle"/>
    <w:basedOn w:val="Normal"/>
    <w:next w:val="Normal"/>
    <w:link w:val="SubtitleChar"/>
    <w:uiPriority w:val="11"/>
    <w:qFormat/>
    <w:rsid w:val="00fc693f"/>
    <w:pPr>
      <w:keepNext w:val="true"/>
      <w:spacing w:before="180" w:after="120"/>
    </w:pPr>
    <w:rPr>
      <w:rFonts w:ascii="Calibri" w:hAnsi="Calibri" w:eastAsia="" w:cs="" w:asciiTheme="majorHAnsi" w:cstheme="majorBidi" w:eastAsiaTheme="majorEastAsia" w:hAnsiTheme="majorHAnsi"/>
      <w:b w:val="false"/>
      <w:i/>
      <w:iCs/>
      <w:color w:val="176B70"/>
      <w:spacing w:val="15"/>
      <w:sz w:val="32"/>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 w:customStyle="1">
    <w:name w:val="Small"/>
    <w:qFormat/>
    <w:pPr>
      <w:widowControl/>
      <w:suppressAutoHyphens w:val="true"/>
      <w:bidi w:val="0"/>
      <w:spacing w:lineRule="auto" w:line="245" w:before="0" w:after="100"/>
      <w:jc w:val="left"/>
    </w:pPr>
    <w:rPr>
      <w:rFonts w:ascii="Calibri" w:hAnsi="Calibri" w:eastAsia="ＭＳ 明朝" w:cs=""/>
      <w:color w:val="586874"/>
      <w:kern w:val="0"/>
      <w:sz w:val="18"/>
      <w:szCs w:val="22"/>
      <w:lang w:val="en-US" w:eastAsia="en-US" w:bidi="ar-SA"/>
    </w:rPr>
  </w:style>
  <w:style w:type="paragraph" w:styleId="Navigation" w:customStyle="1">
    <w:name w:val="Navigation"/>
    <w:qFormat/>
    <w:pPr>
      <w:widowControl/>
      <w:suppressAutoHyphens w:val="true"/>
      <w:bidi w:val="0"/>
      <w:spacing w:lineRule="auto" w:line="245" w:before="60" w:after="100"/>
      <w:jc w:val="left"/>
    </w:pPr>
    <w:rPr>
      <w:rFonts w:ascii="Calibri" w:hAnsi="Calibri" w:eastAsia="ＭＳ 明朝" w:cs=""/>
      <w:color w:val="176B70"/>
      <w:kern w:val="0"/>
      <w:sz w:val="18"/>
      <w:szCs w:val="22"/>
      <w:lang w:val="en-US" w:eastAsia="en-US" w:bidi="ar-SA"/>
    </w:rPr>
  </w:style>
  <w:style w:type="paragraph" w:styleId="TableText" w:customStyle="1">
    <w:name w:val="Table Text"/>
    <w:qFormat/>
    <w:pPr>
      <w:widowControl/>
      <w:suppressAutoHyphens w:val="true"/>
      <w:bidi w:val="0"/>
      <w:spacing w:lineRule="auto" w:line="245" w:before="0" w:after="60"/>
      <w:jc w:val="left"/>
    </w:pPr>
    <w:rPr>
      <w:rFonts w:ascii="Calibri" w:hAnsi="Calibri" w:eastAsia="ＭＳ 明朝" w:cs=""/>
      <w:color w:val="203C50"/>
      <w:kern w:val="0"/>
      <w:sz w:val="20"/>
      <w:szCs w:val="22"/>
      <w:lang w:val="en-US" w:eastAsia="en-US" w:bidi="ar-SA"/>
    </w:rPr>
  </w:style>
  <w:style w:type="paragraph" w:styleId="TOC1" w:customStyle="1">
    <w:name w:val="toc 1"/>
    <w:pPr>
      <w:widowControl/>
      <w:tabs>
        <w:tab w:val="clear" w:pos="720"/>
        <w:tab w:val="right" w:pos="9965" w:leader="none"/>
      </w:tabs>
      <w:suppressAutoHyphens w:val="true"/>
      <w:bidi w:val="0"/>
      <w:spacing w:lineRule="auto" w:line="245" w:before="0" w:after="100"/>
      <w:jc w:val="left"/>
    </w:pPr>
    <w:rPr>
      <w:rFonts w:ascii="Calibri" w:hAnsi="Calibri" w:eastAsia="ＭＳ 明朝" w:cs=""/>
      <w:color w:val="203C50"/>
      <w:kern w:val="0"/>
      <w:sz w:val="20"/>
      <w:szCs w:val="22"/>
      <w:lang w:val="en-US" w:eastAsia="en-US" w:bidi="ar-SA"/>
    </w:rPr>
  </w:style>
  <w:style w:type="paragraph" w:styleId="Eyebrow" w:customStyle="1">
    <w:name w:val="Eyebrow"/>
    <w:qFormat/>
    <w:pPr>
      <w:widowControl/>
      <w:suppressAutoHyphens w:val="true"/>
      <w:bidi w:val="0"/>
      <w:spacing w:lineRule="auto" w:line="245" w:before="0" w:after="100"/>
      <w:jc w:val="left"/>
    </w:pPr>
    <w:rPr>
      <w:rFonts w:ascii="Calibri" w:hAnsi="Calibri" w:eastAsia="ＭＳ 明朝" w:cs=""/>
      <w:color w:val="176B70"/>
      <w:kern w:val="0"/>
      <w:sz w:val="20"/>
      <w:szCs w:val="22"/>
      <w:lang w:val="en-US" w:eastAsia="en-US" w:bidi="ar-SA"/>
    </w:rPr>
  </w:style>
  <w:style w:type="paragraph" w:styleId="GapMeta" w:customStyle="1">
    <w:name w:val="Gap Meta"/>
    <w:qFormat/>
    <w:pPr>
      <w:widowControl/>
      <w:suppressAutoHyphens w:val="true"/>
      <w:bidi w:val="0"/>
      <w:spacing w:lineRule="auto" w:line="245" w:before="0" w:after="100"/>
      <w:jc w:val="left"/>
    </w:pPr>
    <w:rPr>
      <w:rFonts w:ascii="Calibri" w:hAnsi="Calibri" w:eastAsia="ＭＳ 明朝" w:cs=""/>
      <w:color w:val="586874"/>
      <w:kern w:val="0"/>
      <w:sz w:val="18"/>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yber.gc.ca/en/guidance/cyber-security-privacy-risk-management/itsp10033/foreword-overview-introduction"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13</Pages>
  <Words>4016</Words>
  <Characters>27227</Characters>
  <CharactersWithSpaces>30987</CharactersWithSpaces>
  <Paragraphs>358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2026-09-16T23:24:40Z</dcterms:modified>
  <cp:revision>2</cp:revision>
  <dc:subject/>
  <dc:title>Word Document</dc:title>
  <cp:version>1.4</cp:version>
</cp:coreProperties>
</file>

<file path=docProps/custom.xml><?xml version="1.0" encoding="utf-8"?>
<Properties xmlns="http://schemas.openxmlformats.org/officeDocument/2006/custom-properties" xmlns:vt="http://schemas.openxmlformats.org/officeDocument/2006/docPropsVTypes"/>
</file>