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bookmarkStart w:id="1" w:name="V14_WD_START"/>
      <w:r>
        <w:t>INFRASTRUCTURE DESIGN / WORKED REFERENCE</w:t>
      </w:r>
      <w:bookmarkEnd w:id="1"/>
    </w:p>
    <w:p>
      <w:pPr>
        <w:pStyle w:val="Title"/>
      </w:pPr>
      <w:r>
        <w:t>Portable Multi-Tenant</w:t>
        <w:br/>
        <w:t>Secure Hosting</w:t>
      </w:r>
    </w:p>
    <w:p>
      <w:pPr>
        <w:pStyle w:val="Subtitle"/>
      </w:pPr>
      <w:r>
        <w:t>Worked Infrastructure Design,</w:t>
        <w:br/>
        <w:t>Build Schedules and Acceptance</w:t>
      </w:r>
    </w:p>
    <w:p>
      <w:r>
        <w:t>Draft v1.4 | 16 September 2026</w:t>
      </w:r>
    </w:p>
    <w:p>
      <w:r>
        <w:t>A connected reference design from component and route ownership to controlled activation, recovery and retirement.</w:t>
      </w:r>
    </w:p>
    <w:tbl>
      <w:tblPr>
        <w:tblStyle w:val="LightShading-Accent1"/>
        <w:tblW w:type="auto" w:w="0"/>
        <w:tblLayout w:type="fixed"/>
        <w:tblLook w:firstColumn="1" w:firstRow="1" w:lastColumn="0" w:lastRow="0" w:noHBand="0" w:noVBand="1" w:val="04A0"/>
      </w:tblPr>
      <w:tblGrid>
        <w:gridCol w:w="4853"/>
        <w:gridCol w:w="4853"/>
      </w:tblGrid>
      <w:tr>
        <w:trPr>
          <w:tblHeader w:val="true"/>
          <w:cantSplit/>
        </w:trPr>
        <w:tc>
          <w:tcPr>
            <w:tcW w:type="dxa" w:w="4788"/>
          </w:tcPr>
          <w:p>
            <w:pPr>
              <w:spacing w:after="100"/>
            </w:pPr>
            <w:r>
              <w:rPr>
                <w:b/>
                <w:sz w:val="18"/>
              </w:rPr>
              <w:t>Document control</w:t>
            </w:r>
          </w:p>
        </w:tc>
        <w:tc>
          <w:tcPr>
            <w:tcW w:type="dxa" w:w="4788"/>
          </w:tcPr>
          <w:p>
            <w:pPr>
              <w:spacing w:after="100"/>
            </w:pPr>
            <w:r>
              <w:rPr>
                <w:b/>
                <w:sz w:val="18"/>
              </w:rPr>
              <w:t>Record</w:t>
            </w:r>
          </w:p>
        </w:tc>
      </w:tr>
      <w:tr>
        <w:trPr>
          <w:cantSplit/>
        </w:trPr>
        <w:tc>
          <w:tcPr>
            <w:tcW w:type="dxa" w:w="4788"/>
          </w:tcPr>
          <w:p>
            <w:pPr>
              <w:spacing w:after="100"/>
            </w:pPr>
            <w:r>
              <w:rPr>
                <w:sz w:val="18"/>
              </w:rPr>
              <w:t>Document ID / parent</w:t>
            </w:r>
          </w:p>
        </w:tc>
        <w:tc>
          <w:tcPr>
            <w:tcW w:type="dxa" w:w="4788"/>
          </w:tcPr>
          <w:p>
            <w:pPr>
              <w:spacing w:after="100"/>
            </w:pPr>
            <w:r>
              <w:rPr>
                <w:sz w:val="18"/>
              </w:rPr>
              <w:t>WD — supplement to RA v1.4</w:t>
            </w:r>
          </w:p>
        </w:tc>
      </w:tr>
      <w:tr>
        <w:trPr>
          <w:cantSplit/>
        </w:trPr>
        <w:tc>
          <w:tcPr>
            <w:tcW w:type="dxa" w:w="4788"/>
          </w:tcPr>
          <w:p>
            <w:pPr>
              <w:spacing w:after="100"/>
            </w:pPr>
            <w:r>
              <w:rPr>
                <w:sz w:val="18"/>
              </w:rPr>
              <w:t>Status</w:t>
            </w:r>
          </w:p>
        </w:tc>
        <w:tc>
          <w:tcPr>
            <w:tcW w:type="dxa" w:w="4788"/>
          </w:tcPr>
          <w:p>
            <w:pPr>
              <w:spacing w:after="100"/>
            </w:pPr>
            <w:r>
              <w:rPr>
                <w:sz w:val="18"/>
              </w:rPr>
              <w:t>Proposed reference design. Actual site decisions, support and qualification remain separate.</w:t>
            </w:r>
          </w:p>
        </w:tc>
      </w:tr>
      <w:tr>
        <w:trPr>
          <w:cantSplit/>
        </w:trPr>
        <w:tc>
          <w:tcPr>
            <w:tcW w:type="dxa" w:w="4788"/>
          </w:tcPr>
          <w:p>
            <w:pPr>
              <w:spacing w:after="100"/>
            </w:pPr>
            <w:r>
              <w:rPr>
                <w:sz w:val="18"/>
              </w:rPr>
              <w:t>Baseline</w:t>
            </w:r>
          </w:p>
        </w:tc>
        <w:tc>
          <w:tcPr>
            <w:tcW w:type="dxa" w:w="4788"/>
          </w:tcPr>
          <w:p>
            <w:pPr>
              <w:spacing w:after="100"/>
            </w:pPr>
            <w:r>
              <w:rPr>
                <w:sz w:val="18"/>
              </w:rPr>
              <w:t>The seven-document v1.3 architecture library, retained without silent removal of requirement history.</w:t>
            </w:r>
          </w:p>
        </w:tc>
      </w:tr>
      <w:tr>
        <w:trPr>
          <w:cantSplit/>
        </w:trPr>
        <w:tc>
          <w:tcPr>
            <w:tcW w:type="dxa" w:w="4788"/>
          </w:tcPr>
          <w:p>
            <w:pPr>
              <w:spacing w:after="100"/>
            </w:pPr>
            <w:r>
              <w:rPr>
                <w:sz w:val="18"/>
              </w:rPr>
              <w:t>Release boundary</w:t>
            </w:r>
          </w:p>
        </w:tc>
        <w:tc>
          <w:tcPr>
            <w:tcW w:type="dxa" w:w="4788"/>
          </w:tcPr>
          <w:p>
            <w:pPr>
              <w:spacing w:after="100"/>
            </w:pPr>
            <w:r>
              <w:rPr>
                <w:sz w:val="18"/>
              </w:rPr>
              <w:t>Documentation and local arithmetic/link checks only. No infrastructure operations performed.</w:t>
            </w:r>
          </w:p>
        </w:tc>
      </w:tr>
      <w:tr>
        <w:trPr>
          <w:cantSplit/>
        </w:trPr>
        <w:tc>
          <w:tcPr>
            <w:tcW w:type="dxa" w:w="4788"/>
          </w:tcPr>
          <w:p>
            <w:pPr>
              <w:spacing w:after="100"/>
            </w:pPr>
            <w:r>
              <w:rPr>
                <w:sz w:val="18"/>
              </w:rPr>
              <w:t>Address and capacity status</w:t>
            </w:r>
          </w:p>
        </w:tc>
        <w:tc>
          <w:tcPr>
            <w:tcW w:type="dxa" w:w="4788"/>
          </w:tcPr>
          <w:p>
            <w:pPr>
              <w:spacing w:after="100"/>
            </w:pPr>
            <w:r>
              <w:rPr>
                <w:sz w:val="18"/>
              </w:rPr>
              <w:t>Documentation examples; not deployment allocations, product minima or measured capability.</w:t>
            </w:r>
          </w:p>
        </w:tc>
      </w:tr>
    </w:tbl>
    <w:p>
      <w:pPr>
        <w:spacing w:after="20"/>
      </w:pPr>
    </w:p>
    <w:p>
      <w:r>
        <w:rPr>
          <w:sz w:val="18"/>
        </w:rPr>
        <w:t xml:space="preserve">Related documents: </w:t>
      </w:r>
      <w:hyperlink r:id="rId11" w:anchor="V14_RA_START">
        <w:r>
          <w:rPr>
            <w:rStyle w:val="Hyperlink"/>
          </w:rPr>
          <w:t>RA — Parent architecture</w:t>
        </w:r>
      </w:hyperlink>
      <w:r>
        <w:rPr>
          <w:sz w:val="18"/>
        </w:rPr>
        <w:t xml:space="preserve">  |  </w:t>
      </w:r>
      <w:hyperlink r:id="rId12" w:anchor="V14_GM_START">
        <w:r>
          <w:rPr>
            <w:rStyle w:val="Hyperlink"/>
          </w:rPr>
          <w:t>GM — Gaps and decisions</w:t>
        </w:r>
      </w:hyperlink>
      <w:r>
        <w:rPr>
          <w:sz w:val="18"/>
        </w:rPr>
        <w:t xml:space="preserve">  |  </w:t>
      </w:r>
      <w:hyperlink r:id="rId13" w:anchor="V14_QUAL_START">
        <w:r>
          <w:rPr>
            <w:rStyle w:val="Hyperlink"/>
          </w:rPr>
          <w:t>QUAL — Acceptance</w:t>
        </w:r>
      </w:hyperlink>
    </w:p>
    <w:p>
      <w:r>
        <w:br w:type="page"/>
      </w:r>
    </w:p>
    <w:p>
      <w:pPr>
        <w:pStyle w:val="Heading1"/>
      </w:pPr>
      <w:r>
        <w:t>Contents</w:t>
      </w:r>
    </w:p>
    <w:p>
      <w:hyperlink w:anchor="WD14_S01">
        <w:r>
          <w:rPr>
            <w:rStyle w:val="Hyperlink"/>
          </w:rPr>
          <w:t>1. Purpose, status and reading order</w:t>
        </w:r>
      </w:hyperlink>
    </w:p>
    <w:p>
      <w:hyperlink w:anchor="WD14_S02">
        <w:r>
          <w:rPr>
            <w:rStyle w:val="Hyperlink"/>
          </w:rPr>
          <w:t>2. Reference decisions and infrastructure boundaries</w:t>
        </w:r>
      </w:hyperlink>
    </w:p>
    <w:p>
      <w:hyperlink w:anchor="WD14_S03">
        <w:r>
          <w:rPr>
            <w:rStyle w:val="Hyperlink"/>
          </w:rPr>
          <w:t>3. Component and dependency schedule</w:t>
        </w:r>
      </w:hyperlink>
    </w:p>
    <w:p>
      <w:hyperlink w:anchor="WD14_S04">
        <w:r>
          <w:rPr>
            <w:rStyle w:val="Hyperlink"/>
          </w:rPr>
          <w:t>4. Tenant, attachment and address schedule</w:t>
        </w:r>
      </w:hyperlink>
    </w:p>
    <w:p>
      <w:hyperlink w:anchor="WD14_S05">
        <w:r>
          <w:rPr>
            <w:rStyle w:val="Hyperlink"/>
          </w:rPr>
          <w:t>5. Dedicated handoff inventory and route ownership</w:t>
        </w:r>
      </w:hyperlink>
    </w:p>
    <w:p>
      <w:hyperlink w:anchor="WD14_S06">
        <w:r>
          <w:rPr>
            <w:rStyle w:val="Hyperlink"/>
          </w:rPr>
          <w:t>6. Worked forwarding and return-route schedule</w:t>
        </w:r>
      </w:hyperlink>
    </w:p>
    <w:p>
      <w:hyperlink w:anchor="WD14_S07">
        <w:r>
          <w:rPr>
            <w:rStyle w:val="Hyperlink"/>
          </w:rPr>
          <w:t>7. Service permissions and non-IP storage paths</w:t>
        </w:r>
      </w:hyperlink>
    </w:p>
    <w:p>
      <w:hyperlink w:anchor="WD14_S08">
        <w:r>
          <w:rPr>
            <w:rStyle w:val="Hyperlink"/>
          </w:rPr>
          <w:t>8. Mapping the schedules into each vendor stack</w:t>
        </w:r>
      </w:hyperlink>
    </w:p>
    <w:p>
      <w:hyperlink w:anchor="WD14_S09">
        <w:r>
          <w:rPr>
            <w:rStyle w:val="Hyperlink"/>
          </w:rPr>
          <w:t>9. Build sequence with explicit acceptance dependencies</w:t>
        </w:r>
      </w:hyperlink>
    </w:p>
    <w:p>
      <w:hyperlink w:anchor="WD14_S10">
        <w:r>
          <w:rPr>
            <w:rStyle w:val="Hyperlink"/>
          </w:rPr>
          <w:t>10. Resource ownership, protection and change receipts</w:t>
        </w:r>
      </w:hyperlink>
    </w:p>
    <w:p>
      <w:hyperlink w:anchor="WD14_S11">
        <w:r>
          <w:rPr>
            <w:rStyle w:val="Hyperlink"/>
          </w:rPr>
          <w:t>11. Test-resource, capacity and MTU accounting</w:t>
        </w:r>
      </w:hyperlink>
    </w:p>
    <w:p>
      <w:hyperlink w:anchor="WD14_S12">
        <w:r>
          <w:rPr>
            <w:rStyle w:val="Hyperlink"/>
          </w:rPr>
          <w:t>12. Failure and partition decision schedule</w:t>
        </w:r>
      </w:hyperlink>
    </w:p>
    <w:p>
      <w:hyperlink w:anchor="WD14_S13">
        <w:r>
          <w:rPr>
            <w:rStyle w:val="Hyperlink"/>
          </w:rPr>
          <w:t>13. Verification assertions and actual evidence</w:t>
        </w:r>
      </w:hyperlink>
    </w:p>
    <w:p>
      <w:hyperlink w:anchor="WD14_S14">
        <w:r>
          <w:rPr>
            <w:rStyle w:val="Hyperlink"/>
          </w:rPr>
          <w:t>14. Remaining decisions and release boundaries</w:t>
        </w:r>
      </w:hyperlink>
    </w:p>
    <w:p>
      <w:hyperlink w:anchor="WD14_SOURCES">
        <w:r>
          <w:rPr>
            <w:rStyle w:val="Hyperlink"/>
          </w:rPr>
          <w:t>References and source status</w:t>
        </w:r>
      </w:hyperlink>
    </w:p>
    <w:p>
      <w:r>
        <w:t>Section links are used instead of unstable manually entered page numbers. The Word navigation pane also lists the headings.</w:t>
      </w:r>
    </w:p>
    <w:p>
      <w:r>
        <w:br w:type="page"/>
      </w:r>
    </w:p>
    <w:p>
      <w:bookmarkStart w:id="2" w:name="WD14_S01"/>
      <w:pPr>
        <w:pStyle w:val="Heading1"/>
      </w:pPr>
      <w:r>
        <w:t>1. Purpose, status and reading order</w:t>
      </w:r>
      <w:bookmarkEnd w:id="2"/>
    </w:p>
    <w:p>
      <w:r>
        <w:t>This is a worked infrastructure design for the reference architecture, not a site configuration, an approved bill of materials, or a claim that a vendor combination has passed qualification. It connects the same resource identities across topology, routing, policy, shared services, provisioning, failure handling and acceptance. The host-platform choice changes the native realization, not the required outcomes.</w:t>
      </w:r>
    </w:p>
    <w:p>
      <w:r>
        <w:t>The starting fixture remains two tenants, two WSDs, four tenant domain instances, four permanent disposable workload endpoints and two tenant OZ-to-RZ relationships. This book explicitly adds the infrastructure that the small fixture previously left outside its count: service-facing handoffs, provider service endpoints, management paths, protection dependencies and temporary test capacity.</w:t>
      </w:r>
    </w:p>
    <w:p>
      <w:r>
        <w:t>Treat every IP address, capacity value and next hop in this book as an illustrative design value. They use documentation address space and must be replaced through an approved site address plan. The IPv6 column is a separate qualification candidate; it does not assert that every selected platform offers dual-stack or IPv6-only service. [R14-01, R14-02]</w:t>
      </w:r>
    </w:p>
    <w:p>
      <w:r>
        <w:t>Read RA for the architecture; NET and VND for mechanism choices; this book for the connected example; PROV for execution ownership; SVC for data and trust dependencies; and QUAL for actual acceptance. The working schedules do not authorize production changes.</w:t>
      </w:r>
    </w:p>
    <w:tbl>
      <w:tblPr>
        <w:tblStyle w:val="LightShading-Accent1"/>
        <w:tblW w:type="auto" w:w="0"/>
        <w:tblLayout w:type="fixed"/>
        <w:tblLook w:firstColumn="1" w:firstRow="1" w:lastColumn="0" w:lastRow="0" w:noHBand="0" w:noVBand="1" w:val="04A0"/>
      </w:tblPr>
      <w:tblGrid>
        <w:gridCol w:w="3235"/>
        <w:gridCol w:w="3235"/>
        <w:gridCol w:w="3235"/>
      </w:tblGrid>
      <w:tr>
        <w:trPr>
          <w:tblHeader w:val="true"/>
          <w:cantSplit/>
        </w:trPr>
        <w:tc>
          <w:tcPr>
            <w:tcW w:type="dxa" w:w="2117"/>
          </w:tcPr>
          <w:p>
            <w:pPr>
              <w:spacing w:after="100"/>
            </w:pPr>
            <w:r>
              <w:rPr>
                <w:b/>
                <w:sz w:val="18"/>
              </w:rPr>
              <w:t>Record type</w:t>
            </w:r>
          </w:p>
        </w:tc>
        <w:tc>
          <w:tcPr>
            <w:tcW w:type="dxa" w:w="3557"/>
          </w:tcPr>
          <w:p>
            <w:pPr>
              <w:spacing w:after="100"/>
            </w:pPr>
            <w:r>
              <w:rPr>
                <w:b/>
                <w:sz w:val="18"/>
              </w:rPr>
              <w:t>Meaning in this release</w:t>
            </w:r>
          </w:p>
        </w:tc>
        <w:tc>
          <w:tcPr>
            <w:tcW w:type="dxa" w:w="3902"/>
          </w:tcPr>
          <w:p>
            <w:pPr>
              <w:spacing w:after="100"/>
            </w:pPr>
            <w:r>
              <w:rPr>
                <w:b/>
                <w:sz w:val="18"/>
              </w:rPr>
              <w:t>What it does not establish</w:t>
            </w:r>
          </w:p>
        </w:tc>
      </w:tr>
      <w:tr>
        <w:trPr>
          <w:cantSplit/>
        </w:trPr>
        <w:tc>
          <w:tcPr>
            <w:tcW w:type="dxa" w:w="2117"/>
          </w:tcPr>
          <w:p>
            <w:pPr>
              <w:spacing w:after="100"/>
            </w:pPr>
            <w:r>
              <w:rPr>
                <w:sz w:val="18"/>
              </w:rPr>
              <w:t>Reference selection</w:t>
            </w:r>
          </w:p>
        </w:tc>
        <w:tc>
          <w:tcPr>
            <w:tcW w:type="dxa" w:w="3557"/>
          </w:tcPr>
          <w:p>
            <w:pPr>
              <w:spacing w:after="100"/>
            </w:pPr>
            <w:r>
              <w:rPr>
                <w:sz w:val="18"/>
              </w:rPr>
              <w:t>A concrete proposed way to instantiate the parent design.</w:t>
            </w:r>
          </w:p>
        </w:tc>
        <w:tc>
          <w:tcPr>
            <w:tcW w:type="dxa" w:w="3902"/>
          </w:tcPr>
          <w:p>
            <w:pPr>
              <w:spacing w:after="100"/>
            </w:pPr>
            <w:r>
              <w:rPr>
                <w:sz w:val="18"/>
              </w:rPr>
              <w:t>Organizational adoption or vendor support.</w:t>
            </w:r>
          </w:p>
        </w:tc>
      </w:tr>
      <w:tr>
        <w:trPr>
          <w:cantSplit/>
        </w:trPr>
        <w:tc>
          <w:tcPr>
            <w:tcW w:type="dxa" w:w="2117"/>
          </w:tcPr>
          <w:p>
            <w:pPr>
              <w:spacing w:after="100"/>
            </w:pPr>
            <w:r>
              <w:rPr>
                <w:sz w:val="18"/>
              </w:rPr>
              <w:t>Documentation-supported mechanism</w:t>
            </w:r>
          </w:p>
        </w:tc>
        <w:tc>
          <w:tcPr>
            <w:tcW w:type="dxa" w:w="3557"/>
          </w:tcPr>
          <w:p>
            <w:pPr>
              <w:spacing w:after="100"/>
            </w:pPr>
            <w:r>
              <w:rPr>
                <w:sz w:val="18"/>
              </w:rPr>
              <w:t>A described product or protocol mechanism with a named source.</w:t>
            </w:r>
          </w:p>
        </w:tc>
        <w:tc>
          <w:tcPr>
            <w:tcW w:type="dxa" w:w="3902"/>
          </w:tcPr>
          <w:p>
            <w:pPr>
              <w:spacing w:after="100"/>
            </w:pPr>
            <w:r>
              <w:rPr>
                <w:sz w:val="18"/>
              </w:rPr>
              <w:t>Support for the installed hardware, release, entitlement and configuration.</w:t>
            </w:r>
          </w:p>
        </w:tc>
      </w:tr>
      <w:tr>
        <w:trPr>
          <w:cantSplit/>
        </w:trPr>
        <w:tc>
          <w:tcPr>
            <w:tcW w:type="dxa" w:w="2117"/>
          </w:tcPr>
          <w:p>
            <w:pPr>
              <w:spacing w:after="100"/>
            </w:pPr>
            <w:r>
              <w:rPr>
                <w:sz w:val="18"/>
              </w:rPr>
              <w:t>Site decision</w:t>
            </w:r>
          </w:p>
        </w:tc>
        <w:tc>
          <w:tcPr>
            <w:tcW w:type="dxa" w:w="3557"/>
          </w:tcPr>
          <w:p>
            <w:pPr>
              <w:spacing w:after="100"/>
            </w:pPr>
            <w:r>
              <w:rPr>
                <w:sz w:val="18"/>
              </w:rPr>
              <w:t>An actual selection requiring an accountable owner and approval.</w:t>
            </w:r>
          </w:p>
        </w:tc>
        <w:tc>
          <w:tcPr>
            <w:tcW w:type="dxa" w:w="3902"/>
          </w:tcPr>
          <w:p>
            <w:pPr>
              <w:spacing w:after="100"/>
            </w:pPr>
            <w:r>
              <w:rPr>
                <w:sz w:val="18"/>
              </w:rPr>
              <w:t>A value supplied by copying an illustrative table.</w:t>
            </w:r>
          </w:p>
        </w:tc>
      </w:tr>
      <w:tr>
        <w:trPr>
          <w:cantSplit/>
        </w:trPr>
        <w:tc>
          <w:tcPr>
            <w:tcW w:type="dxa" w:w="2117"/>
          </w:tcPr>
          <w:p>
            <w:pPr>
              <w:spacing w:after="100"/>
            </w:pPr>
            <w:r>
              <w:rPr>
                <w:sz w:val="18"/>
              </w:rPr>
              <w:t>Observed qualification</w:t>
            </w:r>
          </w:p>
        </w:tc>
        <w:tc>
          <w:tcPr>
            <w:tcW w:type="dxa" w:w="3557"/>
          </w:tcPr>
          <w:p>
            <w:pPr>
              <w:spacing w:after="100"/>
            </w:pPr>
            <w:r>
              <w:rPr>
                <w:sz w:val="18"/>
              </w:rPr>
              <w:t>Measurements against actual components, versions and an approved test scope.</w:t>
            </w:r>
          </w:p>
        </w:tc>
        <w:tc>
          <w:tcPr>
            <w:tcW w:type="dxa" w:w="3902"/>
          </w:tcPr>
          <w:p>
            <w:pPr>
              <w:spacing w:after="100"/>
            </w:pPr>
            <w:r>
              <w:rPr>
                <w:sz w:val="18"/>
              </w:rPr>
              <w:t>Any result in this documentation-only release.</w:t>
            </w:r>
          </w:p>
        </w:tc>
      </w:tr>
    </w:tbl>
    <w:p>
      <w:pPr>
        <w:spacing w:after="20"/>
      </w:pPr>
    </w:p>
    <w:p>
      <w:r>
        <w:rPr>
          <w:sz w:val="18"/>
        </w:rPr>
        <w:t xml:space="preserve">Related documents: </w:t>
      </w:r>
      <w:hyperlink r:id="rId11" w:anchor="V14_RA_START">
        <w:r>
          <w:rPr>
            <w:rStyle w:val="Hyperlink"/>
          </w:rPr>
          <w:t>RA — Architecture and authority</w:t>
        </w:r>
      </w:hyperlink>
      <w:r>
        <w:rPr>
          <w:sz w:val="18"/>
        </w:rPr>
        <w:t xml:space="preserve">  |  </w:t>
      </w:r>
      <w:hyperlink r:id="rId12" w:anchor="V14_GM_START">
        <w:r>
          <w:rPr>
            <w:rStyle w:val="Hyperlink"/>
          </w:rPr>
          <w:t>GM — Gap and decision ownership</w:t>
        </w:r>
      </w:hyperlink>
    </w:p>
    <w:p>
      <w:r>
        <w:br w:type="page"/>
      </w:r>
    </w:p>
    <w:p>
      <w:bookmarkStart w:id="3" w:name="WD14_S02"/>
      <w:pPr>
        <w:pStyle w:val="Heading1"/>
      </w:pPr>
      <w:r>
        <w:t>2. Reference decisions and infrastructure boundaries</w:t>
      </w:r>
      <w:bookmarkEnd w:id="3"/>
    </w:p>
    <w:p>
      <w:r>
        <w:t>The selected example uses unique tenant addresses, native isolated domain routing, a separately controlled stateful edge context for each tenant, and dedicated routed service handoffs. A tenant context can implement several pairwise ZIP relationships; neither a logical ZIP relationship nor an attachment is a physical appliance count.</w:t>
      </w:r>
    </w:p>
    <w:p>
      <w:r>
        <w:t>The provider service domain contains service endpoints, not tenant gateways. Each tenant reaches that domain through its own service-edge context. This makes the point at which paths may share a service network explicit: after the provider security controls, never as an uninspected shared external subnet between native tenant gateways.</w:t>
      </w:r>
    </w:p>
    <w:p>
      <w:r>
        <w:t>A centralized shared service is not automatically safe merely because the incoming routes are filtered. The design also controls service-side identity, return routing, source validation and the ability of a compromised endpoint to originate new traffic. Service hosts are not general-purpose transit routers. The shared service remains a disclosed compromise and availability dependency.</w:t>
      </w:r>
    </w:p>
    <w:p>
      <w:r>
        <w:t>For the base OpenStack service, provider-owned roles retain network-policy and attachment mutation authority. Tenant self-service requests can use existing approved service and change tooling; a custom controller is not required. Direct delegated security-group, port-security, router or external-network editing is a separate optional service with its own effective-policy proof. Additive allow groups must not be described as a mandatory deny hierarchy. [R14-05]</w:t>
      </w:r>
    </w:p>
    <w:tbl>
      <w:tblPr>
        <w:tblStyle w:val="LightShading-Accent1"/>
        <w:tblW w:type="auto" w:w="0"/>
        <w:tblLayout w:type="fixed"/>
        <w:tblLook w:firstColumn="1" w:firstRow="1" w:lastColumn="0" w:lastRow="0" w:noHBand="0" w:noVBand="1" w:val="04A0"/>
      </w:tblPr>
      <w:tblGrid>
        <w:gridCol w:w="3235"/>
        <w:gridCol w:w="3235"/>
        <w:gridCol w:w="3235"/>
      </w:tblGrid>
      <w:tr>
        <w:trPr>
          <w:tblHeader w:val="true"/>
          <w:cantSplit/>
        </w:trPr>
        <w:tc>
          <w:tcPr>
            <w:tcW w:type="dxa" w:w="2117"/>
          </w:tcPr>
          <w:p>
            <w:pPr>
              <w:spacing w:after="100"/>
            </w:pPr>
            <w:r>
              <w:rPr>
                <w:b/>
                <w:sz w:val="18"/>
              </w:rPr>
              <w:t>Decision</w:t>
            </w:r>
          </w:p>
        </w:tc>
        <w:tc>
          <w:tcPr>
            <w:tcW w:type="dxa" w:w="3557"/>
          </w:tcPr>
          <w:p>
            <w:pPr>
              <w:spacing w:after="100"/>
            </w:pPr>
            <w:r>
              <w:rPr>
                <w:b/>
                <w:sz w:val="18"/>
              </w:rPr>
              <w:t>Selected reference treatment</w:t>
            </w:r>
          </w:p>
        </w:tc>
        <w:tc>
          <w:tcPr>
            <w:tcW w:type="dxa" w:w="3902"/>
          </w:tcPr>
          <w:p>
            <w:pPr>
              <w:spacing w:after="100"/>
            </w:pPr>
            <w:r>
              <w:rPr>
                <w:b/>
                <w:sz w:val="18"/>
              </w:rPr>
              <w:t>Qualification or variation condition</w:t>
            </w:r>
          </w:p>
        </w:tc>
      </w:tr>
      <w:tr>
        <w:trPr>
          <w:cantSplit/>
        </w:trPr>
        <w:tc>
          <w:tcPr>
            <w:tcW w:type="dxa" w:w="2117"/>
          </w:tcPr>
          <w:p>
            <w:pPr>
              <w:spacing w:after="100"/>
            </w:pPr>
            <w:r>
              <w:rPr>
                <w:sz w:val="18"/>
              </w:rPr>
              <w:t>RD14-01 / boundary ownership</w:t>
            </w:r>
          </w:p>
        </w:tc>
        <w:tc>
          <w:tcPr>
            <w:tcW w:type="dxa" w:w="3557"/>
          </w:tcPr>
          <w:p>
            <w:pPr>
              <w:spacing w:after="100"/>
            </w:pPr>
            <w:r>
              <w:rPr>
                <w:sz w:val="18"/>
              </w:rPr>
              <w:t>EC-01 and EC-02 have separate routing and policy authority; no unrestricted inter-context route import.</w:t>
            </w:r>
          </w:p>
        </w:tc>
        <w:tc>
          <w:tcPr>
            <w:tcW w:type="dxa" w:w="3902"/>
          </w:tcPr>
          <w:p>
            <w:pPr>
              <w:spacing w:after="100"/>
            </w:pPr>
            <w:r>
              <w:rPr>
                <w:sz w:val="18"/>
              </w:rPr>
              <w:t>Actual virtual-system/VRF/context and stateful enforcement combination must be supported.</w:t>
            </w:r>
          </w:p>
        </w:tc>
      </w:tr>
      <w:tr>
        <w:trPr>
          <w:cantSplit/>
        </w:trPr>
        <w:tc>
          <w:tcPr>
            <w:tcW w:type="dxa" w:w="2117"/>
          </w:tcPr>
          <w:p>
            <w:pPr>
              <w:spacing w:after="100"/>
            </w:pPr>
            <w:r>
              <w:rPr>
                <w:sz w:val="18"/>
              </w:rPr>
              <w:t>RD14-02 / shared services</w:t>
            </w:r>
          </w:p>
        </w:tc>
        <w:tc>
          <w:tcPr>
            <w:tcW w:type="dxa" w:w="3557"/>
          </w:tcPr>
          <w:p>
            <w:pPr>
              <w:spacing w:after="100"/>
            </w:pPr>
            <w:r>
              <w:rPr>
                <w:sz w:val="18"/>
              </w:rPr>
              <w:t>Dedicated tenant-to-service handoffs; service-side return routes select the originating tenant context.</w:t>
            </w:r>
          </w:p>
        </w:tc>
        <w:tc>
          <w:tcPr>
            <w:tcW w:type="dxa" w:w="3902"/>
          </w:tcPr>
          <w:p>
            <w:pPr>
              <w:spacing w:after="100"/>
            </w:pPr>
            <w:r>
              <w:rPr>
                <w:sz w:val="18"/>
              </w:rPr>
              <w:t>A shared attachment or proxy alternative needs its own path and identity analysis.</w:t>
            </w:r>
          </w:p>
        </w:tc>
      </w:tr>
      <w:tr>
        <w:trPr>
          <w:cantSplit/>
        </w:trPr>
        <w:tc>
          <w:tcPr>
            <w:tcW w:type="dxa" w:w="2117"/>
          </w:tcPr>
          <w:p>
            <w:pPr>
              <w:spacing w:after="100"/>
            </w:pPr>
            <w:r>
              <w:rPr>
                <w:sz w:val="18"/>
              </w:rPr>
              <w:t>RD14-03 / mandatory policy</w:t>
            </w:r>
          </w:p>
        </w:tc>
        <w:tc>
          <w:tcPr>
            <w:tcW w:type="dxa" w:w="3557"/>
          </w:tcPr>
          <w:p>
            <w:pPr>
              <w:spacing w:after="100"/>
            </w:pPr>
            <w:r>
              <w:rPr>
                <w:sz w:val="18"/>
              </w:rPr>
              <w:t>Provider retains mutation authority for baseline networks, policies and attachments.</w:t>
            </w:r>
          </w:p>
        </w:tc>
        <w:tc>
          <w:tcPr>
            <w:tcW w:type="dxa" w:w="3902"/>
          </w:tcPr>
          <w:p>
            <w:pPr>
              <w:spacing w:after="100"/>
            </w:pPr>
            <w:r>
              <w:rPr>
                <w:sz w:val="18"/>
              </w:rPr>
              <w:t>Delegation requires tested limits that cannot expand the mandatory envelope.</w:t>
            </w:r>
          </w:p>
        </w:tc>
      </w:tr>
      <w:tr>
        <w:trPr>
          <w:cantSplit/>
        </w:trPr>
        <w:tc>
          <w:tcPr>
            <w:tcW w:type="dxa" w:w="2117"/>
          </w:tcPr>
          <w:p>
            <w:pPr>
              <w:spacing w:after="100"/>
            </w:pPr>
            <w:r>
              <w:rPr>
                <w:sz w:val="18"/>
              </w:rPr>
              <w:t>RD14-04 / activation</w:t>
            </w:r>
          </w:p>
        </w:tc>
        <w:tc>
          <w:tcPr>
            <w:tcW w:type="dxa" w:w="3557"/>
          </w:tcPr>
          <w:p>
            <w:pPr>
              <w:spacing w:after="100"/>
            </w:pPr>
            <w:r>
              <w:rPr>
                <w:sz w:val="18"/>
              </w:rPr>
              <w:t>Production G3 requires the applicable G4 readiness evidence and valid authority to operate.</w:t>
            </w:r>
          </w:p>
        </w:tc>
        <w:tc>
          <w:tcPr>
            <w:tcW w:type="dxa" w:w="3902"/>
          </w:tcPr>
          <w:p>
            <w:pPr>
              <w:spacing w:after="100"/>
            </w:pPr>
            <w:r>
              <w:rPr>
                <w:sz w:val="18"/>
              </w:rPr>
              <w:t>Restricted, non-production qualification is a distinct authorized activity.</w:t>
            </w:r>
          </w:p>
        </w:tc>
      </w:tr>
      <w:tr>
        <w:trPr>
          <w:cantSplit/>
        </w:trPr>
        <w:tc>
          <w:tcPr>
            <w:tcW w:type="dxa" w:w="2117"/>
          </w:tcPr>
          <w:p>
            <w:pPr>
              <w:spacing w:after="100"/>
            </w:pPr>
            <w:r>
              <w:rPr>
                <w:sz w:val="18"/>
              </w:rPr>
              <w:t>RD14-05 / resource ownership</w:t>
            </w:r>
          </w:p>
        </w:tc>
        <w:tc>
          <w:tcPr>
            <w:tcW w:type="dxa" w:w="3557"/>
          </w:tcPr>
          <w:p>
            <w:pPr>
              <w:spacing w:after="100"/>
            </w:pPr>
            <w:r>
              <w:rPr>
                <w:sz w:val="18"/>
              </w:rPr>
              <w:t>Each native object and sensitive subresource has one authoritative writer and a defined handoff.</w:t>
            </w:r>
          </w:p>
        </w:tc>
        <w:tc>
          <w:tcPr>
            <w:tcW w:type="dxa" w:w="3902"/>
          </w:tcPr>
          <w:p>
            <w:pPr>
              <w:spacing w:after="100"/>
            </w:pPr>
            <w:r>
              <w:rPr>
                <w:sz w:val="18"/>
              </w:rPr>
              <w:t>Shared objects are not recreated independently by each tenant workflow.</w:t>
            </w:r>
          </w:p>
        </w:tc>
      </w:tr>
    </w:tbl>
    <w:p>
      <w:pPr>
        <w:spacing w:after="20"/>
      </w:pPr>
    </w:p>
    <w:p>
      <w:r>
        <w:rPr>
          <w:sz w:val="18"/>
        </w:rPr>
        <w:t xml:space="preserve">Related documents: </w:t>
      </w:r>
      <w:hyperlink r:id="rId11" w:anchor="V14_RA_START">
        <w:r>
          <w:rPr>
            <w:rStyle w:val="Hyperlink"/>
          </w:rPr>
          <w:t>RA — Selected design and variations</w:t>
        </w:r>
      </w:hyperlink>
      <w:r>
        <w:rPr>
          <w:sz w:val="18"/>
        </w:rPr>
        <w:t xml:space="preserve">  |  </w:t>
      </w:r>
      <w:hyperlink r:id="rId14" w:anchor="V14_NET_START">
        <w:r>
          <w:rPr>
            <w:rStyle w:val="Hyperlink"/>
          </w:rPr>
          <w:t>NET — Routing and attachment mechanics</w:t>
        </w:r>
      </w:hyperlink>
      <w:r>
        <w:rPr>
          <w:sz w:val="18"/>
        </w:rPr>
        <w:t xml:space="preserve">  |  </w:t>
      </w:r>
      <w:hyperlink r:id="rId15" w:anchor="V14_VND_START">
        <w:r>
          <w:rPr>
            <w:rStyle w:val="Hyperlink"/>
          </w:rPr>
          <w:t>VND — Native implementation choices</w:t>
        </w:r>
      </w:hyperlink>
    </w:p>
    <w:p>
      <w:r>
        <w:br w:type="page"/>
      </w:r>
    </w:p>
    <w:p>
      <w:bookmarkStart w:id="4" w:name="WD14_S03"/>
      <w:pPr>
        <w:pStyle w:val="Heading1"/>
      </w:pPr>
      <w:r>
        <w:t>3. Component and dependency schedule</w:t>
      </w:r>
      <w:bookmarkEnd w:id="4"/>
    </w:p>
    <w:p>
      <w:r>
        <w:t>The component IDs below are architecture identities, not mandated product object names. Where a security platform combines EC and SE functions, it must preserve their routing, policy and management scopes. Where it separates them, both members of the composed boundary belong in the path and failure record.</w:t>
      </w:r>
    </w:p>
    <w:p>
      <w:r>
        <w:t>Choose one hosting stack per qualification campaign. Repeating the same fixture on the next stack is portable alternative placement. Simultaneously splitting a production WSD between stacks is composite delivery and requires additional latency, dependency and recovery design.</w:t>
      </w:r>
    </w:p>
    <w:p>
      <w:r>
        <w:t>The provider service network and security contexts may be shared physical infrastructure. Its endpoints, managers, storage, keys and power dependencies remain in the failure and co-residency analysis. No row implies that one VM, two hosts or a named cluster satisfies a product minimum or a promised failure model.</w:t>
      </w:r>
    </w:p>
    <w:tbl>
      <w:tblPr>
        <w:tblStyle w:val="LightShading-Accent1"/>
        <w:tblW w:type="auto" w:w="0"/>
        <w:tblLayout w:type="fixed"/>
        <w:tblLook w:firstColumn="1" w:firstRow="1" w:lastColumn="0" w:lastRow="0" w:noHBand="0" w:noVBand="1" w:val="04A0"/>
      </w:tblPr>
      <w:tblGrid>
        <w:gridCol w:w="3235"/>
        <w:gridCol w:w="3235"/>
        <w:gridCol w:w="3235"/>
      </w:tblGrid>
      <w:tr>
        <w:trPr>
          <w:tblHeader w:val="true"/>
          <w:cantSplit/>
        </w:trPr>
        <w:tc>
          <w:tcPr>
            <w:tcW w:type="dxa" w:w="2117"/>
          </w:tcPr>
          <w:p>
            <w:pPr>
              <w:spacing w:after="100"/>
            </w:pPr>
            <w:r>
              <w:rPr>
                <w:b/>
                <w:sz w:val="18"/>
              </w:rPr>
              <w:t>Component ID</w:t>
            </w:r>
          </w:p>
        </w:tc>
        <w:tc>
          <w:tcPr>
            <w:tcW w:type="dxa" w:w="3557"/>
          </w:tcPr>
          <w:p>
            <w:pPr>
              <w:spacing w:after="100"/>
            </w:pPr>
            <w:r>
              <w:rPr>
                <w:b/>
                <w:sz w:val="18"/>
              </w:rPr>
              <w:t>Infrastructure role</w:t>
            </w:r>
          </w:p>
        </w:tc>
        <w:tc>
          <w:tcPr>
            <w:tcW w:type="dxa" w:w="3902"/>
          </w:tcPr>
          <w:p>
            <w:pPr>
              <w:spacing w:after="100"/>
            </w:pPr>
            <w:r>
              <w:rPr>
                <w:b/>
                <w:sz w:val="18"/>
              </w:rPr>
              <w:t>Accountability and dependency</w:t>
            </w:r>
          </w:p>
        </w:tc>
      </w:tr>
      <w:tr>
        <w:trPr>
          <w:cantSplit/>
        </w:trPr>
        <w:tc>
          <w:tcPr>
            <w:tcW w:type="dxa" w:w="2117"/>
          </w:tcPr>
          <w:p>
            <w:pPr>
              <w:spacing w:after="100"/>
            </w:pPr>
            <w:r>
              <w:rPr>
                <w:sz w:val="18"/>
              </w:rPr>
              <w:t>SITE-REF-A / CELL-REF-A</w:t>
            </w:r>
          </w:p>
        </w:tc>
        <w:tc>
          <w:tcPr>
            <w:tcW w:type="dxa" w:w="3557"/>
          </w:tcPr>
          <w:p>
            <w:pPr>
              <w:spacing w:after="100"/>
            </w:pPr>
            <w:r>
              <w:rPr>
                <w:sz w:val="18"/>
              </w:rPr>
              <w:t>Primary illustrative site and one selected native hosting cell.</w:t>
            </w:r>
          </w:p>
        </w:tc>
        <w:tc>
          <w:tcPr>
            <w:tcW w:type="dxa" w:w="3902"/>
          </w:tcPr>
          <w:p>
            <w:pPr>
              <w:spacing w:after="100"/>
            </w:pPr>
            <w:r>
              <w:rPr>
                <w:sz w:val="18"/>
              </w:rPr>
              <w:t>Site owner records actual racks, power, links, platform and storage fault groups.</w:t>
            </w:r>
          </w:p>
        </w:tc>
      </w:tr>
      <w:tr>
        <w:trPr>
          <w:cantSplit/>
        </w:trPr>
        <w:tc>
          <w:tcPr>
            <w:tcW w:type="dxa" w:w="2117"/>
          </w:tcPr>
          <w:p>
            <w:pPr>
              <w:spacing w:after="100"/>
            </w:pPr>
            <w:r>
              <w:rPr>
                <w:sz w:val="18"/>
              </w:rPr>
              <w:t>FAB-REF / OOB-REF</w:t>
            </w:r>
          </w:p>
        </w:tc>
        <w:tc>
          <w:tcPr>
            <w:tcW w:type="dxa" w:w="3557"/>
          </w:tcPr>
          <w:p>
            <w:pPr>
              <w:spacing w:after="100"/>
            </w:pPr>
            <w:r>
              <w:rPr>
                <w:sz w:val="18"/>
              </w:rPr>
              <w:t>Routed platform transport and separately designed hardware recovery access.</w:t>
            </w:r>
          </w:p>
        </w:tc>
        <w:tc>
          <w:tcPr>
            <w:tcW w:type="dxa" w:w="3902"/>
          </w:tcPr>
          <w:p>
            <w:pPr>
              <w:spacing w:after="100"/>
            </w:pPr>
            <w:r>
              <w:rPr>
                <w:sz w:val="18"/>
              </w:rPr>
              <w:t>Network owner; OOB independence evaluated against the stated production-path failure.</w:t>
            </w:r>
          </w:p>
        </w:tc>
      </w:tr>
      <w:tr>
        <w:trPr>
          <w:cantSplit/>
        </w:trPr>
        <w:tc>
          <w:tcPr>
            <w:tcW w:type="dxa" w:w="2117"/>
          </w:tcPr>
          <w:p>
            <w:pPr>
              <w:spacing w:after="100"/>
            </w:pPr>
            <w:r>
              <w:rPr>
                <w:sz w:val="18"/>
              </w:rPr>
              <w:t>MGMT-REF</w:t>
            </w:r>
          </w:p>
        </w:tc>
        <w:tc>
          <w:tcPr>
            <w:tcW w:type="dxa" w:w="3557"/>
          </w:tcPr>
          <w:p>
            <w:pPr>
              <w:spacing w:after="100"/>
            </w:pPr>
            <w:r>
              <w:rPr>
                <w:sz w:val="18"/>
              </w:rPr>
              <w:t>Protected administrative domains, privileged access and approved execution interfaces.</w:t>
            </w:r>
          </w:p>
        </w:tc>
        <w:tc>
          <w:tcPr>
            <w:tcW w:type="dxa" w:w="3902"/>
          </w:tcPr>
          <w:p>
            <w:pPr>
              <w:spacing w:after="100"/>
            </w:pPr>
            <w:r>
              <w:rPr>
                <w:sz w:val="18"/>
              </w:rPr>
              <w:t>Management and identity owners; not a universally routed management subnet.</w:t>
            </w:r>
          </w:p>
        </w:tc>
      </w:tr>
      <w:tr>
        <w:trPr>
          <w:cantSplit/>
        </w:trPr>
        <w:tc>
          <w:tcPr>
            <w:tcW w:type="dxa" w:w="2117"/>
          </w:tcPr>
          <w:p>
            <w:pPr>
              <w:spacing w:after="100"/>
            </w:pPr>
            <w:r>
              <w:rPr>
                <w:sz w:val="18"/>
              </w:rPr>
              <w:t>HP-O / HP-R</w:t>
            </w:r>
          </w:p>
        </w:tc>
        <w:tc>
          <w:tcPr>
            <w:tcW w:type="dxa" w:w="3557"/>
          </w:tcPr>
          <w:p>
            <w:pPr>
              <w:spacing w:after="100"/>
            </w:pPr>
            <w:r>
              <w:rPr>
                <w:sz w:val="18"/>
              </w:rPr>
              <w:t>Eligible compute pools for the approved OZ and RZ sharing decisions.</w:t>
            </w:r>
          </w:p>
        </w:tc>
        <w:tc>
          <w:tcPr>
            <w:tcW w:type="dxa" w:w="3902"/>
          </w:tcPr>
          <w:p>
            <w:pPr>
              <w:spacing w:after="100"/>
            </w:pPr>
            <w:r>
              <w:rPr>
                <w:sz w:val="18"/>
              </w:rPr>
              <w:t>Platform owner enforces placement, evacuation, restart and recovery eligibility.</w:t>
            </w:r>
          </w:p>
        </w:tc>
      </w:tr>
      <w:tr>
        <w:trPr>
          <w:cantSplit/>
        </w:trPr>
        <w:tc>
          <w:tcPr>
            <w:tcW w:type="dxa" w:w="2117"/>
          </w:tcPr>
          <w:p>
            <w:pPr>
              <w:spacing w:after="100"/>
            </w:pPr>
            <w:r>
              <w:rPr>
                <w:sz w:val="18"/>
              </w:rPr>
              <w:t>EC-01 / EC-02</w:t>
            </w:r>
          </w:p>
        </w:tc>
        <w:tc>
          <w:tcPr>
            <w:tcW w:type="dxa" w:w="3557"/>
          </w:tcPr>
          <w:p>
            <w:pPr>
              <w:spacing w:after="100"/>
            </w:pPr>
            <w:r>
              <w:rPr>
                <w:sz w:val="18"/>
              </w:rPr>
              <w:t>Tenant boundary contexts joining only that tenant's allowed domain and service paths.</w:t>
            </w:r>
          </w:p>
        </w:tc>
        <w:tc>
          <w:tcPr>
            <w:tcW w:type="dxa" w:w="3902"/>
          </w:tcPr>
          <w:p>
            <w:pPr>
              <w:spacing w:after="100"/>
            </w:pPr>
            <w:r>
              <w:rPr>
                <w:sz w:val="18"/>
              </w:rPr>
              <w:t>Security-edge owner; separate policy, routing, identity and change scope.</w:t>
            </w:r>
          </w:p>
        </w:tc>
      </w:tr>
      <w:tr>
        <w:trPr>
          <w:cantSplit/>
        </w:trPr>
        <w:tc>
          <w:tcPr>
            <w:tcW w:type="dxa" w:w="2117"/>
          </w:tcPr>
          <w:p>
            <w:pPr>
              <w:spacing w:after="100"/>
            </w:pPr>
            <w:r>
              <w:rPr>
                <w:sz w:val="18"/>
              </w:rPr>
              <w:t>SE-01 / SE-02</w:t>
            </w:r>
          </w:p>
        </w:tc>
        <w:tc>
          <w:tcPr>
            <w:tcW w:type="dxa" w:w="3557"/>
          </w:tcPr>
          <w:p>
            <w:pPr>
              <w:spacing w:after="100"/>
            </w:pPr>
            <w:r>
              <w:rPr>
                <w:sz w:val="18"/>
              </w:rPr>
              <w:t>Service-edge contexts receiving their corresponding dedicated tenant service handoff.</w:t>
            </w:r>
          </w:p>
        </w:tc>
        <w:tc>
          <w:tcPr>
            <w:tcW w:type="dxa" w:w="3902"/>
          </w:tcPr>
          <w:p>
            <w:pPr>
              <w:spacing w:after="100"/>
            </w:pPr>
            <w:r>
              <w:rPr>
                <w:sz w:val="18"/>
              </w:rPr>
              <w:t>Provider-service security owner; only approved endpoint traffic crosses the boundary.</w:t>
            </w:r>
          </w:p>
        </w:tc>
      </w:tr>
      <w:tr>
        <w:trPr>
          <w:cantSplit/>
        </w:trPr>
        <w:tc>
          <w:tcPr>
            <w:tcW w:type="dxa" w:w="2117"/>
          </w:tcPr>
          <w:p>
            <w:pPr>
              <w:spacing w:after="100"/>
            </w:pPr>
            <w:r>
              <w:rPr>
                <w:sz w:val="18"/>
              </w:rPr>
              <w:t>SVC-REF</w:t>
            </w:r>
          </w:p>
        </w:tc>
        <w:tc>
          <w:tcPr>
            <w:tcW w:type="dxa" w:w="3557"/>
          </w:tcPr>
          <w:p>
            <w:pPr>
              <w:spacing w:after="100"/>
            </w:pPr>
            <w:r>
              <w:rPr>
                <w:sz w:val="18"/>
              </w:rPr>
              <w:t>Provider-controlled service domain with resolver, time, log ingestion and repository endpoints.</w:t>
            </w:r>
          </w:p>
        </w:tc>
        <w:tc>
          <w:tcPr>
            <w:tcW w:type="dxa" w:w="3902"/>
          </w:tcPr>
          <w:p>
            <w:pPr>
              <w:spacing w:after="100"/>
            </w:pPr>
            <w:r>
              <w:rPr>
                <w:sz w:val="18"/>
              </w:rPr>
              <w:t>Service owners control entitlement, management, backend and return routes.</w:t>
            </w:r>
          </w:p>
        </w:tc>
      </w:tr>
      <w:tr>
        <w:trPr>
          <w:cantSplit/>
        </w:trPr>
        <w:tc>
          <w:tcPr>
            <w:tcW w:type="dxa" w:w="2117"/>
          </w:tcPr>
          <w:p>
            <w:pPr>
              <w:spacing w:after="100"/>
            </w:pPr>
            <w:r>
              <w:rPr>
                <w:sz w:val="18"/>
              </w:rPr>
              <w:t>BKP-REF / KEY-REF</w:t>
            </w:r>
          </w:p>
        </w:tc>
        <w:tc>
          <w:tcPr>
            <w:tcW w:type="dxa" w:w="3557"/>
          </w:tcPr>
          <w:p>
            <w:pPr>
              <w:spacing w:after="100"/>
            </w:pPr>
            <w:r>
              <w:rPr>
                <w:sz w:val="18"/>
              </w:rPr>
              <w:t>Qualified protection catalogue/repository and key/trust service dependencies.</w:t>
            </w:r>
          </w:p>
        </w:tc>
        <w:tc>
          <w:tcPr>
            <w:tcW w:type="dxa" w:w="3902"/>
          </w:tcPr>
          <w:p>
            <w:pPr>
              <w:spacing w:after="100"/>
            </w:pPr>
            <w:r>
              <w:rPr>
                <w:sz w:val="18"/>
              </w:rPr>
              <w:t>Protection and key custodians; routine tenant identities cannot destroy retained recovery.</w:t>
            </w:r>
          </w:p>
        </w:tc>
      </w:tr>
      <w:tr>
        <w:trPr>
          <w:cantSplit/>
        </w:trPr>
        <w:tc>
          <w:tcPr>
            <w:tcW w:type="dxa" w:w="2117"/>
          </w:tcPr>
          <w:p>
            <w:pPr>
              <w:spacing w:after="100"/>
            </w:pPr>
            <w:r>
              <w:rPr>
                <w:sz w:val="18"/>
              </w:rPr>
              <w:t>SITE-REF-B</w:t>
            </w:r>
          </w:p>
        </w:tc>
        <w:tc>
          <w:tcPr>
            <w:tcW w:type="dxa" w:w="3557"/>
          </w:tcPr>
          <w:p>
            <w:pPr>
              <w:spacing w:after="100"/>
            </w:pPr>
            <w:r>
              <w:rPr>
                <w:sz w:val="18"/>
              </w:rPr>
              <w:t>Optional prequalified recovery target when the offered class includes site recovery.</w:t>
            </w:r>
          </w:p>
        </w:tc>
        <w:tc>
          <w:tcPr>
            <w:tcW w:type="dxa" w:w="3902"/>
          </w:tcPr>
          <w:p>
            <w:pPr>
              <w:spacing w:after="100"/>
            </w:pPr>
            <w:r>
              <w:rPr>
                <w:sz w:val="18"/>
              </w:rPr>
              <w:t>Not automatically available; actual target capacity, keys, data and fencing must be accepted.</w:t>
            </w:r>
          </w:p>
        </w:tc>
      </w:tr>
    </w:tbl>
    <w:p>
      <w:pPr>
        <w:spacing w:after="20"/>
      </w:pPr>
    </w:p>
    <w:p>
      <w:r>
        <w:rPr>
          <w:sz w:val="18"/>
        </w:rPr>
        <w:t xml:space="preserve">Related documents: </w:t>
      </w:r>
      <w:hyperlink r:id="rId13" w:anchor="V14_QUAL_START">
        <w:r>
          <w:rPr>
            <w:rStyle w:val="Hyperlink"/>
          </w:rPr>
          <w:t>QUAL — Actual site and failure records</w:t>
        </w:r>
      </w:hyperlink>
      <w:r>
        <w:rPr>
          <w:sz w:val="18"/>
        </w:rPr>
        <w:t xml:space="preserve">  |  </w:t>
      </w:r>
      <w:hyperlink r:id="rId16" w:anchor="V14_SVC_START">
        <w:r>
          <w:rPr>
            <w:rStyle w:val="Hyperlink"/>
          </w:rPr>
          <w:t>SVC — Service and recovery dependencies</w:t>
        </w:r>
      </w:hyperlink>
    </w:p>
    <w:p>
      <w:r>
        <w:br w:type="page"/>
      </w:r>
    </w:p>
    <w:p>
      <w:bookmarkStart w:id="5" w:name="WD14_S04"/>
      <w:pPr>
        <w:pStyle w:val="Heading1"/>
      </w:pPr>
      <w:r>
        <w:t>4. Tenant, attachment and address schedule</w:t>
      </w:r>
      <w:bookmarkEnd w:id="5"/>
    </w:p>
    <w:p>
      <w:r>
        <w:t>IPv4 uses the TEST-NET ranges defined for documentation; IPv6 uses 2001:db8::/32. These are not allocations for a connected production or laboratory deployment. The .example naming convention likewise illustrates service identity rather than a registered operational domain. [R14-01, R14-02, R14-03]</w:t>
      </w:r>
    </w:p>
    <w:p>
      <w:r>
        <w:t>Four independent tenant prefixes remain distinct from link prefixes, provider service addresses and management scope. No repeated zone label grants reachability. Gateway addresses below denote the logical native gateway role; exact realization may be distributed, virtual or appliance-based.</w:t>
      </w:r>
    </w:p>
    <w:p>
      <w:r>
        <w:t>For IPv6, the same logical route and policy schedule applies using the selected family-specific prefixes and next hops. The illustrative /64 handoffs are not a prescription of platform link-prefix support. Native next-hop, RA, neighbour, MTU and service support must be confirmed before that family is offered.</w:t>
      </w:r>
    </w:p>
    <w:tbl>
      <w:tblPr>
        <w:tblStyle w:val="LightShading-Accent1"/>
        <w:tblW w:type="auto" w:w="0"/>
        <w:tblLayout w:type="fixed"/>
        <w:tblLook w:firstColumn="1" w:firstRow="1" w:lastColumn="0" w:lastRow="0" w:noHBand="0" w:noVBand="1" w:val="04A0"/>
      </w:tblPr>
      <w:tblGrid>
        <w:gridCol w:w="3235"/>
        <w:gridCol w:w="3235"/>
        <w:gridCol w:w="3235"/>
      </w:tblGrid>
      <w:tr>
        <w:trPr>
          <w:tblHeader w:val="true"/>
          <w:cantSplit/>
        </w:trPr>
        <w:tc>
          <w:tcPr>
            <w:tcW w:type="dxa" w:w="2117"/>
          </w:tcPr>
          <w:p>
            <w:pPr>
              <w:spacing w:after="100"/>
            </w:pPr>
            <w:r>
              <w:rPr>
                <w:b/>
                <w:sz w:val="18"/>
              </w:rPr>
              <w:t>Domain / endpoint</w:t>
            </w:r>
          </w:p>
        </w:tc>
        <w:tc>
          <w:tcPr>
            <w:tcW w:type="dxa" w:w="3557"/>
          </w:tcPr>
          <w:p>
            <w:pPr>
              <w:spacing w:after="100"/>
            </w:pPr>
            <w:r>
              <w:rPr>
                <w:b/>
                <w:sz w:val="18"/>
              </w:rPr>
              <w:t>Illustrative IPv4</w:t>
            </w:r>
          </w:p>
        </w:tc>
        <w:tc>
          <w:tcPr>
            <w:tcW w:type="dxa" w:w="3902"/>
          </w:tcPr>
          <w:p>
            <w:pPr>
              <w:spacing w:after="100"/>
            </w:pPr>
            <w:r>
              <w:rPr>
                <w:b/>
                <w:sz w:val="18"/>
              </w:rPr>
              <w:t>Illustrative IPv6 / ownership</w:t>
            </w:r>
          </w:p>
        </w:tc>
      </w:tr>
      <w:tr>
        <w:trPr>
          <w:cantSplit/>
        </w:trPr>
        <w:tc>
          <w:tcPr>
            <w:tcW w:type="dxa" w:w="2117"/>
          </w:tcPr>
          <w:p>
            <w:pPr>
              <w:spacing w:after="100"/>
            </w:pPr>
            <w:r>
              <w:rPr>
                <w:sz w:val="18"/>
              </w:rPr>
              <w:t>D01O / processor-01</w:t>
            </w:r>
          </w:p>
        </w:tc>
        <w:tc>
          <w:tcPr>
            <w:tcW w:type="dxa" w:w="3557"/>
          </w:tcPr>
          <w:p>
            <w:pPr>
              <w:spacing w:after="100"/>
            </w:pPr>
            <w:r>
              <w:rPr>
                <w:sz w:val="18"/>
              </w:rPr>
              <w:t>192.0.2.0/27; gateway .1; endpoint .10</w:t>
            </w:r>
          </w:p>
        </w:tc>
        <w:tc>
          <w:tcPr>
            <w:tcW w:type="dxa" w:w="3902"/>
          </w:tcPr>
          <w:p>
            <w:pPr>
              <w:spacing w:after="100"/>
            </w:pPr>
            <w:r>
              <w:rPr>
                <w:sz w:val="18"/>
              </w:rPr>
              <w:t>2001:db8:100:1::/64; gateway ::1; endpoint ::10; tenant-01</w:t>
            </w:r>
          </w:p>
        </w:tc>
      </w:tr>
      <w:tr>
        <w:trPr>
          <w:cantSplit/>
        </w:trPr>
        <w:tc>
          <w:tcPr>
            <w:tcW w:type="dxa" w:w="2117"/>
          </w:tcPr>
          <w:p>
            <w:pPr>
              <w:spacing w:after="100"/>
            </w:pPr>
            <w:r>
              <w:rPr>
                <w:sz w:val="18"/>
              </w:rPr>
              <w:t>D01R / data-01</w:t>
            </w:r>
          </w:p>
        </w:tc>
        <w:tc>
          <w:tcPr>
            <w:tcW w:type="dxa" w:w="3557"/>
          </w:tcPr>
          <w:p>
            <w:pPr>
              <w:spacing w:after="100"/>
            </w:pPr>
            <w:r>
              <w:rPr>
                <w:sz w:val="18"/>
              </w:rPr>
              <w:t>192.0.2.32/27; gateway .33; endpoint .42</w:t>
            </w:r>
          </w:p>
        </w:tc>
        <w:tc>
          <w:tcPr>
            <w:tcW w:type="dxa" w:w="3902"/>
          </w:tcPr>
          <w:p>
            <w:pPr>
              <w:spacing w:after="100"/>
            </w:pPr>
            <w:r>
              <w:rPr>
                <w:sz w:val="18"/>
              </w:rPr>
              <w:t>2001:db8:100:2::/64; gateway ::1; endpoint ::10; tenant-01</w:t>
            </w:r>
          </w:p>
        </w:tc>
      </w:tr>
      <w:tr>
        <w:trPr>
          <w:cantSplit/>
        </w:trPr>
        <w:tc>
          <w:tcPr>
            <w:tcW w:type="dxa" w:w="2117"/>
          </w:tcPr>
          <w:p>
            <w:pPr>
              <w:spacing w:after="100"/>
            </w:pPr>
            <w:r>
              <w:rPr>
                <w:sz w:val="18"/>
              </w:rPr>
              <w:t>D02O / processor-02</w:t>
            </w:r>
          </w:p>
        </w:tc>
        <w:tc>
          <w:tcPr>
            <w:tcW w:type="dxa" w:w="3557"/>
          </w:tcPr>
          <w:p>
            <w:pPr>
              <w:spacing w:after="100"/>
            </w:pPr>
            <w:r>
              <w:rPr>
                <w:sz w:val="18"/>
              </w:rPr>
              <w:t>192.0.2.64/27; gateway .65; endpoint .74</w:t>
            </w:r>
          </w:p>
        </w:tc>
        <w:tc>
          <w:tcPr>
            <w:tcW w:type="dxa" w:w="3902"/>
          </w:tcPr>
          <w:p>
            <w:pPr>
              <w:spacing w:after="100"/>
            </w:pPr>
            <w:r>
              <w:rPr>
                <w:sz w:val="18"/>
              </w:rPr>
              <w:t>2001:db8:100:3::/64; gateway ::1; endpoint ::10; tenant-02</w:t>
            </w:r>
          </w:p>
        </w:tc>
      </w:tr>
      <w:tr>
        <w:trPr>
          <w:cantSplit/>
        </w:trPr>
        <w:tc>
          <w:tcPr>
            <w:tcW w:type="dxa" w:w="2117"/>
          </w:tcPr>
          <w:p>
            <w:pPr>
              <w:spacing w:after="100"/>
            </w:pPr>
            <w:r>
              <w:rPr>
                <w:sz w:val="18"/>
              </w:rPr>
              <w:t>D02R / data-02</w:t>
            </w:r>
          </w:p>
        </w:tc>
        <w:tc>
          <w:tcPr>
            <w:tcW w:type="dxa" w:w="3557"/>
          </w:tcPr>
          <w:p>
            <w:pPr>
              <w:spacing w:after="100"/>
            </w:pPr>
            <w:r>
              <w:rPr>
                <w:sz w:val="18"/>
              </w:rPr>
              <w:t>192.0.2.96/27; gateway .97; endpoint .106</w:t>
            </w:r>
          </w:p>
        </w:tc>
        <w:tc>
          <w:tcPr>
            <w:tcW w:type="dxa" w:w="3902"/>
          </w:tcPr>
          <w:p>
            <w:pPr>
              <w:spacing w:after="100"/>
            </w:pPr>
            <w:r>
              <w:rPr>
                <w:sz w:val="18"/>
              </w:rPr>
              <w:t>2001:db8:100:4::/64; gateway ::1; endpoint ::10; tenant-02</w:t>
            </w:r>
          </w:p>
        </w:tc>
      </w:tr>
      <w:tr>
        <w:trPr>
          <w:cantSplit/>
        </w:trPr>
        <w:tc>
          <w:tcPr>
            <w:tcW w:type="dxa" w:w="2117"/>
          </w:tcPr>
          <w:p>
            <w:pPr>
              <w:spacing w:after="100"/>
            </w:pPr>
            <w:r>
              <w:rPr>
                <w:sz w:val="18"/>
              </w:rPr>
              <w:t>Provider service domain</w:t>
            </w:r>
          </w:p>
        </w:tc>
        <w:tc>
          <w:tcPr>
            <w:tcW w:type="dxa" w:w="3557"/>
          </w:tcPr>
          <w:p>
            <w:pPr>
              <w:spacing w:after="100"/>
            </w:pPr>
            <w:r>
              <w:rPr>
                <w:sz w:val="18"/>
              </w:rPr>
              <w:t>203.0.113.128/27; SE-01 .129; SE-02 .130</w:t>
            </w:r>
          </w:p>
        </w:tc>
        <w:tc>
          <w:tcPr>
            <w:tcW w:type="dxa" w:w="3902"/>
          </w:tcPr>
          <w:p>
            <w:pPr>
              <w:spacing w:after="100"/>
            </w:pPr>
            <w:r>
              <w:t>2001:db8:300:1::/64; SE-01 ::129; SE-02 ::130; provider-owned scope</w:t>
            </w:r>
          </w:p>
        </w:tc>
      </w:tr>
      <w:tr>
        <w:trPr>
          <w:cantSplit/>
        </w:trPr>
        <w:tc>
          <w:tcPr>
            <w:tcW w:type="dxa" w:w="2117"/>
          </w:tcPr>
          <w:p>
            <w:pPr>
              <w:spacing w:after="100"/>
            </w:pPr>
            <w:r>
              <w:rPr>
                <w:sz w:val="18"/>
              </w:rPr>
              <w:t>Resolver / time / logs / repository</w:t>
            </w:r>
          </w:p>
        </w:tc>
        <w:tc>
          <w:tcPr>
            <w:tcW w:type="dxa" w:w="3557"/>
          </w:tcPr>
          <w:p>
            <w:pPr>
              <w:spacing w:after="100"/>
            </w:pPr>
            <w:r>
              <w:rPr>
                <w:sz w:val="18"/>
              </w:rPr>
              <w:t>203.0.113.138 / .139 / .140 / .141</w:t>
            </w:r>
          </w:p>
        </w:tc>
        <w:tc>
          <w:tcPr>
            <w:tcW w:type="dxa" w:w="3902"/>
          </w:tcPr>
          <w:p>
            <w:pPr>
              <w:spacing w:after="100"/>
            </w:pPr>
            <w:r>
              <w:t>2001:db8:300:1::138 / ::139 / ::140 / ::141 respectively; offered families remain separately qualified.</w:t>
            </w:r>
          </w:p>
        </w:tc>
      </w:tr>
    </w:tbl>
    <w:p>
      <w:pPr>
        <w:spacing w:after="20"/>
      </w:pPr>
    </w:p>
    <w:p>
      <w:r>
        <w:rPr>
          <w:sz w:val="18"/>
        </w:rPr>
        <w:t xml:space="preserve">Related documents: </w:t>
      </w:r>
      <w:hyperlink r:id="rId14" w:anchor="V14_NET_START">
        <w:r>
          <w:rPr>
            <w:rStyle w:val="Hyperlink"/>
          </w:rPr>
          <w:t>NET — Address-family and allocation decisions</w:t>
        </w:r>
      </w:hyperlink>
      <w:r>
        <w:rPr>
          <w:sz w:val="18"/>
        </w:rPr>
        <w:t xml:space="preserve">  |  </w:t>
      </w:r>
      <w:hyperlink r:id="rId17" w:anchor="V14_PROV_START">
        <w:r>
          <w:rPr>
            <w:rStyle w:val="Hyperlink"/>
          </w:rPr>
          <w:t>PROV — Reservations and registration</w:t>
        </w:r>
      </w:hyperlink>
    </w:p>
    <w:p>
      <w:r>
        <w:br w:type="page"/>
      </w:r>
    </w:p>
    <w:p>
      <w:bookmarkStart w:id="6" w:name="WD14_S05"/>
      <w:pPr>
        <w:pStyle w:val="Heading1"/>
      </w:pPr>
      <w:r>
        <w:t>5. Dedicated handoff inventory and route ownership</w:t>
      </w:r>
      <w:bookmarkEnd w:id="6"/>
    </w:p>
    <w:p>
      <w:r>
        <w:t>The illustrative IPv6 handoffs are A01O = 2001:db8:200:1::/64, A01R = :2::/64, A02O = :3::/64, A02R = :4::/64, SH-01 = :5::/64 and SH-02 = :6::/64, all under 2001:db8:200::. On A links, the EC address is ::1 and native gateway is ::2; on SH links, EC is ::1 and SE is ::2. Use the full prefixes in the accompanying IPv6 schedule; the abbreviated notation in this paragraph is explanatory only. These link sizes and addresses require actual platform support before implementation.</w:t>
      </w:r>
    </w:p>
    <w:p>
      <w:r>
        <w:t>The complete illustrated network has four tenant domain attachments A01O, A01R, A02O and A02R; two dedicated service-facing transit handoffs SH-01 and SH-02; and the service-side connections of SE-01 and SE-02. These are different accounting units. Physical redundant members, management interfaces and provider storage/protection paths are additional resources.</w:t>
      </w:r>
    </w:p>
    <w:p>
      <w:r>
        <w:t>All link endpoint values below are illustrative interface identities. EC is the security edge and NG is the native domain gateway. The /30 link choices are an explanatory IPv4 example, not a statement that every product accepts the same subnet size or static-route configuration.</w:t>
      </w:r>
    </w:p>
    <w:p>
      <w:r>
        <w:t>The tenant domain gateway is allowed to route its own networks locally. Routes to its other approved tenant zone and approved service endpoints point only at EC. EC knows only its own tenant prefixes and permitted service destinations. SE knows only the corresponding tenant return prefixes and the provider service network. No ordinary default route is required by this example. A supported default-route alternative must have equally constrained effective policy and no more-specific bypass.</w:t>
      </w:r>
    </w:p>
    <w:tbl>
      <w:tblPr>
        <w:tblStyle w:val="LightShading-Accent1"/>
        <w:tblW w:type="auto" w:w="0"/>
        <w:tblLayout w:type="fixed"/>
        <w:tblLook w:firstColumn="1" w:firstRow="1" w:lastColumn="0" w:lastRow="0" w:noHBand="0" w:noVBand="1" w:val="04A0"/>
      </w:tblPr>
      <w:tblGrid>
        <w:gridCol w:w="3235"/>
        <w:gridCol w:w="3235"/>
        <w:gridCol w:w="3235"/>
      </w:tblGrid>
      <w:tr>
        <w:trPr>
          <w:tblHeader w:val="true"/>
          <w:cantSplit/>
        </w:trPr>
        <w:tc>
          <w:tcPr>
            <w:tcW w:type="dxa" w:w="2117"/>
          </w:tcPr>
          <w:p>
            <w:pPr>
              <w:spacing w:after="100"/>
            </w:pPr>
            <w:r>
              <w:rPr>
                <w:b/>
                <w:sz w:val="18"/>
              </w:rPr>
              <w:t>Handoff</w:t>
            </w:r>
          </w:p>
        </w:tc>
        <w:tc>
          <w:tcPr>
            <w:tcW w:type="dxa" w:w="3557"/>
          </w:tcPr>
          <w:p>
            <w:pPr>
              <w:spacing w:after="100"/>
            </w:pPr>
            <w:r>
              <w:rPr>
                <w:b/>
                <w:sz w:val="18"/>
              </w:rPr>
              <w:t>Illustrative endpoint addresses</w:t>
            </w:r>
          </w:p>
        </w:tc>
        <w:tc>
          <w:tcPr>
            <w:tcW w:type="dxa" w:w="3902"/>
          </w:tcPr>
          <w:p>
            <w:pPr>
              <w:spacing w:after="100"/>
            </w:pPr>
            <w:r>
              <w:rPr>
                <w:b/>
                <w:sz w:val="18"/>
              </w:rPr>
              <w:t>Routing and security scope</w:t>
            </w:r>
          </w:p>
        </w:tc>
      </w:tr>
      <w:tr>
        <w:trPr>
          <w:cantSplit/>
        </w:trPr>
        <w:tc>
          <w:tcPr>
            <w:tcW w:type="dxa" w:w="2117"/>
          </w:tcPr>
          <w:p>
            <w:pPr>
              <w:spacing w:after="100"/>
            </w:pPr>
            <w:r>
              <w:rPr>
                <w:sz w:val="18"/>
              </w:rPr>
              <w:t>A01O</w:t>
            </w:r>
          </w:p>
        </w:tc>
        <w:tc>
          <w:tcPr>
            <w:tcW w:type="dxa" w:w="3557"/>
          </w:tcPr>
          <w:p>
            <w:pPr>
              <w:spacing w:after="100"/>
            </w:pPr>
            <w:r>
              <w:rPr>
                <w:sz w:val="18"/>
              </w:rPr>
              <w:t>198.51.100.0/30: EC-01 .1; NG-D01O .2</w:t>
            </w:r>
          </w:p>
        </w:tc>
        <w:tc>
          <w:tcPr>
            <w:tcW w:type="dxa" w:w="3902"/>
          </w:tcPr>
          <w:p>
            <w:pPr>
              <w:spacing w:after="100"/>
            </w:pPr>
            <w:r>
              <w:rPr>
                <w:sz w:val="18"/>
              </w:rPr>
              <w:t>D01O to EC-01, independent of other domains.</w:t>
            </w:r>
          </w:p>
        </w:tc>
      </w:tr>
      <w:tr>
        <w:trPr>
          <w:cantSplit/>
        </w:trPr>
        <w:tc>
          <w:tcPr>
            <w:tcW w:type="dxa" w:w="2117"/>
          </w:tcPr>
          <w:p>
            <w:pPr>
              <w:spacing w:after="100"/>
            </w:pPr>
            <w:r>
              <w:rPr>
                <w:sz w:val="18"/>
              </w:rPr>
              <w:t>A01R</w:t>
            </w:r>
          </w:p>
        </w:tc>
        <w:tc>
          <w:tcPr>
            <w:tcW w:type="dxa" w:w="3557"/>
          </w:tcPr>
          <w:p>
            <w:pPr>
              <w:spacing w:after="100"/>
            </w:pPr>
            <w:r>
              <w:rPr>
                <w:sz w:val="18"/>
              </w:rPr>
              <w:t>198.51.100.4/30: EC-01 .5; NG-D01R .6</w:t>
            </w:r>
          </w:p>
        </w:tc>
        <w:tc>
          <w:tcPr>
            <w:tcW w:type="dxa" w:w="3902"/>
          </w:tcPr>
          <w:p>
            <w:pPr>
              <w:spacing w:after="100"/>
            </w:pPr>
            <w:r>
              <w:rPr>
                <w:sz w:val="18"/>
              </w:rPr>
              <w:t>D01R to EC-01; Z01 policy separates OZ and RZ.</w:t>
            </w:r>
          </w:p>
        </w:tc>
      </w:tr>
      <w:tr>
        <w:trPr>
          <w:cantSplit/>
        </w:trPr>
        <w:tc>
          <w:tcPr>
            <w:tcW w:type="dxa" w:w="2117"/>
          </w:tcPr>
          <w:p>
            <w:pPr>
              <w:spacing w:after="100"/>
            </w:pPr>
            <w:r>
              <w:rPr>
                <w:sz w:val="18"/>
              </w:rPr>
              <w:t>A02O</w:t>
            </w:r>
          </w:p>
        </w:tc>
        <w:tc>
          <w:tcPr>
            <w:tcW w:type="dxa" w:w="3557"/>
          </w:tcPr>
          <w:p>
            <w:pPr>
              <w:spacing w:after="100"/>
            </w:pPr>
            <w:r>
              <w:rPr>
                <w:sz w:val="18"/>
              </w:rPr>
              <w:t>198.51.100.8/30: EC-02 .9; NG-D02O .10</w:t>
            </w:r>
          </w:p>
        </w:tc>
        <w:tc>
          <w:tcPr>
            <w:tcW w:type="dxa" w:w="3902"/>
          </w:tcPr>
          <w:p>
            <w:pPr>
              <w:spacing w:after="100"/>
            </w:pPr>
            <w:r>
              <w:rPr>
                <w:sz w:val="18"/>
              </w:rPr>
              <w:t>D02O to EC-02; no tenant-01 membership.</w:t>
            </w:r>
          </w:p>
        </w:tc>
      </w:tr>
      <w:tr>
        <w:trPr>
          <w:cantSplit/>
        </w:trPr>
        <w:tc>
          <w:tcPr>
            <w:tcW w:type="dxa" w:w="2117"/>
          </w:tcPr>
          <w:p>
            <w:pPr>
              <w:spacing w:after="100"/>
            </w:pPr>
            <w:r>
              <w:rPr>
                <w:sz w:val="18"/>
              </w:rPr>
              <w:t>A02R</w:t>
            </w:r>
          </w:p>
        </w:tc>
        <w:tc>
          <w:tcPr>
            <w:tcW w:type="dxa" w:w="3557"/>
          </w:tcPr>
          <w:p>
            <w:pPr>
              <w:spacing w:after="100"/>
            </w:pPr>
            <w:r>
              <w:rPr>
                <w:sz w:val="18"/>
              </w:rPr>
              <w:t>198.51.100.12/30: EC-02 .13; NG-D02R .14</w:t>
            </w:r>
          </w:p>
        </w:tc>
        <w:tc>
          <w:tcPr>
            <w:tcW w:type="dxa" w:w="3902"/>
          </w:tcPr>
          <w:p>
            <w:pPr>
              <w:spacing w:after="100"/>
            </w:pPr>
            <w:r>
              <w:rPr>
                <w:sz w:val="18"/>
              </w:rPr>
              <w:t>D02R to EC-02; Z02 policy separates OZ and RZ.</w:t>
            </w:r>
          </w:p>
        </w:tc>
      </w:tr>
      <w:tr>
        <w:trPr>
          <w:cantSplit/>
        </w:trPr>
        <w:tc>
          <w:tcPr>
            <w:tcW w:type="dxa" w:w="2117"/>
          </w:tcPr>
          <w:p>
            <w:pPr>
              <w:spacing w:after="100"/>
            </w:pPr>
            <w:r>
              <w:rPr>
                <w:sz w:val="18"/>
              </w:rPr>
              <w:t>SH-01</w:t>
            </w:r>
          </w:p>
        </w:tc>
        <w:tc>
          <w:tcPr>
            <w:tcW w:type="dxa" w:w="3557"/>
          </w:tcPr>
          <w:p>
            <w:pPr>
              <w:spacing w:after="100"/>
            </w:pPr>
            <w:r>
              <w:rPr>
                <w:sz w:val="18"/>
              </w:rPr>
              <w:t>198.51.100.16/30: EC-01 .17; SE-01 .18</w:t>
            </w:r>
          </w:p>
        </w:tc>
        <w:tc>
          <w:tcPr>
            <w:tcW w:type="dxa" w:w="3902"/>
          </w:tcPr>
          <w:p>
            <w:pPr>
              <w:spacing w:after="100"/>
            </w:pPr>
            <w:r>
              <w:rPr>
                <w:sz w:val="18"/>
              </w:rPr>
              <w:t>Only tenant-01 approved service flows.</w:t>
            </w:r>
          </w:p>
        </w:tc>
      </w:tr>
      <w:tr>
        <w:trPr>
          <w:cantSplit/>
        </w:trPr>
        <w:tc>
          <w:tcPr>
            <w:tcW w:type="dxa" w:w="2117"/>
          </w:tcPr>
          <w:p>
            <w:pPr>
              <w:spacing w:after="100"/>
            </w:pPr>
            <w:r>
              <w:rPr>
                <w:sz w:val="18"/>
              </w:rPr>
              <w:t>SH-02</w:t>
            </w:r>
          </w:p>
        </w:tc>
        <w:tc>
          <w:tcPr>
            <w:tcW w:type="dxa" w:w="3557"/>
          </w:tcPr>
          <w:p>
            <w:pPr>
              <w:spacing w:after="100"/>
            </w:pPr>
            <w:r>
              <w:rPr>
                <w:sz w:val="18"/>
              </w:rPr>
              <w:t>198.51.100.20/30: EC-02 .21; SE-02 .22</w:t>
            </w:r>
          </w:p>
        </w:tc>
        <w:tc>
          <w:tcPr>
            <w:tcW w:type="dxa" w:w="3902"/>
          </w:tcPr>
          <w:p>
            <w:pPr>
              <w:spacing w:after="100"/>
            </w:pPr>
            <w:r>
              <w:rPr>
                <w:sz w:val="18"/>
              </w:rPr>
              <w:t>Only tenant-02 approved service flows.</w:t>
            </w:r>
          </w:p>
        </w:tc>
      </w:tr>
      <w:tr>
        <w:trPr>
          <w:cantSplit/>
        </w:trPr>
        <w:tc>
          <w:tcPr>
            <w:tcW w:type="dxa" w:w="2117"/>
          </w:tcPr>
          <w:p>
            <w:pPr>
              <w:spacing w:after="100"/>
            </w:pPr>
            <w:r>
              <w:rPr>
                <w:sz w:val="18"/>
              </w:rPr>
              <w:t>Service-side interfaces</w:t>
            </w:r>
          </w:p>
        </w:tc>
        <w:tc>
          <w:tcPr>
            <w:tcW w:type="dxa" w:w="3557"/>
          </w:tcPr>
          <w:p>
            <w:pPr>
              <w:spacing w:after="100"/>
            </w:pPr>
            <w:r>
              <w:rPr>
                <w:sz w:val="18"/>
              </w:rPr>
              <w:t>SE-01 203.0.113.129; SE-02 203.0.113.130</w:t>
            </w:r>
          </w:p>
        </w:tc>
        <w:tc>
          <w:tcPr>
            <w:tcW w:type="dxa" w:w="3902"/>
          </w:tcPr>
          <w:p>
            <w:pPr>
              <w:spacing w:after="100"/>
            </w:pPr>
            <w:r>
              <w:rPr>
                <w:sz w:val="18"/>
              </w:rPr>
              <w:t>Provider-controlled SVC-REF; no native tenant gateway shares this segment.</w:t>
            </w:r>
          </w:p>
        </w:tc>
      </w:tr>
    </w:tbl>
    <w:p>
      <w:pPr>
        <w:spacing w:after="20"/>
      </w:pPr>
    </w:p>
    <w:p>
      <w:r>
        <w:rPr>
          <w:sz w:val="18"/>
        </w:rPr>
        <w:t xml:space="preserve">Related documents: </w:t>
      </w:r>
      <w:hyperlink r:id="rId14" w:anchor="V14_NET_START">
        <w:r>
          <w:rPr>
            <w:rStyle w:val="Hyperlink"/>
          </w:rPr>
          <w:t>NET — Attachment accounting and bypass analysis</w:t>
        </w:r>
      </w:hyperlink>
    </w:p>
    <w:p>
      <w:r>
        <w:br w:type="page"/>
      </w:r>
    </w:p>
    <w:p>
      <w:bookmarkStart w:id="7" w:name="WD14_S06"/>
      <w:pPr>
        <w:pStyle w:val="Heading1"/>
      </w:pPr>
      <w:r>
        <w:t>6. Worked forwarding and return-route schedule</w:t>
      </w:r>
      <w:bookmarkEnd w:id="7"/>
    </w:p>
    <w:p>
      <w:r>
        <w:t>Each destination service /32 means a specifically approved endpoint, not the whole provider subnet. The table states intended routing; stateful policy separately constrains sources, destinations, protocols and initiation. Neither a route nor a successful ping constitutes permission.</w:t>
      </w:r>
    </w:p>
    <w:p>
      <w:r>
        <w:t>For processor-01 to data-01, the forward route is NG-D01O to EC-01 via .1, then EC-01 to NG-D01R via .6. The reply travels NG-D01R to EC-01 via .5, then EC-01 to NG-D01O via .2. The stateful enforcement point is EC-01 for Z01. A new unsolicited reverse connection remains denied.</w:t>
      </w:r>
    </w:p>
    <w:p>
      <w:r>
        <w:t>For processor-01 to the resolver, the path is NG-D01O, EC-01, SH-01, SE-01 and the named resolver. The resolver must return tenant-01 prefixes through SE-01, not whichever service-edge default is convenient. The service hosts require the supported return-routing or equivalent service-mediation design. Missing return control disqualifies this realization.</w:t>
      </w:r>
    </w:p>
    <w:p>
      <w:r>
        <w:t>The shared service segment is behind the security boundaries. EC and SE policies deny tenant access to service-router administrative addresses, all unlisted provider destinations and other tenant prefixes. Service endpoints do not forward arbitrary traffic and cannot initiate general connections back to tenants. This limits network transit, but does not remove the risk of a compromised shared service misusing the legitimate sessions or data entitlements it has; those residual risks belong in the service threat analysis.</w:t>
      </w:r>
    </w:p>
    <w:tbl>
      <w:tblPr>
        <w:tblStyle w:val="LightShading-Accent1"/>
        <w:tblW w:type="auto" w:w="0"/>
        <w:tblLayout w:type="fixed"/>
        <w:tblLook w:firstColumn="1" w:firstRow="1" w:lastColumn="0" w:lastRow="0" w:noHBand="0" w:noVBand="1" w:val="04A0"/>
      </w:tblPr>
      <w:tblGrid>
        <w:gridCol w:w="3235"/>
        <w:gridCol w:w="3235"/>
        <w:gridCol w:w="3235"/>
      </w:tblGrid>
      <w:tr>
        <w:trPr>
          <w:tblHeader w:val="true"/>
          <w:cantSplit/>
        </w:trPr>
        <w:tc>
          <w:tcPr>
            <w:tcW w:type="dxa" w:w="2117"/>
          </w:tcPr>
          <w:p>
            <w:pPr>
              <w:spacing w:after="100"/>
            </w:pPr>
            <w:r>
              <w:rPr>
                <w:b/>
                <w:sz w:val="18"/>
              </w:rPr>
              <w:t>Routing owner</w:t>
            </w:r>
          </w:p>
        </w:tc>
        <w:tc>
          <w:tcPr>
            <w:tcW w:type="dxa" w:w="3557"/>
          </w:tcPr>
          <w:p>
            <w:pPr>
              <w:spacing w:after="100"/>
            </w:pPr>
            <w:r>
              <w:rPr>
                <w:b/>
                <w:sz w:val="18"/>
              </w:rPr>
              <w:t>Permitted nonlocal destination</w:t>
            </w:r>
          </w:p>
        </w:tc>
        <w:tc>
          <w:tcPr>
            <w:tcW w:type="dxa" w:w="3902"/>
          </w:tcPr>
          <w:p>
            <w:pPr>
              <w:spacing w:after="100"/>
            </w:pPr>
            <w:r>
              <w:rPr>
                <w:b/>
                <w:sz w:val="18"/>
              </w:rPr>
              <w:t>Next hop / required exclusion</w:t>
            </w:r>
          </w:p>
        </w:tc>
      </w:tr>
      <w:tr>
        <w:trPr>
          <w:cantSplit/>
        </w:trPr>
        <w:tc>
          <w:tcPr>
            <w:tcW w:type="dxa" w:w="2117"/>
          </w:tcPr>
          <w:p>
            <w:pPr>
              <w:spacing w:after="100"/>
            </w:pPr>
            <w:r>
              <w:rPr>
                <w:sz w:val="18"/>
              </w:rPr>
              <w:t>NG-D01O</w:t>
            </w:r>
          </w:p>
        </w:tc>
        <w:tc>
          <w:tcPr>
            <w:tcW w:type="dxa" w:w="3557"/>
          </w:tcPr>
          <w:p>
            <w:pPr>
              <w:spacing w:after="100"/>
            </w:pPr>
            <w:r>
              <w:rPr>
                <w:sz w:val="18"/>
              </w:rPr>
              <w:t>192.0.2.32/27; approved service /32s</w:t>
            </w:r>
          </w:p>
        </w:tc>
        <w:tc>
          <w:tcPr>
            <w:tcW w:type="dxa" w:w="3902"/>
          </w:tcPr>
          <w:p>
            <w:pPr>
              <w:spacing w:after="100"/>
            </w:pPr>
            <w:r>
              <w:rPr>
                <w:sz w:val="18"/>
              </w:rPr>
              <w:t>198.51.100.1; no P02O/P02R route.</w:t>
            </w:r>
          </w:p>
        </w:tc>
      </w:tr>
      <w:tr>
        <w:trPr>
          <w:cantSplit/>
        </w:trPr>
        <w:tc>
          <w:tcPr>
            <w:tcW w:type="dxa" w:w="2117"/>
          </w:tcPr>
          <w:p>
            <w:pPr>
              <w:spacing w:after="100"/>
            </w:pPr>
            <w:r>
              <w:rPr>
                <w:sz w:val="18"/>
              </w:rPr>
              <w:t>NG-D01R</w:t>
            </w:r>
          </w:p>
        </w:tc>
        <w:tc>
          <w:tcPr>
            <w:tcW w:type="dxa" w:w="3557"/>
          </w:tcPr>
          <w:p>
            <w:pPr>
              <w:spacing w:after="100"/>
            </w:pPr>
            <w:r>
              <w:rPr>
                <w:sz w:val="18"/>
              </w:rPr>
              <w:t>192.0.2.0/27; approved service /32s</w:t>
            </w:r>
          </w:p>
        </w:tc>
        <w:tc>
          <w:tcPr>
            <w:tcW w:type="dxa" w:w="3902"/>
          </w:tcPr>
          <w:p>
            <w:pPr>
              <w:spacing w:after="100"/>
            </w:pPr>
            <w:r>
              <w:rPr>
                <w:sz w:val="18"/>
              </w:rPr>
              <w:t>198.51.100.5; no P02O/P02R route.</w:t>
            </w:r>
          </w:p>
        </w:tc>
      </w:tr>
      <w:tr>
        <w:trPr>
          <w:cantSplit/>
        </w:trPr>
        <w:tc>
          <w:tcPr>
            <w:tcW w:type="dxa" w:w="2117"/>
          </w:tcPr>
          <w:p>
            <w:pPr>
              <w:spacing w:after="100"/>
            </w:pPr>
            <w:r>
              <w:rPr>
                <w:sz w:val="18"/>
              </w:rPr>
              <w:t>NG-D02O</w:t>
            </w:r>
          </w:p>
        </w:tc>
        <w:tc>
          <w:tcPr>
            <w:tcW w:type="dxa" w:w="3557"/>
          </w:tcPr>
          <w:p>
            <w:pPr>
              <w:spacing w:after="100"/>
            </w:pPr>
            <w:r>
              <w:rPr>
                <w:sz w:val="18"/>
              </w:rPr>
              <w:t>192.0.2.96/27; approved service /32s</w:t>
            </w:r>
          </w:p>
        </w:tc>
        <w:tc>
          <w:tcPr>
            <w:tcW w:type="dxa" w:w="3902"/>
          </w:tcPr>
          <w:p>
            <w:pPr>
              <w:spacing w:after="100"/>
            </w:pPr>
            <w:r>
              <w:rPr>
                <w:sz w:val="18"/>
              </w:rPr>
              <w:t>198.51.100.9; no P01O/P01R route.</w:t>
            </w:r>
          </w:p>
        </w:tc>
      </w:tr>
      <w:tr>
        <w:trPr>
          <w:cantSplit/>
        </w:trPr>
        <w:tc>
          <w:tcPr>
            <w:tcW w:type="dxa" w:w="2117"/>
          </w:tcPr>
          <w:p>
            <w:pPr>
              <w:spacing w:after="100"/>
            </w:pPr>
            <w:r>
              <w:rPr>
                <w:sz w:val="18"/>
              </w:rPr>
              <w:t>NG-D02R</w:t>
            </w:r>
          </w:p>
        </w:tc>
        <w:tc>
          <w:tcPr>
            <w:tcW w:type="dxa" w:w="3557"/>
          </w:tcPr>
          <w:p>
            <w:pPr>
              <w:spacing w:after="100"/>
            </w:pPr>
            <w:r>
              <w:rPr>
                <w:sz w:val="18"/>
              </w:rPr>
              <w:t>192.0.2.64/27; approved service /32s</w:t>
            </w:r>
          </w:p>
        </w:tc>
        <w:tc>
          <w:tcPr>
            <w:tcW w:type="dxa" w:w="3902"/>
          </w:tcPr>
          <w:p>
            <w:pPr>
              <w:spacing w:after="100"/>
            </w:pPr>
            <w:r>
              <w:rPr>
                <w:sz w:val="18"/>
              </w:rPr>
              <w:t>198.51.100.13; no P01O/P01R route.</w:t>
            </w:r>
          </w:p>
        </w:tc>
      </w:tr>
      <w:tr>
        <w:trPr>
          <w:cantSplit/>
        </w:trPr>
        <w:tc>
          <w:tcPr>
            <w:tcW w:type="dxa" w:w="2117"/>
          </w:tcPr>
          <w:p>
            <w:pPr>
              <w:spacing w:after="100"/>
            </w:pPr>
            <w:r>
              <w:rPr>
                <w:sz w:val="18"/>
              </w:rPr>
              <w:t>EC-01</w:t>
            </w:r>
          </w:p>
        </w:tc>
        <w:tc>
          <w:tcPr>
            <w:tcW w:type="dxa" w:w="3557"/>
          </w:tcPr>
          <w:p>
            <w:pPr>
              <w:spacing w:after="100"/>
            </w:pPr>
            <w:r>
              <w:rPr>
                <w:sz w:val="18"/>
              </w:rPr>
              <w:t>192.0.2.0/27; 192.0.2.32/27</w:t>
            </w:r>
          </w:p>
        </w:tc>
        <w:tc>
          <w:tcPr>
            <w:tcW w:type="dxa" w:w="3902"/>
          </w:tcPr>
          <w:p>
            <w:pPr>
              <w:spacing w:after="100"/>
            </w:pPr>
            <w:r>
              <w:rPr>
                <w:sz w:val="18"/>
              </w:rPr>
              <w:t>Respectively .2 and .6 on its handoffs; no tenant-02 route import.</w:t>
            </w:r>
          </w:p>
        </w:tc>
      </w:tr>
      <w:tr>
        <w:trPr>
          <w:cantSplit/>
        </w:trPr>
        <w:tc>
          <w:tcPr>
            <w:tcW w:type="dxa" w:w="2117"/>
          </w:tcPr>
          <w:p>
            <w:pPr>
              <w:spacing w:after="100"/>
            </w:pPr>
            <w:r>
              <w:rPr>
                <w:sz w:val="18"/>
              </w:rPr>
              <w:t>EC-01</w:t>
            </w:r>
          </w:p>
        </w:tc>
        <w:tc>
          <w:tcPr>
            <w:tcW w:type="dxa" w:w="3557"/>
          </w:tcPr>
          <w:p>
            <w:pPr>
              <w:spacing w:after="100"/>
            </w:pPr>
            <w:r>
              <w:rPr>
                <w:sz w:val="18"/>
              </w:rPr>
              <w:t>Approved 203.0.113.138–141 /32s only</w:t>
            </w:r>
          </w:p>
        </w:tc>
        <w:tc>
          <w:tcPr>
            <w:tcW w:type="dxa" w:w="3902"/>
          </w:tcPr>
          <w:p>
            <w:pPr>
              <w:spacing w:after="100"/>
            </w:pPr>
            <w:r>
              <w:rPr>
                <w:sz w:val="18"/>
              </w:rPr>
              <w:t>198.51.100.18; policy permits only selected services and entitled sources.</w:t>
            </w:r>
          </w:p>
        </w:tc>
      </w:tr>
      <w:tr>
        <w:trPr>
          <w:cantSplit/>
        </w:trPr>
        <w:tc>
          <w:tcPr>
            <w:tcW w:type="dxa" w:w="2117"/>
          </w:tcPr>
          <w:p>
            <w:pPr>
              <w:spacing w:after="100"/>
            </w:pPr>
            <w:r>
              <w:rPr>
                <w:sz w:val="18"/>
              </w:rPr>
              <w:t>EC-02</w:t>
            </w:r>
          </w:p>
        </w:tc>
        <w:tc>
          <w:tcPr>
            <w:tcW w:type="dxa" w:w="3557"/>
          </w:tcPr>
          <w:p>
            <w:pPr>
              <w:spacing w:after="100"/>
            </w:pPr>
            <w:r>
              <w:rPr>
                <w:sz w:val="18"/>
              </w:rPr>
              <w:t>192.0.2.64/27; 192.0.2.96/27</w:t>
            </w:r>
          </w:p>
        </w:tc>
        <w:tc>
          <w:tcPr>
            <w:tcW w:type="dxa" w:w="3902"/>
          </w:tcPr>
          <w:p>
            <w:pPr>
              <w:spacing w:after="100"/>
            </w:pPr>
            <w:r>
              <w:rPr>
                <w:sz w:val="18"/>
              </w:rPr>
              <w:t>Respectively .10 and .14; no tenant-01 route import.</w:t>
            </w:r>
          </w:p>
        </w:tc>
      </w:tr>
      <w:tr>
        <w:trPr>
          <w:cantSplit/>
        </w:trPr>
        <w:tc>
          <w:tcPr>
            <w:tcW w:type="dxa" w:w="2117"/>
          </w:tcPr>
          <w:p>
            <w:pPr>
              <w:spacing w:after="100"/>
            </w:pPr>
            <w:r>
              <w:rPr>
                <w:sz w:val="18"/>
              </w:rPr>
              <w:t>EC-02</w:t>
            </w:r>
          </w:p>
        </w:tc>
        <w:tc>
          <w:tcPr>
            <w:tcW w:type="dxa" w:w="3557"/>
          </w:tcPr>
          <w:p>
            <w:pPr>
              <w:spacing w:after="100"/>
            </w:pPr>
            <w:r>
              <w:rPr>
                <w:sz w:val="18"/>
              </w:rPr>
              <w:t>Approved service /32s only</w:t>
            </w:r>
          </w:p>
        </w:tc>
        <w:tc>
          <w:tcPr>
            <w:tcW w:type="dxa" w:w="3902"/>
          </w:tcPr>
          <w:p>
            <w:pPr>
              <w:spacing w:after="100"/>
            </w:pPr>
            <w:r>
              <w:rPr>
                <w:sz w:val="18"/>
              </w:rPr>
              <w:t>198.51.100.22; independently approved service policy.</w:t>
            </w:r>
          </w:p>
        </w:tc>
      </w:tr>
      <w:tr>
        <w:trPr>
          <w:cantSplit/>
        </w:trPr>
        <w:tc>
          <w:tcPr>
            <w:tcW w:type="dxa" w:w="2117"/>
          </w:tcPr>
          <w:p>
            <w:pPr>
              <w:spacing w:after="100"/>
            </w:pPr>
            <w:r>
              <w:rPr>
                <w:sz w:val="18"/>
              </w:rPr>
              <w:t>SE-01</w:t>
            </w:r>
          </w:p>
        </w:tc>
        <w:tc>
          <w:tcPr>
            <w:tcW w:type="dxa" w:w="3557"/>
          </w:tcPr>
          <w:p>
            <w:pPr>
              <w:spacing w:after="100"/>
            </w:pPr>
            <w:r>
              <w:rPr>
                <w:sz w:val="18"/>
              </w:rPr>
              <w:t>Tenant-01 exact /27 prefixes</w:t>
            </w:r>
          </w:p>
        </w:tc>
        <w:tc>
          <w:tcPr>
            <w:tcW w:type="dxa" w:w="3902"/>
          </w:tcPr>
          <w:p>
            <w:pPr>
              <w:spacing w:after="100"/>
            </w:pPr>
            <w:r>
              <w:rPr>
                <w:sz w:val="18"/>
              </w:rPr>
              <w:t>198.51.100.17; no routes to tenant-02 through this context.</w:t>
            </w:r>
          </w:p>
        </w:tc>
      </w:tr>
      <w:tr>
        <w:trPr>
          <w:cantSplit/>
        </w:trPr>
        <w:tc>
          <w:tcPr>
            <w:tcW w:type="dxa" w:w="2117"/>
          </w:tcPr>
          <w:p>
            <w:pPr>
              <w:spacing w:after="100"/>
            </w:pPr>
            <w:r>
              <w:rPr>
                <w:sz w:val="18"/>
              </w:rPr>
              <w:t>SE-02</w:t>
            </w:r>
          </w:p>
        </w:tc>
        <w:tc>
          <w:tcPr>
            <w:tcW w:type="dxa" w:w="3557"/>
          </w:tcPr>
          <w:p>
            <w:pPr>
              <w:spacing w:after="100"/>
            </w:pPr>
            <w:r>
              <w:rPr>
                <w:sz w:val="18"/>
              </w:rPr>
              <w:t>Tenant-02 exact /27 prefixes</w:t>
            </w:r>
          </w:p>
        </w:tc>
        <w:tc>
          <w:tcPr>
            <w:tcW w:type="dxa" w:w="3902"/>
          </w:tcPr>
          <w:p>
            <w:pPr>
              <w:spacing w:after="100"/>
            </w:pPr>
            <w:r>
              <w:rPr>
                <w:sz w:val="18"/>
              </w:rPr>
              <w:t>198.51.100.21; no routes to tenant-01 through this context.</w:t>
            </w:r>
          </w:p>
        </w:tc>
      </w:tr>
      <w:tr>
        <w:trPr>
          <w:cantSplit/>
        </w:trPr>
        <w:tc>
          <w:tcPr>
            <w:tcW w:type="dxa" w:w="2117"/>
          </w:tcPr>
          <w:p>
            <w:pPr>
              <w:spacing w:after="100"/>
            </w:pPr>
            <w:r>
              <w:rPr>
                <w:sz w:val="18"/>
              </w:rPr>
              <w:t>Service endpoint return routes</w:t>
            </w:r>
          </w:p>
        </w:tc>
        <w:tc>
          <w:tcPr>
            <w:tcW w:type="dxa" w:w="3557"/>
          </w:tcPr>
          <w:p>
            <w:pPr>
              <w:spacing w:after="100"/>
            </w:pPr>
            <w:r>
              <w:rPr>
                <w:sz w:val="18"/>
              </w:rPr>
              <w:t>Tenant-01 /27s; tenant-02 /27s</w:t>
            </w:r>
          </w:p>
        </w:tc>
        <w:tc>
          <w:tcPr>
            <w:tcW w:type="dxa" w:w="3902"/>
          </w:tcPr>
          <w:p>
            <w:pPr>
              <w:spacing w:after="100"/>
            </w:pPr>
            <w:r>
              <w:rPr>
                <w:sz w:val="18"/>
              </w:rPr>
              <w:t>203.0.113.129 and .130 respectively; validate supported host/service routing.</w:t>
            </w:r>
          </w:p>
        </w:tc>
      </w:tr>
    </w:tbl>
    <w:p>
      <w:pPr>
        <w:spacing w:after="20"/>
      </w:pPr>
    </w:p>
    <w:p>
      <w:r>
        <w:rPr>
          <w:sz w:val="18"/>
        </w:rPr>
        <w:t xml:space="preserve">Related documents: </w:t>
      </w:r>
      <w:hyperlink r:id="rId14" w:anchor="V14_NET_START">
        <w:r>
          <w:rPr>
            <w:rStyle w:val="Hyperlink"/>
          </w:rPr>
          <w:t>NET — Forward/reply and session semantics</w:t>
        </w:r>
      </w:hyperlink>
      <w:r>
        <w:rPr>
          <w:sz w:val="18"/>
        </w:rPr>
        <w:t xml:space="preserve">  |  </w:t>
      </w:r>
      <w:hyperlink r:id="rId16" w:anchor="V14_SVC_START">
        <w:r>
          <w:rPr>
            <w:rStyle w:val="Hyperlink"/>
          </w:rPr>
          <w:t>SVC — Shared-service authorizations</w:t>
        </w:r>
      </w:hyperlink>
    </w:p>
    <w:p>
      <w:r>
        <w:br w:type="page"/>
      </w:r>
    </w:p>
    <w:p>
      <w:bookmarkStart w:id="8" w:name="WD14_S07"/>
      <w:pPr>
        <w:pStyle w:val="Heading1"/>
      </w:pPr>
      <w:r>
        <w:t>7. Service permissions and non-IP storage paths</w:t>
      </w:r>
      <w:bookmarkEnd w:id="8"/>
    </w:p>
    <w:p>
      <w:r>
        <w:t>The permissions are proposed test-service selections. They are not a blanket firewall configuration. DNS recursion, authoritative changes, time service, logging administration, repository publication and protection management each have their own authority. Only the consumption operations explicitly selected here are part of the tenant path.</w:t>
      </w:r>
    </w:p>
    <w:p>
      <w:r>
        <w:t>DNS over TCP and UDP is tested, including truncated-response fallback. RFC 7766 provides the general-purpose DNS TCP requirement. [R14-04] Log ingestion uses the selected authenticated collector protocol; the example does not guess a product-specific port or substitute ingestion permission for search or administrative rights.</w:t>
      </w:r>
    </w:p>
    <w:p>
      <w:r>
        <w:t>Virtual-disk encryption does not imply that a guest needs a KMS network binding. The hypervisor/storage service may be the key-service client. Likewise, backup orchestration may use protected platform APIs while data moves through a different supported interface. Those management and data paths must be designed separately, rather than adding them to the guest permit list.</w:t>
      </w:r>
    </w:p>
    <w:p>
      <w:r>
        <w:t>Required provider-initiated health checks or collection must identify the exact source, destination, operation and reason. Stateful response permission is not permission to initiate a new reverse session. Unapproved extra NICs, address-pair changes, native routers and service-host forwarding remain excluded.</w:t>
      </w:r>
    </w:p>
    <w:tbl>
      <w:tblPr>
        <w:tblStyle w:val="LightShading-Accent1"/>
        <w:tblW w:type="auto" w:w="0"/>
        <w:tblLayout w:type="fixed"/>
        <w:tblLook w:firstColumn="1" w:firstRow="1" w:lastColumn="0" w:lastRow="0" w:noHBand="0" w:noVBand="1" w:val="04A0"/>
      </w:tblPr>
      <w:tblGrid>
        <w:gridCol w:w="3235"/>
        <w:gridCol w:w="3235"/>
        <w:gridCol w:w="3235"/>
      </w:tblGrid>
      <w:tr>
        <w:trPr>
          <w:tblHeader w:val="true"/>
          <w:cantSplit/>
        </w:trPr>
        <w:tc>
          <w:tcPr>
            <w:tcW w:type="dxa" w:w="2117"/>
          </w:tcPr>
          <w:p>
            <w:pPr>
              <w:spacing w:after="100"/>
            </w:pPr>
            <w:r>
              <w:rPr>
                <w:b/>
                <w:sz w:val="18"/>
              </w:rPr>
              <w:t>Flow / origin</w:t>
            </w:r>
          </w:p>
        </w:tc>
        <w:tc>
          <w:tcPr>
            <w:tcW w:type="dxa" w:w="3557"/>
          </w:tcPr>
          <w:p>
            <w:pPr>
              <w:spacing w:after="100"/>
            </w:pPr>
            <w:r>
              <w:rPr>
                <w:b/>
                <w:sz w:val="18"/>
              </w:rPr>
              <w:t>Destination and operation</w:t>
            </w:r>
          </w:p>
        </w:tc>
        <w:tc>
          <w:tcPr>
            <w:tcW w:type="dxa" w:w="3902"/>
          </w:tcPr>
          <w:p>
            <w:pPr>
              <w:spacing w:after="100"/>
            </w:pPr>
            <w:r>
              <w:rPr>
                <w:b/>
                <w:sz w:val="18"/>
              </w:rPr>
              <w:t>Required denial or separate authority</w:t>
            </w:r>
          </w:p>
        </w:tc>
      </w:tr>
      <w:tr>
        <w:trPr>
          <w:cantSplit/>
        </w:trPr>
        <w:tc>
          <w:tcPr>
            <w:tcW w:type="dxa" w:w="2117"/>
          </w:tcPr>
          <w:p>
            <w:pPr>
              <w:spacing w:after="100"/>
            </w:pPr>
            <w:r>
              <w:rPr>
                <w:sz w:val="18"/>
              </w:rPr>
              <w:t>F14-01 / processor-01</w:t>
            </w:r>
          </w:p>
        </w:tc>
        <w:tc>
          <w:tcPr>
            <w:tcW w:type="dxa" w:w="3557"/>
          </w:tcPr>
          <w:p>
            <w:pPr>
              <w:spacing w:after="100"/>
            </w:pPr>
            <w:r>
              <w:rPr>
                <w:sz w:val="18"/>
              </w:rPr>
              <w:t>data-01, TCP/443, endpoint TLS validation</w:t>
            </w:r>
          </w:p>
        </w:tc>
        <w:tc>
          <w:tcPr>
            <w:tcW w:type="dxa" w:w="3902"/>
          </w:tcPr>
          <w:p>
            <w:pPr>
              <w:spacing w:after="100"/>
            </w:pPr>
            <w:r>
              <w:rPr>
                <w:sz w:val="18"/>
              </w:rPr>
              <w:t>New reverse initiation and other tenant data endpoints denied.</w:t>
            </w:r>
          </w:p>
        </w:tc>
      </w:tr>
      <w:tr>
        <w:trPr>
          <w:cantSplit/>
        </w:trPr>
        <w:tc>
          <w:tcPr>
            <w:tcW w:type="dxa" w:w="2117"/>
          </w:tcPr>
          <w:p>
            <w:pPr>
              <w:spacing w:after="100"/>
            </w:pPr>
            <w:r>
              <w:rPr>
                <w:sz w:val="18"/>
              </w:rPr>
              <w:t>F14-02 / processor-02</w:t>
            </w:r>
          </w:p>
        </w:tc>
        <w:tc>
          <w:tcPr>
            <w:tcW w:type="dxa" w:w="3557"/>
          </w:tcPr>
          <w:p>
            <w:pPr>
              <w:spacing w:after="100"/>
            </w:pPr>
            <w:r>
              <w:rPr>
                <w:sz w:val="18"/>
              </w:rPr>
              <w:t>data-02, TCP/443, same service semantics</w:t>
            </w:r>
          </w:p>
        </w:tc>
        <w:tc>
          <w:tcPr>
            <w:tcW w:type="dxa" w:w="3902"/>
          </w:tcPr>
          <w:p>
            <w:pPr>
              <w:spacing w:after="100"/>
            </w:pPr>
            <w:r>
              <w:rPr>
                <w:sz w:val="18"/>
              </w:rPr>
              <w:t>Policy is independent of F14-01.</w:t>
            </w:r>
          </w:p>
        </w:tc>
      </w:tr>
      <w:tr>
        <w:trPr>
          <w:cantSplit/>
        </w:trPr>
        <w:tc>
          <w:tcPr>
            <w:tcW w:type="dxa" w:w="2117"/>
          </w:tcPr>
          <w:p>
            <w:pPr>
              <w:spacing w:after="100"/>
            </w:pPr>
            <w:r>
              <w:rPr>
                <w:sz w:val="18"/>
              </w:rPr>
              <w:t>F14-03 / entitled tenant endpoints</w:t>
            </w:r>
          </w:p>
        </w:tc>
        <w:tc>
          <w:tcPr>
            <w:tcW w:type="dxa" w:w="3557"/>
          </w:tcPr>
          <w:p>
            <w:pPr>
              <w:spacing w:after="100"/>
            </w:pPr>
            <w:r>
              <w:rPr>
                <w:sz w:val="18"/>
              </w:rPr>
              <w:t>Approved resolver .138, UDP/53 and TCP/53</w:t>
            </w:r>
          </w:p>
        </w:tc>
        <w:tc>
          <w:tcPr>
            <w:tcW w:type="dxa" w:w="3902"/>
          </w:tcPr>
          <w:p>
            <w:pPr>
              <w:spacing w:after="100"/>
            </w:pPr>
            <w:r>
              <w:rPr>
                <w:sz w:val="18"/>
              </w:rPr>
              <w:t>Other resolvers, zone administration and general provider subnet access denied.</w:t>
            </w:r>
          </w:p>
        </w:tc>
      </w:tr>
      <w:tr>
        <w:trPr>
          <w:cantSplit/>
        </w:trPr>
        <w:tc>
          <w:tcPr>
            <w:tcW w:type="dxa" w:w="2117"/>
          </w:tcPr>
          <w:p>
            <w:pPr>
              <w:spacing w:after="100"/>
            </w:pPr>
            <w:r>
              <w:rPr>
                <w:sz w:val="18"/>
              </w:rPr>
              <w:t>F14-04 / entitled time clients</w:t>
            </w:r>
          </w:p>
        </w:tc>
        <w:tc>
          <w:tcPr>
            <w:tcW w:type="dxa" w:w="3557"/>
          </w:tcPr>
          <w:p>
            <w:pPr>
              <w:spacing w:after="100"/>
            </w:pPr>
            <w:r>
              <w:rPr>
                <w:sz w:val="18"/>
              </w:rPr>
              <w:t>Approved time endpoint .139, selected time profile</w:t>
            </w:r>
          </w:p>
        </w:tc>
        <w:tc>
          <w:tcPr>
            <w:tcW w:type="dxa" w:w="3902"/>
          </w:tcPr>
          <w:p>
            <w:pPr>
              <w:spacing w:after="100"/>
            </w:pPr>
            <w:r>
              <w:rPr>
                <w:sz w:val="18"/>
              </w:rPr>
              <w:t>Arbitrary external time sources and time-server administration denied.</w:t>
            </w:r>
          </w:p>
        </w:tc>
      </w:tr>
      <w:tr>
        <w:trPr>
          <w:cantSplit/>
        </w:trPr>
        <w:tc>
          <w:tcPr>
            <w:tcW w:type="dxa" w:w="2117"/>
          </w:tcPr>
          <w:p>
            <w:pPr>
              <w:spacing w:after="100"/>
            </w:pPr>
            <w:r>
              <w:rPr>
                <w:sz w:val="18"/>
              </w:rPr>
              <w:t>F14-05 / authenticated senders</w:t>
            </w:r>
          </w:p>
        </w:tc>
        <w:tc>
          <w:tcPr>
            <w:tcW w:type="dxa" w:w="3557"/>
          </w:tcPr>
          <w:p>
            <w:pPr>
              <w:spacing w:after="100"/>
            </w:pPr>
            <w:r>
              <w:rPr>
                <w:sz w:val="18"/>
              </w:rPr>
              <w:t>Collector .140, approved ingestion profile</w:t>
            </w:r>
          </w:p>
        </w:tc>
        <w:tc>
          <w:tcPr>
            <w:tcW w:type="dxa" w:w="3902"/>
          </w:tcPr>
          <w:p>
            <w:pPr>
              <w:spacing w:after="100"/>
            </w:pPr>
            <w:r>
              <w:rPr>
                <w:sz w:val="18"/>
              </w:rPr>
              <w:t>No collector configuration, cross-tenant search or unrestricted reverse collection.</w:t>
            </w:r>
          </w:p>
        </w:tc>
      </w:tr>
      <w:tr>
        <w:trPr>
          <w:cantSplit/>
        </w:trPr>
        <w:tc>
          <w:tcPr>
            <w:tcW w:type="dxa" w:w="2117"/>
          </w:tcPr>
          <w:p>
            <w:pPr>
              <w:spacing w:after="100"/>
            </w:pPr>
            <w:r>
              <w:rPr>
                <w:sz w:val="18"/>
              </w:rPr>
              <w:t>F14-06 / eligible bootstrap clients</w:t>
            </w:r>
          </w:p>
        </w:tc>
        <w:tc>
          <w:tcPr>
            <w:tcW w:type="dxa" w:w="3557"/>
          </w:tcPr>
          <w:p>
            <w:pPr>
              <w:spacing w:after="100"/>
            </w:pPr>
            <w:r>
              <w:rPr>
                <w:sz w:val="18"/>
              </w:rPr>
              <w:t>Repository .141, approved retrieval profile</w:t>
            </w:r>
          </w:p>
        </w:tc>
        <w:tc>
          <w:tcPr>
            <w:tcW w:type="dxa" w:w="3902"/>
          </w:tcPr>
          <w:p>
            <w:pPr>
              <w:spacing w:after="100"/>
            </w:pPr>
            <w:r>
              <w:rPr>
                <w:sz w:val="18"/>
              </w:rPr>
              <w:t>No repository publication or unrestricted Internet retrieval.</w:t>
            </w:r>
          </w:p>
        </w:tc>
      </w:tr>
      <w:tr>
        <w:trPr>
          <w:cantSplit/>
        </w:trPr>
        <w:tc>
          <w:tcPr>
            <w:tcW w:type="dxa" w:w="2117"/>
          </w:tcPr>
          <w:p>
            <w:pPr>
              <w:spacing w:after="100"/>
            </w:pPr>
            <w:r>
              <w:rPr>
                <w:sz w:val="18"/>
              </w:rPr>
              <w:t>F14-07 / protection executor</w:t>
            </w:r>
          </w:p>
        </w:tc>
        <w:tc>
          <w:tcPr>
            <w:tcW w:type="dxa" w:w="3557"/>
          </w:tcPr>
          <w:p>
            <w:pPr>
              <w:spacing w:after="100"/>
            </w:pPr>
            <w:r>
              <w:rPr>
                <w:sz w:val="18"/>
              </w:rPr>
              <w:t>Named platform capture API and separate data-mover path</w:t>
            </w:r>
          </w:p>
        </w:tc>
        <w:tc>
          <w:tcPr>
            <w:tcW w:type="dxa" w:w="3902"/>
          </w:tcPr>
          <w:p>
            <w:pPr>
              <w:spacing w:after="100"/>
            </w:pPr>
            <w:r>
              <w:rPr>
                <w:sz w:val="18"/>
              </w:rPr>
              <w:t>Guest does not inherit API or repository-deletion rights.</w:t>
            </w:r>
          </w:p>
        </w:tc>
      </w:tr>
      <w:tr>
        <w:trPr>
          <w:cantSplit/>
        </w:trPr>
        <w:tc>
          <w:tcPr>
            <w:tcW w:type="dxa" w:w="2117"/>
          </w:tcPr>
          <w:p>
            <w:pPr>
              <w:spacing w:after="100"/>
            </w:pPr>
            <w:r>
              <w:rPr>
                <w:sz w:val="18"/>
              </w:rPr>
              <w:t>F14-08 / storage or workload key client</w:t>
            </w:r>
          </w:p>
        </w:tc>
        <w:tc>
          <w:tcPr>
            <w:tcW w:type="dxa" w:w="3557"/>
          </w:tcPr>
          <w:p>
            <w:pPr>
              <w:spacing w:after="100"/>
            </w:pPr>
            <w:r>
              <w:rPr>
                <w:sz w:val="18"/>
              </w:rPr>
              <w:t>KEY-REF, only the actual selected key-use role</w:t>
            </w:r>
          </w:p>
        </w:tc>
        <w:tc>
          <w:tcPr>
            <w:tcW w:type="dxa" w:w="3902"/>
          </w:tcPr>
          <w:p>
            <w:pPr>
              <w:spacing w:after="100"/>
            </w:pPr>
            <w:r>
              <w:rPr>
                <w:sz w:val="18"/>
              </w:rPr>
              <w:t>No implicit guest KMS route; key administration and destruction separately controlled.</w:t>
            </w:r>
          </w:p>
        </w:tc>
      </w:tr>
      <w:tr>
        <w:trPr>
          <w:cantSplit/>
        </w:trPr>
        <w:tc>
          <w:tcPr>
            <w:tcW w:type="dxa" w:w="2117"/>
          </w:tcPr>
          <w:p>
            <w:pPr>
              <w:spacing w:after="100"/>
            </w:pPr>
            <w:r>
              <w:rPr>
                <w:sz w:val="18"/>
              </w:rPr>
              <w:t>F14-09 / any base-fixture tenant</w:t>
            </w:r>
          </w:p>
        </w:tc>
        <w:tc>
          <w:tcPr>
            <w:tcW w:type="dxa" w:w="3557"/>
          </w:tcPr>
          <w:p>
            <w:pPr>
              <w:spacing w:after="100"/>
            </w:pPr>
            <w:r>
              <w:rPr>
                <w:sz w:val="18"/>
              </w:rPr>
              <w:t>No public ingress or general Internet egress</w:t>
            </w:r>
          </w:p>
        </w:tc>
        <w:tc>
          <w:tcPr>
            <w:tcW w:type="dxa" w:w="3902"/>
          </w:tcPr>
          <w:p>
            <w:pPr>
              <w:spacing w:after="100"/>
            </w:pPr>
            <w:r>
              <w:rPr>
                <w:sz w:val="18"/>
              </w:rPr>
              <w:t>Public PAZ and partner connectivity require a separately qualified service extension.</w:t>
            </w:r>
          </w:p>
        </w:tc>
      </w:tr>
    </w:tbl>
    <w:p>
      <w:pPr>
        <w:spacing w:after="20"/>
      </w:pPr>
    </w:p>
    <w:p>
      <w:r>
        <w:rPr>
          <w:sz w:val="18"/>
        </w:rPr>
        <w:t xml:space="preserve">Related documents: </w:t>
      </w:r>
      <w:hyperlink r:id="rId16" w:anchor="V14_SVC_START">
        <w:r>
          <w:rPr>
            <w:rStyle w:val="Hyperlink"/>
          </w:rPr>
          <w:t>SVC — Service, key and backup paths</w:t>
        </w:r>
      </w:hyperlink>
      <w:r>
        <w:rPr>
          <w:sz w:val="18"/>
        </w:rPr>
        <w:t xml:space="preserve">  |  </w:t>
      </w:r>
      <w:hyperlink r:id="rId11" w:anchor="V14_RA_START">
        <w:r>
          <w:rPr>
            <w:rStyle w:val="Hyperlink"/>
          </w:rPr>
          <w:t>RA — Storage and security boundaries</w:t>
        </w:r>
      </w:hyperlink>
    </w:p>
    <w:p>
      <w:r>
        <w:br w:type="page"/>
      </w:r>
    </w:p>
    <w:p>
      <w:bookmarkStart w:id="9" w:name="WD14_S08"/>
      <w:pPr>
        <w:pStyle w:val="Heading1"/>
      </w:pPr>
      <w:r>
        <w:t>8. Mapping the schedules into each vendor stack</w:t>
      </w:r>
      <w:bookmarkEnd w:id="9"/>
    </w:p>
    <w:p>
      <w:r>
        <w:t>The address and route schedules are architectural invariants. A native gateway can implement them through supported static routing, dynamic routing, policy routing or an equivalent qualified construction. The implementation record must show which method is selected; a Terraform resource name is not a substitute for that topology.</w:t>
      </w:r>
    </w:p>
    <w:p>
      <w:r>
        <w:t>On Nutanix, VPC ownership, external subnet attachment, Flow policy and AHV/AOS placement are distinct controls. A shared external subnet is not presumed isolated; use the dedicated handoff pattern until the actual source, connected-route, NAT and return-path behavior is demonstrated. The no-NAT preference remains conditional on the selected supported release.</w:t>
      </w:r>
    </w:p>
    <w:p>
      <w:r>
        <w:t>On VMware/NSX, identify the distributed router, service router, Tier-1 and isolated upstream context actually implementing each next hop. A Tier-0 VRF or another supported isolated construction can be a candidate. No claim about release-specific feature support, scale or licensing follows from the diagram. Verify both native route propagation and the path through stateful enforcement.</w:t>
      </w:r>
    </w:p>
    <w:p>
      <w:r>
        <w:t>On OpenStack, each independent domain uses its own controlled Neutron routing/network context. The provider owns the baseline security groups, port-security settings, permitted address pairs, external attachments and applicable role policy for the base service. Neutron owns its backend objects; raw conflicting OVN changes are not an acceptable enforcement layer. Delegated tenant mutation remains an extension because security-group allows are additive. [R14-05]</w:t>
      </w:r>
    </w:p>
    <w:p>
      <w:r>
        <w:t>Where the installed platform cannot represent an essential operation or path, choose a documented qualified alternative or exclude the affected service. Do not preserve a portability claim by silently weakening the security or recovery requirement.</w:t>
      </w:r>
    </w:p>
    <w:tbl>
      <w:tblPr>
        <w:tblStyle w:val="LightShading-Accent1"/>
        <w:tblW w:type="auto" w:w="0"/>
        <w:tblLayout w:type="fixed"/>
        <w:tblLook w:firstColumn="1" w:firstRow="1" w:lastColumn="0" w:lastRow="0" w:noHBand="0" w:noVBand="1" w:val="04A0"/>
      </w:tblPr>
      <w:tblGrid>
        <w:gridCol w:w="3235"/>
        <w:gridCol w:w="3235"/>
        <w:gridCol w:w="3235"/>
      </w:tblGrid>
      <w:tr>
        <w:trPr>
          <w:tblHeader w:val="true"/>
          <w:cantSplit/>
        </w:trPr>
        <w:tc>
          <w:tcPr>
            <w:tcW w:type="dxa" w:w="2117"/>
          </w:tcPr>
          <w:p>
            <w:pPr>
              <w:spacing w:after="100"/>
            </w:pPr>
            <w:r>
              <w:rPr>
                <w:b/>
                <w:sz w:val="18"/>
              </w:rPr>
              <w:t>Schedule item</w:t>
            </w:r>
          </w:p>
        </w:tc>
        <w:tc>
          <w:tcPr>
            <w:tcW w:type="dxa" w:w="3557"/>
          </w:tcPr>
          <w:p>
            <w:pPr>
              <w:spacing w:after="100"/>
            </w:pPr>
            <w:r>
              <w:rPr>
                <w:b/>
                <w:sz w:val="18"/>
              </w:rPr>
              <w:t>Nutanix candidate</w:t>
            </w:r>
          </w:p>
        </w:tc>
        <w:tc>
          <w:tcPr>
            <w:tcW w:type="dxa" w:w="3902"/>
          </w:tcPr>
          <w:p>
            <w:pPr>
              <w:spacing w:after="100"/>
            </w:pPr>
            <w:r>
              <w:rPr>
                <w:b/>
                <w:sz w:val="18"/>
              </w:rPr>
              <w:t>VMware / OpenStack candidate</w:t>
            </w:r>
          </w:p>
        </w:tc>
      </w:tr>
      <w:tr>
        <w:trPr>
          <w:cantSplit/>
        </w:trPr>
        <w:tc>
          <w:tcPr>
            <w:tcW w:type="dxa" w:w="2117"/>
          </w:tcPr>
          <w:p>
            <w:pPr>
              <w:spacing w:after="100"/>
            </w:pPr>
            <w:r>
              <w:rPr>
                <w:sz w:val="18"/>
              </w:rPr>
              <w:t>Four domain routing scopes</w:t>
            </w:r>
          </w:p>
        </w:tc>
        <w:tc>
          <w:tcPr>
            <w:tcW w:type="dxa" w:w="3557"/>
          </w:tcPr>
          <w:p>
            <w:pPr>
              <w:spacing w:after="100"/>
            </w:pPr>
            <w:r>
              <w:rPr>
                <w:sz w:val="18"/>
              </w:rPr>
              <w:t>Four qualified VPC/routing instances and corresponding native subnets.</w:t>
            </w:r>
          </w:p>
        </w:tc>
        <w:tc>
          <w:tcPr>
            <w:tcW w:type="dxa" w:w="3902"/>
          </w:tcPr>
          <w:p>
            <w:pPr>
              <w:spacing w:after="100"/>
            </w:pPr>
            <w:r>
              <w:rPr>
                <w:sz w:val="18"/>
              </w:rPr>
              <w:t>NSX: four independent domain routing scopes; OpenStack: four controlled router/network scopes.</w:t>
            </w:r>
          </w:p>
        </w:tc>
      </w:tr>
      <w:tr>
        <w:trPr>
          <w:cantSplit/>
        </w:trPr>
        <w:tc>
          <w:tcPr>
            <w:tcW w:type="dxa" w:w="2117"/>
          </w:tcPr>
          <w:p>
            <w:pPr>
              <w:spacing w:after="100"/>
            </w:pPr>
            <w:r>
              <w:rPr>
                <w:sz w:val="18"/>
              </w:rPr>
              <w:t>Dedicated domain handoffs</w:t>
            </w:r>
          </w:p>
        </w:tc>
        <w:tc>
          <w:tcPr>
            <w:tcW w:type="dxa" w:w="3557"/>
          </w:tcPr>
          <w:p>
            <w:pPr>
              <w:spacing w:after="100"/>
            </w:pPr>
            <w:r>
              <w:rPr>
                <w:sz w:val="18"/>
              </w:rPr>
              <w:t>Supported isolated VPC external attachments; no-NAT only when qualified.</w:t>
            </w:r>
          </w:p>
        </w:tc>
        <w:tc>
          <w:tcPr>
            <w:tcW w:type="dxa" w:w="3902"/>
          </w:tcPr>
          <w:p>
            <w:pPr>
              <w:spacing w:after="100"/>
            </w:pPr>
            <w:r>
              <w:rPr>
                <w:sz w:val="18"/>
              </w:rPr>
              <w:t>NSX: isolated upstream/Edge handoffs; OpenStack: controlled external/provider attachments.</w:t>
            </w:r>
          </w:p>
        </w:tc>
      </w:tr>
      <w:tr>
        <w:trPr>
          <w:cantSplit/>
        </w:trPr>
        <w:tc>
          <w:tcPr>
            <w:tcW w:type="dxa" w:w="2117"/>
          </w:tcPr>
          <w:p>
            <w:pPr>
              <w:spacing w:after="100"/>
            </w:pPr>
            <w:r>
              <w:rPr>
                <w:sz w:val="18"/>
              </w:rPr>
              <w:t>Tenant administrative rights</w:t>
            </w:r>
          </w:p>
        </w:tc>
        <w:tc>
          <w:tcPr>
            <w:tcW w:type="dxa" w:w="3557"/>
          </w:tcPr>
          <w:p>
            <w:pPr>
              <w:spacing w:after="100"/>
            </w:pPr>
            <w:r>
              <w:rPr>
                <w:sz w:val="18"/>
              </w:rPr>
              <w:t>Entitled project/RBAC scope; protected categories and baseline policy.</w:t>
            </w:r>
          </w:p>
        </w:tc>
        <w:tc>
          <w:tcPr>
            <w:tcW w:type="dxa" w:w="3902"/>
          </w:tcPr>
          <w:p>
            <w:pPr>
              <w:spacing w:after="100"/>
            </w:pPr>
            <w:r>
              <w:rPr>
                <w:sz w:val="18"/>
              </w:rPr>
              <w:t>vSphere/NSX scoped roles; Keystone roles with provider-owned baseline network mutation.</w:t>
            </w:r>
          </w:p>
        </w:tc>
      </w:tr>
      <w:tr>
        <w:trPr>
          <w:cantSplit/>
        </w:trPr>
        <w:tc>
          <w:tcPr>
            <w:tcW w:type="dxa" w:w="2117"/>
          </w:tcPr>
          <w:p>
            <w:pPr>
              <w:spacing w:after="100"/>
            </w:pPr>
            <w:r>
              <w:rPr>
                <w:sz w:val="18"/>
              </w:rPr>
              <w:t>Endpoint enforcement</w:t>
            </w:r>
          </w:p>
        </w:tc>
        <w:tc>
          <w:tcPr>
            <w:tcW w:type="dxa" w:w="3557"/>
          </w:tcPr>
          <w:p>
            <w:pPr>
              <w:spacing w:after="100"/>
            </w:pPr>
            <w:r>
              <w:rPr>
                <w:sz w:val="18"/>
              </w:rPr>
              <w:t>Qualified Flow mechanism on same-host and cross-host paths.</w:t>
            </w:r>
          </w:p>
        </w:tc>
        <w:tc>
          <w:tcPr>
            <w:tcW w:type="dxa" w:w="3902"/>
          </w:tcPr>
          <w:p>
            <w:pPr>
              <w:spacing w:after="100"/>
            </w:pPr>
            <w:r>
              <w:rPr>
                <w:sz w:val="18"/>
              </w:rPr>
              <w:t>NSX mandatory DFW hierarchy; OpenStack provider-managed effective policy and attachment authority.</w:t>
            </w:r>
          </w:p>
        </w:tc>
      </w:tr>
      <w:tr>
        <w:trPr>
          <w:cantSplit/>
        </w:trPr>
        <w:tc>
          <w:tcPr>
            <w:tcW w:type="dxa" w:w="2117"/>
          </w:tcPr>
          <w:p>
            <w:pPr>
              <w:spacing w:after="100"/>
            </w:pPr>
            <w:r>
              <w:rPr>
                <w:sz w:val="18"/>
              </w:rPr>
              <w:t>Compute and disk realization</w:t>
            </w:r>
          </w:p>
        </w:tc>
        <w:tc>
          <w:tcPr>
            <w:tcW w:type="dxa" w:w="3557"/>
          </w:tcPr>
          <w:p>
            <w:pPr>
              <w:spacing w:after="100"/>
            </w:pPr>
            <w:r>
              <w:rPr>
                <w:sz w:val="18"/>
              </w:rPr>
              <w:t>Eligible AHV pools and AOS/storage policy with actual copy/key ownership.</w:t>
            </w:r>
          </w:p>
        </w:tc>
        <w:tc>
          <w:tcPr>
            <w:tcW w:type="dxa" w:w="3902"/>
          </w:tcPr>
          <w:p>
            <w:pPr>
              <w:spacing w:after="100"/>
            </w:pPr>
            <w:r>
              <w:rPr>
                <w:sz w:val="18"/>
              </w:rPr>
              <w:t>Eligible ESXi/datastores or Nova/Placement/Cinder backends, with the same required outcome.</w:t>
            </w:r>
          </w:p>
        </w:tc>
      </w:tr>
      <w:tr>
        <w:trPr>
          <w:cantSplit/>
        </w:trPr>
        <w:tc>
          <w:tcPr>
            <w:tcW w:type="dxa" w:w="2117"/>
          </w:tcPr>
          <w:p>
            <w:pPr>
              <w:spacing w:after="100"/>
            </w:pPr>
            <w:r>
              <w:rPr>
                <w:sz w:val="18"/>
              </w:rPr>
              <w:t>Shared services and ZIPs</w:t>
            </w:r>
          </w:p>
        </w:tc>
        <w:tc>
          <w:tcPr>
            <w:tcW w:type="dxa" w:w="3557"/>
          </w:tcPr>
          <w:p>
            <w:pPr>
              <w:spacing w:after="100"/>
            </w:pPr>
            <w:r>
              <w:rPr>
                <w:sz w:val="18"/>
              </w:rPr>
              <w:t>Separate service owners provision EC/SE, IPAM/DNS, trust and protection.</w:t>
            </w:r>
          </w:p>
        </w:tc>
        <w:tc>
          <w:tcPr>
            <w:tcW w:type="dxa" w:w="3902"/>
          </w:tcPr>
          <w:p>
            <w:pPr>
              <w:spacing w:after="100"/>
            </w:pPr>
            <w:r>
              <w:rPr>
                <w:sz w:val="18"/>
              </w:rPr>
              <w:t>Identical ownership requirement; not automatically created by the selected hosting provider.</w:t>
            </w:r>
          </w:p>
        </w:tc>
      </w:tr>
    </w:tbl>
    <w:p>
      <w:pPr>
        <w:spacing w:after="20"/>
      </w:pPr>
    </w:p>
    <w:p>
      <w:r>
        <w:rPr>
          <w:sz w:val="18"/>
        </w:rPr>
        <w:t xml:space="preserve">Related documents: </w:t>
      </w:r>
      <w:hyperlink r:id="rId15" w:anchor="V14_VND_START">
        <w:r>
          <w:rPr>
            <w:rStyle w:val="Hyperlink"/>
          </w:rPr>
          <w:t>VND — Detailed vendor realization and source limitations</w:t>
        </w:r>
      </w:hyperlink>
      <w:r>
        <w:rPr>
          <w:sz w:val="18"/>
        </w:rPr>
        <w:t xml:space="preserve">  |  </w:t>
      </w:r>
      <w:hyperlink r:id="rId17" w:anchor="V14_PROV_START">
        <w:r>
          <w:rPr>
            <w:rStyle w:val="Hyperlink"/>
          </w:rPr>
          <w:t>PROV — Operation-level tool ownership</w:t>
        </w:r>
      </w:hyperlink>
    </w:p>
    <w:p>
      <w:r>
        <w:br w:type="page"/>
      </w:r>
    </w:p>
    <w:p>
      <w:bookmarkStart w:id="10" w:name="WD14_S09"/>
      <w:pPr>
        <w:pStyle w:val="Heading1"/>
      </w:pPr>
      <w:r>
        <w:t>9. Build sequence with explicit acceptance dependencies</w:t>
      </w:r>
      <w:bookmarkEnd w:id="10"/>
    </w:p>
    <w:p>
      <w:r>
        <w:t>Gate IDs identify decisions, not a chronological permission ladder. G3 does not authorize production before the applicable operational and recovery requirements covered by G4 are ready. A restricted qualification fixture can exist before G2 is complete, under a separately approved non-production test scope. It must not contain unapproved production data or be represented as a production service.</w:t>
      </w:r>
    </w:p>
    <w:p>
      <w:r>
        <w:t>G4 has two uses: readiness evidence required before the relevant production activation, and recurring operational/recovery acceptance after change or at the approved cadence. The later recurring exercise does not replace the initial proof needed for a promised recovery class. A workload that does not buy site recovery still needs its applicable backup, management recovery, operating ownership and continuity requirements accepted.</w:t>
      </w:r>
    </w:p>
    <w:p>
      <w:r>
        <w:t>Platform installation and shared-service commissioning can have mutual dependencies. Break the cycle with explicitly authorized bootstrap services and distinguish installation from offered-service acceptance. Joint P2/P3 qualification completes before those resources are advertised to ordinary tenants.</w:t>
      </w:r>
    </w:p>
    <w:p>
      <w:r>
        <w:t>Handover preparation, credential custody, incident routing, required protection and the applicable authorization are pre-activation conditions. The final post-activation handover record confirms the already accepted scope and as-built result; it must not be the first point at which an operating owner or recovery obligation is discovered.</w:t>
      </w:r>
    </w:p>
    <w:tbl>
      <w:tblPr>
        <w:tblStyle w:val="LightShading-Accent1"/>
        <w:tblW w:type="auto" w:w="0"/>
        <w:tblLayout w:type="fixed"/>
        <w:tblLook w:firstColumn="1" w:firstRow="1" w:lastColumn="0" w:lastRow="0" w:noHBand="0" w:noVBand="1" w:val="04A0"/>
      </w:tblPr>
      <w:tblGrid>
        <w:gridCol w:w="3235"/>
        <w:gridCol w:w="3235"/>
        <w:gridCol w:w="3235"/>
      </w:tblGrid>
      <w:tr>
        <w:trPr>
          <w:tblHeader w:val="true"/>
          <w:cantSplit/>
        </w:trPr>
        <w:tc>
          <w:tcPr>
            <w:tcW w:type="dxa" w:w="2117"/>
          </w:tcPr>
          <w:p>
            <w:pPr>
              <w:spacing w:after="100"/>
            </w:pPr>
            <w:r>
              <w:rPr>
                <w:b/>
                <w:sz w:val="18"/>
              </w:rPr>
              <w:t>Stage / work package</w:t>
            </w:r>
          </w:p>
        </w:tc>
        <w:tc>
          <w:tcPr>
            <w:tcW w:type="dxa" w:w="3557"/>
          </w:tcPr>
          <w:p>
            <w:pPr>
              <w:spacing w:after="100"/>
            </w:pPr>
            <w:r>
              <w:rPr>
                <w:b/>
                <w:sz w:val="18"/>
              </w:rPr>
              <w:t>Infrastructure deliverable</w:t>
            </w:r>
          </w:p>
        </w:tc>
        <w:tc>
          <w:tcPr>
            <w:tcW w:type="dxa" w:w="3902"/>
          </w:tcPr>
          <w:p>
            <w:pPr>
              <w:spacing w:after="100"/>
            </w:pPr>
            <w:r>
              <w:rPr>
                <w:b/>
                <w:sz w:val="18"/>
              </w:rPr>
              <w:t>Gate / safe stop</w:t>
            </w:r>
          </w:p>
        </w:tc>
      </w:tr>
      <w:tr>
        <w:trPr>
          <w:cantSplit/>
        </w:trPr>
        <w:tc>
          <w:tcPr>
            <w:tcW w:type="dxa" w:w="2117"/>
          </w:tcPr>
          <w:p>
            <w:pPr>
              <w:spacing w:after="100"/>
            </w:pPr>
            <w:r>
              <w:rPr>
                <w:sz w:val="18"/>
              </w:rPr>
              <w:t>B14-01 / G0</w:t>
            </w:r>
          </w:p>
        </w:tc>
        <w:tc>
          <w:tcPr>
            <w:tcW w:type="dxa" w:w="3557"/>
          </w:tcPr>
          <w:p>
            <w:pPr>
              <w:spacing w:after="100"/>
            </w:pPr>
            <w:r>
              <w:rPr>
                <w:sz w:val="18"/>
              </w:rPr>
              <w:t>Approve topology, sharing, source applicability, offered service scope and test authorization.</w:t>
            </w:r>
          </w:p>
        </w:tc>
        <w:tc>
          <w:tcPr>
            <w:tcW w:type="dxa" w:w="3902"/>
          </w:tcPr>
          <w:p>
            <w:pPr>
              <w:spacing w:after="100"/>
            </w:pPr>
            <w:r>
              <w:rPr>
                <w:sz w:val="18"/>
              </w:rPr>
              <w:t>Unknown mandatory site or support decision blocks the affected build.</w:t>
            </w:r>
          </w:p>
        </w:tc>
      </w:tr>
      <w:tr>
        <w:trPr>
          <w:cantSplit/>
        </w:trPr>
        <w:tc>
          <w:tcPr>
            <w:tcW w:type="dxa" w:w="2117"/>
          </w:tcPr>
          <w:p>
            <w:pPr>
              <w:spacing w:after="100"/>
            </w:pPr>
            <w:r>
              <w:rPr>
                <w:sz w:val="18"/>
              </w:rPr>
              <w:t>B14-02 / P0–P1</w:t>
            </w:r>
          </w:p>
        </w:tc>
        <w:tc>
          <w:tcPr>
            <w:tcW w:type="dxa" w:w="3557"/>
          </w:tcPr>
          <w:p>
            <w:pPr>
              <w:spacing w:after="100"/>
            </w:pPr>
            <w:r>
              <w:rPr>
                <w:sz w:val="18"/>
              </w:rPr>
              <w:t>Trusted bootstrap, management/OOB, fabric and physical attachment capacity.</w:t>
            </w:r>
          </w:p>
        </w:tc>
        <w:tc>
          <w:tcPr>
            <w:tcW w:type="dxa" w:w="3902"/>
          </w:tcPr>
          <w:p>
            <w:pPr>
              <w:spacing w:after="100"/>
            </w:pPr>
            <w:r>
              <w:rPr>
                <w:sz w:val="18"/>
              </w:rPr>
              <w:t>G1 acceptance before dependent platform capability is consumed.</w:t>
            </w:r>
          </w:p>
        </w:tc>
      </w:tr>
      <w:tr>
        <w:trPr>
          <w:cantSplit/>
        </w:trPr>
        <w:tc>
          <w:tcPr>
            <w:tcW w:type="dxa" w:w="2117"/>
          </w:tcPr>
          <w:p>
            <w:pPr>
              <w:spacing w:after="100"/>
            </w:pPr>
            <w:r>
              <w:rPr>
                <w:sz w:val="18"/>
              </w:rPr>
              <w:t>B14-03 / P2 install + P3 build</w:t>
            </w:r>
          </w:p>
        </w:tc>
        <w:tc>
          <w:tcPr>
            <w:tcW w:type="dxa" w:w="3557"/>
          </w:tcPr>
          <w:p>
            <w:pPr>
              <w:spacing w:after="100"/>
            </w:pPr>
            <w:r>
              <w:rPr>
                <w:sz w:val="18"/>
              </w:rPr>
              <w:t>Native platforms and provider services installed under restricted authority.</w:t>
            </w:r>
          </w:p>
        </w:tc>
        <w:tc>
          <w:tcPr>
            <w:tcW w:type="dxa" w:w="3902"/>
          </w:tcPr>
          <w:p>
            <w:pPr>
              <w:spacing w:after="100"/>
            </w:pPr>
            <w:r>
              <w:rPr>
                <w:sz w:val="18"/>
              </w:rPr>
              <w:t>Not yet advertised as qualified tenant capacity.</w:t>
            </w:r>
          </w:p>
        </w:tc>
      </w:tr>
      <w:tr>
        <w:trPr>
          <w:cantSplit/>
        </w:trPr>
        <w:tc>
          <w:tcPr>
            <w:tcW w:type="dxa" w:w="2117"/>
          </w:tcPr>
          <w:p>
            <w:pPr>
              <w:spacing w:after="100"/>
            </w:pPr>
            <w:r>
              <w:rPr>
                <w:sz w:val="18"/>
              </w:rPr>
              <w:t>B14-04 / restricted P4–P5 fixture</w:t>
            </w:r>
          </w:p>
        </w:tc>
        <w:tc>
          <w:tcPr>
            <w:tcW w:type="dxa" w:w="3557"/>
          </w:tcPr>
          <w:p>
            <w:pPr>
              <w:spacing w:after="100"/>
            </w:pPr>
            <w:r>
              <w:rPr>
                <w:sz w:val="18"/>
              </w:rPr>
              <w:t>Create the owned test domains, routes, policies and disposable endpoints; run approved observations.</w:t>
            </w:r>
          </w:p>
        </w:tc>
        <w:tc>
          <w:tcPr>
            <w:tcW w:type="dxa" w:w="3902"/>
          </w:tcPr>
          <w:p>
            <w:pPr>
              <w:spacing w:after="100"/>
            </w:pPr>
            <w:r>
              <w:rPr>
                <w:sz w:val="18"/>
              </w:rPr>
              <w:t>Pre-production test authorization only; results remain actual observed results, not design assumptions.</w:t>
            </w:r>
          </w:p>
        </w:tc>
      </w:tr>
      <w:tr>
        <w:trPr>
          <w:cantSplit/>
        </w:trPr>
        <w:tc>
          <w:tcPr>
            <w:tcW w:type="dxa" w:w="2117"/>
          </w:tcPr>
          <w:p>
            <w:pPr>
              <w:spacing w:after="100"/>
            </w:pPr>
            <w:r>
              <w:rPr>
                <w:sz w:val="18"/>
              </w:rPr>
              <w:t>B14-05 / G2</w:t>
            </w:r>
          </w:p>
        </w:tc>
        <w:tc>
          <w:tcPr>
            <w:tcW w:type="dxa" w:w="3557"/>
          </w:tcPr>
          <w:p>
            <w:pPr>
              <w:spacing w:after="100"/>
            </w:pPr>
            <w:r>
              <w:rPr>
                <w:sz w:val="18"/>
              </w:rPr>
              <w:t>Accept exact platform/service tuple, operation coverage and measured service envelope.</w:t>
            </w:r>
          </w:p>
        </w:tc>
        <w:tc>
          <w:tcPr>
            <w:tcW w:type="dxa" w:w="3902"/>
          </w:tcPr>
          <w:p>
            <w:pPr>
              <w:spacing w:after="100"/>
            </w:pPr>
            <w:r>
              <w:rPr>
                <w:sz w:val="18"/>
              </w:rPr>
              <w:t>No ordinary placement onto an unqualified offered capability.</w:t>
            </w:r>
          </w:p>
        </w:tc>
      </w:tr>
      <w:tr>
        <w:trPr>
          <w:cantSplit/>
        </w:trPr>
        <w:tc>
          <w:tcPr>
            <w:tcW w:type="dxa" w:w="2117"/>
          </w:tcPr>
          <w:p>
            <w:pPr>
              <w:spacing w:after="100"/>
            </w:pPr>
            <w:r>
              <w:rPr>
                <w:sz w:val="18"/>
              </w:rPr>
              <w:t>B14-06 / applicable G4 readiness</w:t>
            </w:r>
          </w:p>
        </w:tc>
        <w:tc>
          <w:tcPr>
            <w:tcW w:type="dxa" w:w="3557"/>
          </w:tcPr>
          <w:p>
            <w:pPr>
              <w:spacing w:after="100"/>
            </w:pPr>
            <w:r>
              <w:rPr>
                <w:sz w:val="18"/>
              </w:rPr>
              <w:t>Accept operating owners, keys/catalogue custody, required restore/recovery proof, support and incident paths.</w:t>
            </w:r>
          </w:p>
        </w:tc>
        <w:tc>
          <w:tcPr>
            <w:tcW w:type="dxa" w:w="3902"/>
          </w:tcPr>
          <w:p>
            <w:pPr>
              <w:spacing w:after="100"/>
            </w:pPr>
            <w:r>
              <w:rPr>
                <w:sz w:val="18"/>
              </w:rPr>
              <w:t>These are prerequisites for the corresponding production service promise.</w:t>
            </w:r>
          </w:p>
        </w:tc>
      </w:tr>
      <w:tr>
        <w:trPr>
          <w:cantSplit/>
        </w:trPr>
        <w:tc>
          <w:tcPr>
            <w:tcW w:type="dxa" w:w="2117"/>
          </w:tcPr>
          <w:p>
            <w:pPr>
              <w:spacing w:after="100"/>
            </w:pPr>
            <w:r>
              <w:rPr>
                <w:sz w:val="18"/>
              </w:rPr>
              <w:t>B14-07 / production P4–P5 and G3</w:t>
            </w:r>
          </w:p>
        </w:tc>
        <w:tc>
          <w:tcPr>
            <w:tcW w:type="dxa" w:w="3557"/>
          </w:tcPr>
          <w:p>
            <w:pPr>
              <w:spacing w:after="100"/>
            </w:pPr>
            <w:r>
              <w:rPr>
                <w:sz w:val="18"/>
              </w:rPr>
              <w:t>Provision approved tenant resources; verify current paths and constraints; authorize controlled activation.</w:t>
            </w:r>
          </w:p>
        </w:tc>
        <w:tc>
          <w:tcPr>
            <w:tcW w:type="dxa" w:w="3902"/>
          </w:tcPr>
          <w:p>
            <w:pPr>
              <w:spacing w:after="100"/>
            </w:pPr>
            <w:r>
              <w:rPr>
                <w:sz w:val="18"/>
              </w:rPr>
              <w:t>Requires G0/G1/G2, applicable G4 readiness and valid authority to operate.</w:t>
            </w:r>
          </w:p>
        </w:tc>
      </w:tr>
      <w:tr>
        <w:trPr>
          <w:cantSplit/>
        </w:trPr>
        <w:tc>
          <w:tcPr>
            <w:tcW w:type="dxa" w:w="2117"/>
          </w:tcPr>
          <w:p>
            <w:pPr>
              <w:spacing w:after="100"/>
            </w:pPr>
            <w:r>
              <w:rPr>
                <w:sz w:val="18"/>
              </w:rPr>
              <w:t>B14-08 / P6 and continuing G4</w:t>
            </w:r>
          </w:p>
        </w:tc>
        <w:tc>
          <w:tcPr>
            <w:tcW w:type="dxa" w:w="3557"/>
          </w:tcPr>
          <w:p>
            <w:pPr>
              <w:spacing w:after="100"/>
            </w:pPr>
            <w:r>
              <w:rPr>
                <w:sz w:val="18"/>
              </w:rPr>
              <w:t>Observe, maintain, requalify changed capabilities, exercise recovery and retire safely.</w:t>
            </w:r>
          </w:p>
        </w:tc>
        <w:tc>
          <w:tcPr>
            <w:tcW w:type="dxa" w:w="3902"/>
          </w:tcPr>
          <w:p>
            <w:pPr>
              <w:spacing w:after="100"/>
            </w:pPr>
            <w:r>
              <w:rPr>
                <w:sz w:val="18"/>
              </w:rPr>
              <w:t>Material change can invalidate prior acceptance; historical approval is not rewritten.</w:t>
            </w:r>
          </w:p>
        </w:tc>
      </w:tr>
    </w:tbl>
    <w:p>
      <w:pPr>
        <w:spacing w:after="20"/>
      </w:pPr>
    </w:p>
    <w:p>
      <w:r>
        <w:rPr>
          <w:sz w:val="18"/>
        </w:rPr>
        <w:t xml:space="preserve">Related documents: </w:t>
      </w:r>
      <w:hyperlink r:id="rId13" w:anchor="V14_QUAL_START">
        <w:r>
          <w:rPr>
            <w:rStyle w:val="Hyperlink"/>
          </w:rPr>
          <w:t>QUAL — Gate definitions and acceptance</w:t>
        </w:r>
      </w:hyperlink>
      <w:r>
        <w:rPr>
          <w:sz w:val="18"/>
        </w:rPr>
        <w:t xml:space="preserve">  |  </w:t>
      </w:r>
      <w:hyperlink r:id="rId17" w:anchor="V14_PROV_START">
        <w:r>
          <w:rPr>
            <w:rStyle w:val="Hyperlink"/>
          </w:rPr>
          <w:t>PROV — Commissioning and execution sequence</w:t>
        </w:r>
      </w:hyperlink>
      <w:r>
        <w:rPr>
          <w:sz w:val="18"/>
        </w:rPr>
        <w:t xml:space="preserve">  |  </w:t>
      </w:r>
      <w:hyperlink r:id="rId12" w:anchor="V14_GM_START">
        <w:r>
          <w:rPr>
            <w:rStyle w:val="Hyperlink"/>
          </w:rPr>
          <w:t>GM — G35 gate clarification</w:t>
        </w:r>
      </w:hyperlink>
    </w:p>
    <w:p>
      <w:r>
        <w:br w:type="page"/>
      </w:r>
    </w:p>
    <w:p>
      <w:bookmarkStart w:id="11" w:name="WD14_S10"/>
      <w:pPr>
        <w:pStyle w:val="Heading1"/>
      </w:pPr>
      <w:r>
        <w:t>10. Resource ownership, protection and change receipts</w:t>
      </w:r>
      <w:bookmarkEnd w:id="11"/>
    </w:p>
    <w:p>
      <w:r>
        <w:t>One environment spans several resource owners. It does not require one executor with all their credentials. The schedule below names the minimum accepted handoffs that join the design. An existing catalogue, change platform, workflow engine and inventory can carry these records without a custom provisioning application.</w:t>
      </w:r>
    </w:p>
    <w:p>
      <w:r>
        <w:t>Observe, create, update, adopt, replace, delete and reconcile uncertain outcomes are separate coverage decisions. A provider that can create an object but cannot reliably find it after a timeout does not provide a complete managed lifecycle. Native installers and service owners retain the resources they actually control.</w:t>
      </w:r>
    </w:p>
    <w:p>
      <w:r>
        <w:t>Late platform tasks are especially important. Losing an executor lease, revoking a credential or interrupting a pipeline does not prove that a previously accepted native operation has stopped. Before restarting or transferring ownership, the responsible owner discovers active tasks and their completed side effects. Data-safe forward repair can be preferable to reversal.</w:t>
      </w:r>
    </w:p>
    <w:tbl>
      <w:tblPr>
        <w:tblStyle w:val="LightShading-Accent1"/>
        <w:tblW w:type="auto" w:w="0"/>
        <w:tblLayout w:type="fixed"/>
        <w:tblLook w:firstColumn="1" w:firstRow="1" w:lastColumn="0" w:lastRow="0" w:noHBand="0" w:noVBand="1" w:val="04A0"/>
      </w:tblPr>
      <w:tblGrid>
        <w:gridCol w:w="3235"/>
        <w:gridCol w:w="3235"/>
        <w:gridCol w:w="3235"/>
      </w:tblGrid>
      <w:tr>
        <w:trPr>
          <w:tblHeader w:val="true"/>
          <w:cantSplit/>
        </w:trPr>
        <w:tc>
          <w:tcPr>
            <w:tcW w:type="dxa" w:w="2117"/>
          </w:tcPr>
          <w:p>
            <w:pPr>
              <w:spacing w:after="100"/>
            </w:pPr>
            <w:r>
              <w:rPr>
                <w:b/>
                <w:sz w:val="18"/>
              </w:rPr>
              <w:t>Owned resource set</w:t>
            </w:r>
          </w:p>
        </w:tc>
        <w:tc>
          <w:tcPr>
            <w:tcW w:type="dxa" w:w="3557"/>
          </w:tcPr>
          <w:p>
            <w:pPr>
              <w:spacing w:after="100"/>
            </w:pPr>
            <w:r>
              <w:rPr>
                <w:b/>
                <w:sz w:val="18"/>
              </w:rPr>
              <w:t>Authoritative owner / executor</w:t>
            </w:r>
          </w:p>
        </w:tc>
        <w:tc>
          <w:tcPr>
            <w:tcW w:type="dxa" w:w="3902"/>
          </w:tcPr>
          <w:p>
            <w:pPr>
              <w:spacing w:after="100"/>
            </w:pPr>
            <w:r>
              <w:rPr>
                <w:b/>
                <w:sz w:val="18"/>
              </w:rPr>
              <w:t>Receipt consumed by the next package</w:t>
            </w:r>
          </w:p>
        </w:tc>
      </w:tr>
      <w:tr>
        <w:trPr>
          <w:cantSplit/>
        </w:trPr>
        <w:tc>
          <w:tcPr>
            <w:tcW w:type="dxa" w:w="2117"/>
          </w:tcPr>
          <w:p>
            <w:pPr>
              <w:spacing w:after="100"/>
            </w:pPr>
            <w:r>
              <w:rPr>
                <w:sz w:val="18"/>
              </w:rPr>
              <w:t>Fabric, OOB and link capacity</w:t>
            </w:r>
          </w:p>
        </w:tc>
        <w:tc>
          <w:tcPr>
            <w:tcW w:type="dxa" w:w="3557"/>
          </w:tcPr>
          <w:p>
            <w:pPr>
              <w:spacing w:after="100"/>
            </w:pPr>
            <w:r>
              <w:rPr>
                <w:sz w:val="18"/>
              </w:rPr>
              <w:t>P1 network owner; selected supported configuration mechanism.</w:t>
            </w:r>
          </w:p>
        </w:tc>
        <w:tc>
          <w:tcPr>
            <w:tcW w:type="dxa" w:w="3902"/>
          </w:tcPr>
          <w:p>
            <w:pPr>
              <w:spacing w:after="100"/>
            </w:pPr>
            <w:r>
              <w:rPr>
                <w:sz w:val="18"/>
              </w:rPr>
              <w:t>Actual topology, address/MTU/failure scope, available attachment members and recovery access.</w:t>
            </w:r>
          </w:p>
        </w:tc>
      </w:tr>
      <w:tr>
        <w:trPr>
          <w:cantSplit/>
        </w:trPr>
        <w:tc>
          <w:tcPr>
            <w:tcW w:type="dxa" w:w="2117"/>
          </w:tcPr>
          <w:p>
            <w:pPr>
              <w:spacing w:after="100"/>
            </w:pPr>
            <w:r>
              <w:rPr>
                <w:sz w:val="18"/>
              </w:rPr>
              <w:t>Cluster, pools and native control</w:t>
            </w:r>
          </w:p>
        </w:tc>
        <w:tc>
          <w:tcPr>
            <w:tcW w:type="dxa" w:w="3557"/>
          </w:tcPr>
          <w:p>
            <w:pPr>
              <w:spacing w:after="100"/>
            </w:pPr>
            <w:r>
              <w:rPr>
                <w:sz w:val="18"/>
              </w:rPr>
              <w:t>P2 platform owner; supported installer/lifecycle tooling.</w:t>
            </w:r>
          </w:p>
        </w:tc>
        <w:tc>
          <w:tcPr>
            <w:tcW w:type="dxa" w:w="3902"/>
          </w:tcPr>
          <w:p>
            <w:pPr>
              <w:spacing w:after="100"/>
            </w:pPr>
            <w:r>
              <w:rPr>
                <w:sz w:val="18"/>
              </w:rPr>
              <w:t>Installed tuple, eligible pools, storage/network baseline and current acceptance restrictions.</w:t>
            </w:r>
          </w:p>
        </w:tc>
      </w:tr>
      <w:tr>
        <w:trPr>
          <w:cantSplit/>
        </w:trPr>
        <w:tc>
          <w:tcPr>
            <w:tcW w:type="dxa" w:w="2117"/>
          </w:tcPr>
          <w:p>
            <w:pPr>
              <w:spacing w:after="100"/>
            </w:pPr>
            <w:r>
              <w:rPr>
                <w:sz w:val="18"/>
              </w:rPr>
              <w:t>EC/SE contexts and service policy</w:t>
            </w:r>
          </w:p>
        </w:tc>
        <w:tc>
          <w:tcPr>
            <w:tcW w:type="dxa" w:w="3557"/>
          </w:tcPr>
          <w:p>
            <w:pPr>
              <w:spacing w:after="100"/>
            </w:pPr>
            <w:r>
              <w:rPr>
                <w:sz w:val="18"/>
              </w:rPr>
              <w:t>P3 security-edge and service owners.</w:t>
            </w:r>
          </w:p>
        </w:tc>
        <w:tc>
          <w:tcPr>
            <w:tcW w:type="dxa" w:w="3902"/>
          </w:tcPr>
          <w:p>
            <w:pPr>
              <w:spacing w:after="100"/>
            </w:pPr>
            <w:r>
              <w:rPr>
                <w:sz w:val="18"/>
              </w:rPr>
              <w:t>Actual context/interface IDs, permitted prefixes, policy and session handling, capacity and path evidence.</w:t>
            </w:r>
          </w:p>
        </w:tc>
      </w:tr>
      <w:tr>
        <w:trPr>
          <w:cantSplit/>
        </w:trPr>
        <w:tc>
          <w:tcPr>
            <w:tcW w:type="dxa" w:w="2117"/>
          </w:tcPr>
          <w:p>
            <w:pPr>
              <w:spacing w:after="100"/>
            </w:pPr>
            <w:r>
              <w:rPr>
                <w:sz w:val="18"/>
              </w:rPr>
              <w:t>Tenant/domain networks</w:t>
            </w:r>
          </w:p>
        </w:tc>
        <w:tc>
          <w:tcPr>
            <w:tcW w:type="dxa" w:w="3557"/>
          </w:tcPr>
          <w:p>
            <w:pPr>
              <w:spacing w:after="100"/>
            </w:pPr>
            <w:r>
              <w:rPr>
                <w:sz w:val="18"/>
              </w:rPr>
              <w:t>P4 platform network owner using supported providers/APIs.</w:t>
            </w:r>
          </w:p>
        </w:tc>
        <w:tc>
          <w:tcPr>
            <w:tcW w:type="dxa" w:w="3902"/>
          </w:tcPr>
          <w:p>
            <w:pPr>
              <w:spacing w:after="100"/>
            </w:pPr>
            <w:r>
              <w:rPr>
                <w:sz w:val="18"/>
              </w:rPr>
              <w:t>Native IDs mapped to D/A identifiers, resolved addresses, protected policy and single-writer ownership.</w:t>
            </w:r>
          </w:p>
        </w:tc>
      </w:tr>
      <w:tr>
        <w:trPr>
          <w:cantSplit/>
        </w:trPr>
        <w:tc>
          <w:tcPr>
            <w:tcW w:type="dxa" w:w="2117"/>
          </w:tcPr>
          <w:p>
            <w:pPr>
              <w:spacing w:after="100"/>
            </w:pPr>
            <w:r>
              <w:rPr>
                <w:sz w:val="18"/>
              </w:rPr>
              <w:t>Names and address allocations</w:t>
            </w:r>
          </w:p>
        </w:tc>
        <w:tc>
          <w:tcPr>
            <w:tcW w:type="dxa" w:w="3557"/>
          </w:tcPr>
          <w:p>
            <w:pPr>
              <w:spacing w:after="100"/>
            </w:pPr>
            <w:r>
              <w:rPr>
                <w:sz w:val="18"/>
              </w:rPr>
              <w:t>Authoritative IPAM/DNS owner; delegated native scopes explicitly reconciled.</w:t>
            </w:r>
          </w:p>
        </w:tc>
        <w:tc>
          <w:tcPr>
            <w:tcW w:type="dxa" w:w="3902"/>
          </w:tcPr>
          <w:p>
            <w:pPr>
              <w:spacing w:after="100"/>
            </w:pPr>
            <w:r>
              <w:rPr>
                <w:sz w:val="18"/>
              </w:rPr>
              <w:t>Allocation and record identity, TTL/lease/reuse conditions, no competing allocator.</w:t>
            </w:r>
          </w:p>
        </w:tc>
      </w:tr>
      <w:tr>
        <w:trPr>
          <w:cantSplit/>
        </w:trPr>
        <w:tc>
          <w:tcPr>
            <w:tcW w:type="dxa" w:w="2117"/>
          </w:tcPr>
          <w:p>
            <w:pPr>
              <w:spacing w:after="100"/>
            </w:pPr>
            <w:r>
              <w:rPr>
                <w:sz w:val="18"/>
              </w:rPr>
              <w:t>VMs, disks and endpoint identity</w:t>
            </w:r>
          </w:p>
        </w:tc>
        <w:tc>
          <w:tcPr>
            <w:tcW w:type="dxa" w:w="3557"/>
          </w:tcPr>
          <w:p>
            <w:pPr>
              <w:spacing w:after="100"/>
            </w:pPr>
            <w:r>
              <w:rPr>
                <w:sz w:val="18"/>
              </w:rPr>
              <w:t>P5 workload/platform owner in eligible pools.</w:t>
            </w:r>
          </w:p>
        </w:tc>
        <w:tc>
          <w:tcPr>
            <w:tcW w:type="dxa" w:w="3902"/>
          </w:tcPr>
          <w:p>
            <w:pPr>
              <w:spacing w:after="100"/>
            </w:pPr>
            <w:r>
              <w:rPr>
                <w:sz w:val="18"/>
              </w:rPr>
              <w:t>Actual placement, image, network/disk attachment, resource and protection ownership.</w:t>
            </w:r>
          </w:p>
        </w:tc>
      </w:tr>
      <w:tr>
        <w:trPr>
          <w:cantSplit/>
        </w:trPr>
        <w:tc>
          <w:tcPr>
            <w:tcW w:type="dxa" w:w="2117"/>
          </w:tcPr>
          <w:p>
            <w:pPr>
              <w:spacing w:after="100"/>
            </w:pPr>
            <w:r>
              <w:rPr>
                <w:sz w:val="18"/>
              </w:rPr>
              <w:t>Capture, backups and keys</w:t>
            </w:r>
          </w:p>
        </w:tc>
        <w:tc>
          <w:tcPr>
            <w:tcW w:type="dxa" w:w="3557"/>
          </w:tcPr>
          <w:p>
            <w:pPr>
              <w:spacing w:after="100"/>
            </w:pPr>
            <w:r>
              <w:rPr>
                <w:sz w:val="18"/>
              </w:rPr>
              <w:t>Protection/key owners under separated use and disposition authority.</w:t>
            </w:r>
          </w:p>
        </w:tc>
        <w:tc>
          <w:tcPr>
            <w:tcW w:type="dxa" w:w="3902"/>
          </w:tcPr>
          <w:p>
            <w:pPr>
              <w:spacing w:after="100"/>
            </w:pPr>
            <w:r>
              <w:rPr>
                <w:sz w:val="18"/>
              </w:rPr>
              <w:t>Recoverable copy and catalogue/key references, retention, actual restore evidence and custody.</w:t>
            </w:r>
          </w:p>
        </w:tc>
      </w:tr>
      <w:tr>
        <w:trPr>
          <w:cantSplit/>
        </w:trPr>
        <w:tc>
          <w:tcPr>
            <w:tcW w:type="dxa" w:w="2117"/>
          </w:tcPr>
          <w:p>
            <w:pPr>
              <w:spacing w:after="100"/>
            </w:pPr>
            <w:r>
              <w:rPr>
                <w:sz w:val="18"/>
              </w:rPr>
              <w:t>Activation and retirement</w:t>
            </w:r>
          </w:p>
        </w:tc>
        <w:tc>
          <w:tcPr>
            <w:tcW w:type="dxa" w:w="3557"/>
          </w:tcPr>
          <w:p>
            <w:pPr>
              <w:spacing w:after="100"/>
            </w:pPr>
            <w:r>
              <w:rPr>
                <w:sz w:val="18"/>
              </w:rPr>
              <w:t>Named service/data/security authorities and the current owning executors.</w:t>
            </w:r>
          </w:p>
        </w:tc>
        <w:tc>
          <w:tcPr>
            <w:tcW w:type="dxa" w:w="3902"/>
          </w:tcPr>
          <w:p>
            <w:pPr>
              <w:spacing w:after="100"/>
            </w:pPr>
            <w:r>
              <w:rPr>
                <w:sz w:val="18"/>
              </w:rPr>
              <w:t>Current approved scope, observed result, retained obligations and no obsolete live authority.</w:t>
            </w:r>
          </w:p>
        </w:tc>
      </w:tr>
    </w:tbl>
    <w:p>
      <w:pPr>
        <w:spacing w:after="20"/>
      </w:pPr>
    </w:p>
    <w:p>
      <w:r>
        <w:rPr>
          <w:sz w:val="18"/>
        </w:rPr>
        <w:t xml:space="preserve">Related documents: </w:t>
      </w:r>
      <w:hyperlink r:id="rId17" w:anchor="V14_PROV_START">
        <w:r>
          <w:rPr>
            <w:rStyle w:val="Hyperlink"/>
          </w:rPr>
          <w:t>PROV — Single writer and failure recovery</w:t>
        </w:r>
      </w:hyperlink>
      <w:r>
        <w:rPr>
          <w:sz w:val="18"/>
        </w:rPr>
        <w:t xml:space="preserve">  |  </w:t>
      </w:r>
      <w:hyperlink r:id="rId16" w:anchor="V14_SVC_START">
        <w:r>
          <w:rPr>
            <w:rStyle w:val="Hyperlink"/>
          </w:rPr>
          <w:t>SVC — Copy and key lifecycle</w:t>
        </w:r>
      </w:hyperlink>
    </w:p>
    <w:p>
      <w:r>
        <w:br w:type="page"/>
      </w:r>
    </w:p>
    <w:p>
      <w:bookmarkStart w:id="12" w:name="WD14_S11"/>
      <w:pPr>
        <w:pStyle w:val="Heading1"/>
      </w:pPr>
      <w:r>
        <w:t>11. Test-resource, capacity and MTU accounting</w:t>
      </w:r>
      <w:bookmarkEnd w:id="12"/>
    </w:p>
    <w:p>
      <w:r>
        <w:t>The permanent fixture has one endpoint per domain. That cannot alone prove isolation between two endpoints inside the same domain. Add one controlled temporary probe to a domain, test the applicable same-host and cross-host placements, then retire or move the probe through an authorized re-creation sequence. Peak test endpoint count is five for sequential testing; four simultaneous extra probes would make eight. Tests on disallowed co-residency use the actual permitted topology rather than forcing a forbidden host placement.</w:t>
      </w:r>
    </w:p>
    <w:p>
      <w:r>
        <w:t>Illustrative requested guest capacity is four endpoints at 2 vCPU, 4 GiB memory and a 40 GiB boot disk each, plus a 100 GiB test data disk on each data endpoint: 8 vCPU, 16 GiB guest memory and 360 GiB requested virtual disk capacity. One sequential probe adds 2 vCPU, 4 GiB and 40 GiB: peak 10 vCPU, 20 GiB and 400 GiB. These are example fixture demands, not production sizes, host counts, physical storage requirements or qualified platform minima.</w:t>
      </w:r>
    </w:p>
    <w:p>
      <w:r>
        <w:t>Provider services, managers, edges, replicas, snapshots, backup retention, rebuild/maintenance headroom and hypervisor overhead are additional. Reservation accounting must not count the same allocation again as consumption. Admission is the conjunction of all applicable resource limits; a spare domain attachment cannot compensate for insufficient inspected session or storage-rebuild capacity.</w:t>
      </w:r>
    </w:p>
    <w:p>
      <w:r>
        <w:t>The MTU example uses a workload IP packet carried in an untagged inner Ethernet frame, basic VXLAN and UDP. For outer IPv4 without options, the additional outer-IP packet budget relative to the workload IP packet is 14 + 8 + 8 + 20 = 50 bytes. Outer IPv6 makes it 70 bytes. An inner VLAN tag adds another 4 bytes. Outer link framing is handled separately according to the equipment's MTU definition. The example is derived from packet fields, not a vendor setting. [R14-06]</w:t>
      </w:r>
    </w:p>
    <w:p>
      <w:r>
        <w:t>Geneve options, IPsec, nested tunnels, outer extension headers or other encapsulations require their own budget. Do not reuse a fixed VXLAN value. Qualify the smallest effective MTU across every active and surviving path, including gateway, security edge and recovery connections.</w:t>
      </w:r>
    </w:p>
    <w:tbl>
      <w:tblPr>
        <w:tblStyle w:val="LightShading-Accent1"/>
        <w:tblW w:type="auto" w:w="0"/>
        <w:tblLayout w:type="fixed"/>
        <w:tblLook w:firstColumn="1" w:firstRow="1" w:lastColumn="0" w:lastRow="0" w:noHBand="0" w:noVBand="1" w:val="04A0"/>
      </w:tblPr>
      <w:tblGrid>
        <w:gridCol w:w="3235"/>
        <w:gridCol w:w="3235"/>
        <w:gridCol w:w="3235"/>
      </w:tblGrid>
      <w:tr>
        <w:trPr>
          <w:tblHeader w:val="true"/>
          <w:cantSplit/>
        </w:trPr>
        <w:tc>
          <w:tcPr>
            <w:tcW w:type="dxa" w:w="2117"/>
          </w:tcPr>
          <w:p>
            <w:pPr>
              <w:spacing w:after="100"/>
            </w:pPr>
            <w:r>
              <w:rPr>
                <w:b/>
                <w:sz w:val="18"/>
              </w:rPr>
              <w:t>Illustrative case</w:t>
            </w:r>
          </w:p>
        </w:tc>
        <w:tc>
          <w:tcPr>
            <w:tcW w:type="dxa" w:w="3557"/>
          </w:tcPr>
          <w:p>
            <w:pPr>
              <w:spacing w:after="100"/>
            </w:pPr>
            <w:r>
              <w:rPr>
                <w:b/>
                <w:sz w:val="18"/>
              </w:rPr>
              <w:t>Arithmetic</w:t>
            </w:r>
          </w:p>
        </w:tc>
        <w:tc>
          <w:tcPr>
            <w:tcW w:type="dxa" w:w="3902"/>
          </w:tcPr>
          <w:p>
            <w:pPr>
              <w:spacing w:after="100"/>
            </w:pPr>
            <w:r>
              <w:rPr>
                <w:b/>
                <w:sz w:val="18"/>
              </w:rPr>
              <w:t>Consequence</w:t>
            </w:r>
          </w:p>
        </w:tc>
      </w:tr>
      <w:tr>
        <w:trPr>
          <w:cantSplit/>
        </w:trPr>
        <w:tc>
          <w:tcPr>
            <w:tcW w:type="dxa" w:w="2117"/>
          </w:tcPr>
          <w:p>
            <w:pPr>
              <w:spacing w:after="100"/>
            </w:pPr>
            <w:r>
              <w:rPr>
                <w:sz w:val="18"/>
              </w:rPr>
              <w:t>Four permanent endpoints</w:t>
            </w:r>
          </w:p>
        </w:tc>
        <w:tc>
          <w:tcPr>
            <w:tcW w:type="dxa" w:w="3557"/>
          </w:tcPr>
          <w:p>
            <w:pPr>
              <w:spacing w:after="100"/>
            </w:pPr>
            <w:r>
              <w:rPr>
                <w:sz w:val="18"/>
              </w:rPr>
              <w:t>4 × 2 vCPU; 4 × 4 GiB; 4 × 40 + 2 × 100 GiB disks</w:t>
            </w:r>
          </w:p>
        </w:tc>
        <w:tc>
          <w:tcPr>
            <w:tcW w:type="dxa" w:w="3902"/>
          </w:tcPr>
          <w:p>
            <w:pPr>
              <w:spacing w:after="100"/>
            </w:pPr>
            <w:r>
              <w:rPr>
                <w:sz w:val="18"/>
              </w:rPr>
              <w:t>8 vCPU, 16 GiB memory, 360 GiB requested virtual disks, before provider overhead and protection.</w:t>
            </w:r>
          </w:p>
        </w:tc>
      </w:tr>
      <w:tr>
        <w:trPr>
          <w:cantSplit/>
        </w:trPr>
        <w:tc>
          <w:tcPr>
            <w:tcW w:type="dxa" w:w="2117"/>
          </w:tcPr>
          <w:p>
            <w:pPr>
              <w:spacing w:after="100"/>
            </w:pPr>
            <w:r>
              <w:rPr>
                <w:sz w:val="18"/>
              </w:rPr>
              <w:t>One temporary sequential probe</w:t>
            </w:r>
          </w:p>
        </w:tc>
        <w:tc>
          <w:tcPr>
            <w:tcW w:type="dxa" w:w="3557"/>
          </w:tcPr>
          <w:p>
            <w:pPr>
              <w:spacing w:after="100"/>
            </w:pPr>
            <w:r>
              <w:rPr>
                <w:sz w:val="18"/>
              </w:rPr>
              <w:t>Permanent fixture + 2 vCPU + 4 GiB + 40 GiB</w:t>
            </w:r>
          </w:p>
        </w:tc>
        <w:tc>
          <w:tcPr>
            <w:tcW w:type="dxa" w:w="3902"/>
          </w:tcPr>
          <w:p>
            <w:pPr>
              <w:spacing w:after="100"/>
            </w:pPr>
            <w:r>
              <w:rPr>
                <w:sz w:val="18"/>
              </w:rPr>
              <w:t>Peak 10 vCPU, 20 GiB memory, 400 GiB virtual disks.</w:t>
            </w:r>
          </w:p>
        </w:tc>
      </w:tr>
      <w:tr>
        <w:trPr>
          <w:cantSplit/>
        </w:trPr>
        <w:tc>
          <w:tcPr>
            <w:tcW w:type="dxa" w:w="2117"/>
          </w:tcPr>
          <w:p>
            <w:pPr>
              <w:spacing w:after="100"/>
            </w:pPr>
            <w:r>
              <w:rPr>
                <w:sz w:val="18"/>
              </w:rPr>
              <w:t>1450-byte workload IP; basic IPv4 VXLAN</w:t>
            </w:r>
          </w:p>
        </w:tc>
        <w:tc>
          <w:tcPr>
            <w:tcW w:type="dxa" w:w="3557"/>
          </w:tcPr>
          <w:p>
            <w:pPr>
              <w:spacing w:after="100"/>
            </w:pPr>
            <w:r>
              <w:rPr>
                <w:sz w:val="18"/>
              </w:rPr>
              <w:t>1450 + 50 = 1500-byte outer IP packet</w:t>
            </w:r>
          </w:p>
        </w:tc>
        <w:tc>
          <w:tcPr>
            <w:tcW w:type="dxa" w:w="3902"/>
          </w:tcPr>
          <w:p>
            <w:pPr>
              <w:spacing w:after="100"/>
            </w:pPr>
            <w:r>
              <w:rPr>
                <w:sz w:val="18"/>
              </w:rPr>
              <w:t>Fits a 1500-byte outer IP limit only under these assumptions.</w:t>
            </w:r>
          </w:p>
        </w:tc>
      </w:tr>
      <w:tr>
        <w:trPr>
          <w:cantSplit/>
        </w:trPr>
        <w:tc>
          <w:tcPr>
            <w:tcW w:type="dxa" w:w="2117"/>
          </w:tcPr>
          <w:p>
            <w:pPr>
              <w:spacing w:after="100"/>
            </w:pPr>
            <w:r>
              <w:rPr>
                <w:sz w:val="18"/>
              </w:rPr>
              <w:t>1450-byte workload IP; IPv6 outer</w:t>
            </w:r>
          </w:p>
        </w:tc>
        <w:tc>
          <w:tcPr>
            <w:tcW w:type="dxa" w:w="3557"/>
          </w:tcPr>
          <w:p>
            <w:pPr>
              <w:spacing w:after="100"/>
            </w:pPr>
            <w:r>
              <w:rPr>
                <w:sz w:val="18"/>
              </w:rPr>
              <w:t>1450 + 70 = 1520 bytes</w:t>
            </w:r>
          </w:p>
        </w:tc>
        <w:tc>
          <w:tcPr>
            <w:tcW w:type="dxa" w:w="3902"/>
          </w:tcPr>
          <w:p>
            <w:pPr>
              <w:spacing w:after="100"/>
            </w:pPr>
            <w:r>
              <w:rPr>
                <w:sz w:val="18"/>
              </w:rPr>
              <w:t>Does not fit the same 1500-byte outer IP limit.</w:t>
            </w:r>
          </w:p>
        </w:tc>
      </w:tr>
      <w:tr>
        <w:trPr>
          <w:cantSplit/>
        </w:trPr>
        <w:tc>
          <w:tcPr>
            <w:tcW w:type="dxa" w:w="2117"/>
          </w:tcPr>
          <w:p>
            <w:pPr>
              <w:spacing w:after="100"/>
            </w:pPr>
            <w:r>
              <w:rPr>
                <w:sz w:val="18"/>
              </w:rPr>
              <w:t>1500 outer IP limit; IPv6 VXLAN</w:t>
            </w:r>
          </w:p>
        </w:tc>
        <w:tc>
          <w:tcPr>
            <w:tcW w:type="dxa" w:w="3557"/>
          </w:tcPr>
          <w:p>
            <w:pPr>
              <w:spacing w:after="100"/>
            </w:pPr>
            <w:r>
              <w:rPr>
                <w:sz w:val="18"/>
              </w:rPr>
              <w:t>1500 − 70 = 1430-byte maximum workload IP packet</w:t>
            </w:r>
          </w:p>
        </w:tc>
        <w:tc>
          <w:tcPr>
            <w:tcW w:type="dxa" w:w="3902"/>
          </w:tcPr>
          <w:p>
            <w:pPr>
              <w:spacing w:after="100"/>
            </w:pPr>
            <w:r>
              <w:rPr>
                <w:sz w:val="18"/>
              </w:rPr>
              <w:t>Illustrative bound; confirm actual encapsulation, tagging and product behavior.</w:t>
            </w:r>
          </w:p>
        </w:tc>
      </w:tr>
      <w:tr>
        <w:trPr>
          <w:cantSplit/>
        </w:trPr>
        <w:tc>
          <w:tcPr>
            <w:tcW w:type="dxa" w:w="2117"/>
          </w:tcPr>
          <w:p>
            <w:pPr>
              <w:spacing w:after="100"/>
            </w:pPr>
            <w:r>
              <w:rPr>
                <w:sz w:val="18"/>
              </w:rPr>
              <w:t>1450 workload; tagged inner Ethernet; IPv4 outer</w:t>
            </w:r>
          </w:p>
        </w:tc>
        <w:tc>
          <w:tcPr>
            <w:tcW w:type="dxa" w:w="3557"/>
          </w:tcPr>
          <w:p>
            <w:pPr>
              <w:spacing w:after="100"/>
            </w:pPr>
            <w:r>
              <w:rPr>
                <w:sz w:val="18"/>
              </w:rPr>
              <w:t>1450 + 50 + 4 = 1504 bytes</w:t>
            </w:r>
          </w:p>
        </w:tc>
        <w:tc>
          <w:tcPr>
            <w:tcW w:type="dxa" w:w="3902"/>
          </w:tcPr>
          <w:p>
            <w:pPr>
              <w:spacing w:after="100"/>
            </w:pPr>
            <w:r>
              <w:rPr>
                <w:sz w:val="18"/>
              </w:rPr>
              <w:t>An unaccounted inner tag changes the result; do not silently drop or fragment.</w:t>
            </w:r>
          </w:p>
        </w:tc>
      </w:tr>
    </w:tbl>
    <w:p>
      <w:pPr>
        <w:spacing w:after="20"/>
      </w:pPr>
    </w:p>
    <w:p>
      <w:r>
        <w:rPr>
          <w:sz w:val="18"/>
        </w:rPr>
        <w:t xml:space="preserve">Related documents: </w:t>
      </w:r>
      <w:hyperlink r:id="rId13" w:anchor="V14_QUAL_START">
        <w:r>
          <w:rPr>
            <w:rStyle w:val="Hyperlink"/>
          </w:rPr>
          <w:t>QUAL — Surviving capacity and admission</w:t>
        </w:r>
      </w:hyperlink>
      <w:r>
        <w:rPr>
          <w:sz w:val="18"/>
        </w:rPr>
        <w:t xml:space="preserve">  |  </w:t>
      </w:r>
      <w:hyperlink r:id="rId14" w:anchor="V14_NET_START">
        <w:r>
          <w:rPr>
            <w:rStyle w:val="Hyperlink"/>
          </w:rPr>
          <w:t>NET — Layer-specific MTU method</w:t>
        </w:r>
      </w:hyperlink>
      <w:r>
        <w:rPr>
          <w:sz w:val="18"/>
        </w:rPr>
        <w:t xml:space="preserve">  |  </w:t>
      </w:r>
      <w:hyperlink r:id="rId15" w:anchor="V14_VND_START">
        <w:r>
          <w:rPr>
            <w:rStyle w:val="Hyperlink"/>
          </w:rPr>
          <w:t>VND — Fixture and co-residency</w:t>
        </w:r>
      </w:hyperlink>
    </w:p>
    <w:p>
      <w:r>
        <w:br w:type="page"/>
      </w:r>
    </w:p>
    <w:p>
      <w:bookmarkStart w:id="13" w:name="WD14_S12"/>
      <w:pPr>
        <w:pStyle w:val="Heading1"/>
      </w:pPr>
      <w:r>
        <w:t>12. Failure and partition decision schedule</w:t>
      </w:r>
      <w:bookmarkEnd w:id="13"/>
    </w:p>
    <w:p>
      <w:r>
        <w:t>Availability and security are separate observations. A denied flow during a fault is not evidence that the offered availability target was met. Conversely, continued traffic is not acceptable if it survived by bypassing the required security boundary. Record both outcomes, including the accepted interval for established sessions and new connections.</w:t>
      </w:r>
    </w:p>
    <w:p>
      <w:r>
        <w:t>Test only under an approved scope with restoration procedures and protection for unrelated tenants. This document supplies expected behavior and evidence targets; it does not perform fault injection or claim observed results.</w:t>
      </w:r>
    </w:p>
    <w:p>
      <w:r>
        <w:t>For every failure scenario, identify the failed components and the dependencies assumed to survive. A recovery path that depends on the failed management, identity or key service has not survived merely because a backup file is located on a different disk. A network partition requires writer ownership and fencing decisions, not just a lost-host alarm.</w:t>
      </w:r>
    </w:p>
    <w:tbl>
      <w:tblPr>
        <w:tblStyle w:val="LightShading-Accent1"/>
        <w:tblW w:type="auto" w:w="0"/>
        <w:tblLayout w:type="fixed"/>
        <w:tblLook w:firstColumn="1" w:firstRow="1" w:lastColumn="0" w:lastRow="0" w:noHBand="0" w:noVBand="1" w:val="04A0"/>
      </w:tblPr>
      <w:tblGrid>
        <w:gridCol w:w="3235"/>
        <w:gridCol w:w="3235"/>
        <w:gridCol w:w="3235"/>
      </w:tblGrid>
      <w:tr>
        <w:trPr>
          <w:tblHeader w:val="true"/>
          <w:cantSplit/>
        </w:trPr>
        <w:tc>
          <w:tcPr>
            <w:tcW w:type="dxa" w:w="2117"/>
          </w:tcPr>
          <w:p>
            <w:pPr>
              <w:spacing w:after="100"/>
            </w:pPr>
            <w:r>
              <w:rPr>
                <w:b/>
                <w:sz w:val="18"/>
              </w:rPr>
              <w:t>Failure / change</w:t>
            </w:r>
          </w:p>
        </w:tc>
        <w:tc>
          <w:tcPr>
            <w:tcW w:type="dxa" w:w="3557"/>
          </w:tcPr>
          <w:p>
            <w:pPr>
              <w:spacing w:after="100"/>
            </w:pPr>
            <w:r>
              <w:rPr>
                <w:b/>
                <w:sz w:val="18"/>
              </w:rPr>
              <w:t>Required controlled behavior</w:t>
            </w:r>
          </w:p>
        </w:tc>
        <w:tc>
          <w:tcPr>
            <w:tcW w:type="dxa" w:w="3902"/>
          </w:tcPr>
          <w:p>
            <w:pPr>
              <w:spacing w:after="100"/>
            </w:pPr>
            <w:r>
              <w:rPr>
                <w:b/>
                <w:sz w:val="18"/>
              </w:rPr>
              <w:t>Evidence and decision owner</w:t>
            </w:r>
          </w:p>
        </w:tc>
      </w:tr>
      <w:tr>
        <w:trPr>
          <w:cantSplit/>
        </w:trPr>
        <w:tc>
          <w:tcPr>
            <w:tcW w:type="dxa" w:w="2117"/>
          </w:tcPr>
          <w:p>
            <w:pPr>
              <w:spacing w:after="100"/>
            </w:pPr>
            <w:r>
              <w:rPr>
                <w:sz w:val="18"/>
              </w:rPr>
              <w:t>One EC or SE member fails</w:t>
            </w:r>
          </w:p>
        </w:tc>
        <w:tc>
          <w:tcPr>
            <w:tcW w:type="dxa" w:w="3557"/>
          </w:tcPr>
          <w:p>
            <w:pPr>
              <w:spacing w:after="100"/>
            </w:pPr>
            <w:r>
              <w:rPr>
                <w:sz w:val="18"/>
              </w:rPr>
              <w:t>Use only a qualified enforcing survivor; otherwise affected traffic denies.</w:t>
            </w:r>
          </w:p>
        </w:tc>
        <w:tc>
          <w:tcPr>
            <w:tcW w:type="dxa" w:w="3902"/>
          </w:tcPr>
          <w:p>
            <w:pPr>
              <w:spacing w:after="100"/>
            </w:pPr>
            <w:r>
              <w:rPr>
                <w:sz w:val="18"/>
              </w:rPr>
              <w:t>Edge owner records forward/reply context, session outcome, load and measured interruption.</w:t>
            </w:r>
          </w:p>
        </w:tc>
      </w:tr>
      <w:tr>
        <w:trPr>
          <w:cantSplit/>
        </w:trPr>
        <w:tc>
          <w:tcPr>
            <w:tcW w:type="dxa" w:w="2117"/>
          </w:tcPr>
          <w:p>
            <w:pPr>
              <w:spacing w:after="100"/>
            </w:pPr>
            <w:r>
              <w:rPr>
                <w:sz w:val="18"/>
              </w:rPr>
              <w:t>Service return route is missing or wrong</w:t>
            </w:r>
          </w:p>
        </w:tc>
        <w:tc>
          <w:tcPr>
            <w:tcW w:type="dxa" w:w="3557"/>
          </w:tcPr>
          <w:p>
            <w:pPr>
              <w:spacing w:after="100"/>
            </w:pPr>
            <w:r>
              <w:rPr>
                <w:sz w:val="18"/>
              </w:rPr>
              <w:t>Do not add an unrestricted default to mask asymmetry; keep affected service unavailable.</w:t>
            </w:r>
          </w:p>
        </w:tc>
        <w:tc>
          <w:tcPr>
            <w:tcW w:type="dxa" w:w="3902"/>
          </w:tcPr>
          <w:p>
            <w:pPr>
              <w:spacing w:after="100"/>
            </w:pPr>
            <w:r>
              <w:rPr>
                <w:sz w:val="18"/>
              </w:rPr>
              <w:t>Service/network owner compares intended prefix-to-SE route with observed replies.</w:t>
            </w:r>
          </w:p>
        </w:tc>
      </w:tr>
      <w:tr>
        <w:trPr>
          <w:cantSplit/>
        </w:trPr>
        <w:tc>
          <w:tcPr>
            <w:tcW w:type="dxa" w:w="2117"/>
          </w:tcPr>
          <w:p>
            <w:pPr>
              <w:spacing w:after="100"/>
            </w:pPr>
            <w:r>
              <w:rPr>
                <w:sz w:val="18"/>
              </w:rPr>
              <w:t>Provider resolver or repository unavailable</w:t>
            </w:r>
          </w:p>
        </w:tc>
        <w:tc>
          <w:tcPr>
            <w:tcW w:type="dxa" w:w="3557"/>
          </w:tcPr>
          <w:p>
            <w:pPr>
              <w:spacing w:after="100"/>
            </w:pPr>
            <w:r>
              <w:rPr>
                <w:sz w:val="18"/>
              </w:rPr>
              <w:t>No arbitrary external resolver, image or broad egress fallback.</w:t>
            </w:r>
          </w:p>
        </w:tc>
        <w:tc>
          <w:tcPr>
            <w:tcW w:type="dxa" w:w="3902"/>
          </w:tcPr>
          <w:p>
            <w:pPr>
              <w:spacing w:after="100"/>
            </w:pPr>
            <w:r>
              <w:rPr>
                <w:sz w:val="18"/>
              </w:rPr>
              <w:t>Service owner assesses actual cached operation and pauses dependent builds.</w:t>
            </w:r>
          </w:p>
        </w:tc>
      </w:tr>
      <w:tr>
        <w:trPr>
          <w:cantSplit/>
        </w:trPr>
        <w:tc>
          <w:tcPr>
            <w:tcW w:type="dxa" w:w="2117"/>
          </w:tcPr>
          <w:p>
            <w:pPr>
              <w:spacing w:after="100"/>
            </w:pPr>
            <w:r>
              <w:rPr>
                <w:sz w:val="18"/>
              </w:rPr>
              <w:t>KMS unavailable</w:t>
            </w:r>
          </w:p>
        </w:tc>
        <w:tc>
          <w:tcPr>
            <w:tcW w:type="dxa" w:w="3557"/>
          </w:tcPr>
          <w:p>
            <w:pPr>
              <w:spacing w:after="100"/>
            </w:pPr>
            <w:r>
              <w:rPr>
                <w:sz w:val="18"/>
              </w:rPr>
              <w:t>No plaintext or unrelated replacement-key fallback; native existing/new access behavior is explicit.</w:t>
            </w:r>
          </w:p>
        </w:tc>
        <w:tc>
          <w:tcPr>
            <w:tcW w:type="dxa" w:w="3902"/>
          </w:tcPr>
          <w:p>
            <w:pPr>
              <w:spacing w:after="100"/>
            </w:pPr>
            <w:r>
              <w:rPr>
                <w:sz w:val="18"/>
              </w:rPr>
              <w:t>Key/platform owners observe running I/O, new attachment/boot and recovery separately.</w:t>
            </w:r>
          </w:p>
        </w:tc>
      </w:tr>
      <w:tr>
        <w:trPr>
          <w:cantSplit/>
        </w:trPr>
        <w:tc>
          <w:tcPr>
            <w:tcW w:type="dxa" w:w="2117"/>
          </w:tcPr>
          <w:p>
            <w:pPr>
              <w:spacing w:after="100"/>
            </w:pPr>
            <w:r>
              <w:rPr>
                <w:sz w:val="18"/>
              </w:rPr>
              <w:t>Platform manager or executor lost</w:t>
            </w:r>
          </w:p>
        </w:tc>
        <w:tc>
          <w:tcPr>
            <w:tcW w:type="dxa" w:w="3557"/>
          </w:tcPr>
          <w:p>
            <w:pPr>
              <w:spacing w:after="100"/>
            </w:pPr>
            <w:r>
              <w:rPr>
                <w:sz w:val="18"/>
              </w:rPr>
              <w:t>No untracked changes; discover outstanding native tasks and current enforcement.</w:t>
            </w:r>
          </w:p>
        </w:tc>
        <w:tc>
          <w:tcPr>
            <w:tcW w:type="dxa" w:w="3902"/>
          </w:tcPr>
          <w:p>
            <w:pPr>
              <w:spacing w:after="100"/>
            </w:pPr>
            <w:r>
              <w:rPr>
                <w:sz w:val="18"/>
              </w:rPr>
              <w:t>Platform owner confirms actual resource ownership before resuming or transferring writers.</w:t>
            </w:r>
          </w:p>
        </w:tc>
      </w:tr>
      <w:tr>
        <w:trPr>
          <w:cantSplit/>
        </w:trPr>
        <w:tc>
          <w:tcPr>
            <w:tcW w:type="dxa" w:w="2117"/>
          </w:tcPr>
          <w:p>
            <w:pPr>
              <w:spacing w:after="100"/>
            </w:pPr>
            <w:r>
              <w:rPr>
                <w:sz w:val="18"/>
              </w:rPr>
              <w:t>Storage or inter-site partition</w:t>
            </w:r>
          </w:p>
        </w:tc>
        <w:tc>
          <w:tcPr>
            <w:tcW w:type="dxa" w:w="3557"/>
          </w:tcPr>
          <w:p>
            <w:pPr>
              <w:spacing w:after="100"/>
            </w:pPr>
            <w:r>
              <w:rPr>
                <w:sz w:val="18"/>
              </w:rPr>
              <w:t>Do not promote an independent writable copy while authority is ambiguous.</w:t>
            </w:r>
          </w:p>
        </w:tc>
        <w:tc>
          <w:tcPr>
            <w:tcW w:type="dxa" w:w="3902"/>
          </w:tcPr>
          <w:p>
            <w:pPr>
              <w:spacing w:after="100"/>
            </w:pPr>
            <w:r>
              <w:rPr>
                <w:sz w:val="18"/>
              </w:rPr>
              <w:t>Data/continuity owners establish fencing, consistency point and approved promotion.</w:t>
            </w:r>
          </w:p>
        </w:tc>
      </w:tr>
      <w:tr>
        <w:trPr>
          <w:cantSplit/>
        </w:trPr>
        <w:tc>
          <w:tcPr>
            <w:tcW w:type="dxa" w:w="2117"/>
          </w:tcPr>
          <w:p>
            <w:pPr>
              <w:spacing w:after="100"/>
            </w:pPr>
            <w:r>
              <w:rPr>
                <w:sz w:val="18"/>
              </w:rPr>
              <w:t>Policy revoked during a live session</w:t>
            </w:r>
          </w:p>
        </w:tc>
        <w:tc>
          <w:tcPr>
            <w:tcW w:type="dxa" w:w="3557"/>
          </w:tcPr>
          <w:p>
            <w:pPr>
              <w:spacing w:after="100"/>
            </w:pPr>
            <w:r>
              <w:rPr>
                <w:sz w:val="18"/>
              </w:rPr>
              <w:t>Deny new sessions; terminate or drain existing sessions within the approved bound.</w:t>
            </w:r>
          </w:p>
        </w:tc>
        <w:tc>
          <w:tcPr>
            <w:tcW w:type="dxa" w:w="3902"/>
          </w:tcPr>
          <w:p>
            <w:pPr>
              <w:spacing w:after="100"/>
            </w:pPr>
            <w:r>
              <w:rPr>
                <w:sz w:val="18"/>
              </w:rPr>
              <w:t>Edge/service owners retain policy and session timestamps and resulting probes.</w:t>
            </w:r>
          </w:p>
        </w:tc>
      </w:tr>
      <w:tr>
        <w:trPr>
          <w:cantSplit/>
        </w:trPr>
        <w:tc>
          <w:tcPr>
            <w:tcW w:type="dxa" w:w="2117"/>
          </w:tcPr>
          <w:p>
            <w:pPr>
              <w:spacing w:after="100"/>
            </w:pPr>
            <w:r>
              <w:rPr>
                <w:sz w:val="18"/>
              </w:rPr>
              <w:t>A tenant retires while backups remain held</w:t>
            </w:r>
          </w:p>
        </w:tc>
        <w:tc>
          <w:tcPr>
            <w:tcW w:type="dxa" w:w="3557"/>
          </w:tcPr>
          <w:p>
            <w:pPr>
              <w:spacing w:after="100"/>
            </w:pPr>
            <w:r>
              <w:rPr>
                <w:sz w:val="18"/>
              </w:rPr>
              <w:t>Remove live reachability and grants; preserve authorized retained-data and key custody.</w:t>
            </w:r>
          </w:p>
        </w:tc>
        <w:tc>
          <w:tcPr>
            <w:tcW w:type="dxa" w:w="3902"/>
          </w:tcPr>
          <w:p>
            <w:pPr>
              <w:spacing w:after="100"/>
            </w:pPr>
            <w:r>
              <w:rPr>
                <w:sz w:val="18"/>
              </w:rPr>
              <w:t>Data/protection owners account for every retained copy, disposition and required recovery access.</w:t>
            </w:r>
          </w:p>
        </w:tc>
      </w:tr>
    </w:tbl>
    <w:p>
      <w:pPr>
        <w:spacing w:after="20"/>
      </w:pPr>
    </w:p>
    <w:p>
      <w:r>
        <w:rPr>
          <w:sz w:val="18"/>
        </w:rPr>
        <w:t xml:space="preserve">Related documents: </w:t>
      </w:r>
      <w:hyperlink r:id="rId16" w:anchor="V14_SVC_START">
        <w:r>
          <w:rPr>
            <w:rStyle w:val="Hyperlink"/>
          </w:rPr>
          <w:t>SVC — Recovery and failback</w:t>
        </w:r>
      </w:hyperlink>
      <w:r>
        <w:rPr>
          <w:sz w:val="18"/>
        </w:rPr>
        <w:t xml:space="preserve">  |  </w:t>
      </w:r>
      <w:hyperlink r:id="rId17" w:anchor="V14_PROV_START">
        <w:r>
          <w:rPr>
            <w:rStyle w:val="Hyperlink"/>
          </w:rPr>
          <w:t>PROV — Interrupted operations</w:t>
        </w:r>
      </w:hyperlink>
      <w:r>
        <w:rPr>
          <w:sz w:val="18"/>
        </w:rPr>
        <w:t xml:space="preserve">  |  </w:t>
      </w:r>
      <w:hyperlink r:id="rId13" w:anchor="V14_QUAL_START">
        <w:r>
          <w:rPr>
            <w:rStyle w:val="Hyperlink"/>
          </w:rPr>
          <w:t>QUAL — Observed acceptance</w:t>
        </w:r>
      </w:hyperlink>
    </w:p>
    <w:p>
      <w:r>
        <w:br w:type="page"/>
      </w:r>
    </w:p>
    <w:p>
      <w:bookmarkStart w:id="14" w:name="WD14_S13"/>
      <w:pPr>
        <w:pStyle w:val="Heading1"/>
      </w:pPr>
      <w:r>
        <w:t>13. Verification assertions and actual evidence</w:t>
      </w:r>
      <w:bookmarkEnd w:id="14"/>
    </w:p>
    <w:p>
      <w:r>
        <w:t>The assertion IDs below are additions to the architecture verification plan, not renamed or pre-passed CT tests. The inherited 80 CT procedures and 12 realization addenda remain unchanged as historical specifications and remain not-run in this release. Applicability and actual evidence must be recorded for the selected topology.</w:t>
      </w:r>
    </w:p>
    <w:p>
      <w:r>
        <w:t>For a denied-path test, demonstrate healthy endpoints and a permitted control path. For a routing claim, compare both intended routing and actual forwarding/enforcement. For a recovery claim, validate useful recovered data and all necessary trust dependencies. A successful Terraform process verifies none of these by itself.</w:t>
      </w:r>
    </w:p>
    <w:p>
      <w:r>
        <w:t>Record each result as passed, failed, blocked, not run, or not applicable with its approved rationale. The evidence names the exact component tuple, topology, observed state, time, owner, procedure and artifact. No support declaration, example address or architecture diagram supplies an observed result.</w:t>
      </w:r>
    </w:p>
    <w:tbl>
      <w:tblPr>
        <w:tblStyle w:val="LightShading-Accent1"/>
        <w:tblW w:type="auto" w:w="0"/>
        <w:tblLayout w:type="fixed"/>
        <w:tblLook w:firstColumn="1" w:firstRow="1" w:lastColumn="0" w:lastRow="0" w:noHBand="0" w:noVBand="1" w:val="04A0"/>
      </w:tblPr>
      <w:tblGrid>
        <w:gridCol w:w="3235"/>
        <w:gridCol w:w="3235"/>
        <w:gridCol w:w="3235"/>
      </w:tblGrid>
      <w:tr>
        <w:trPr>
          <w:tblHeader w:val="true"/>
          <w:cantSplit/>
        </w:trPr>
        <w:tc>
          <w:tcPr>
            <w:tcW w:type="dxa" w:w="2117"/>
          </w:tcPr>
          <w:p>
            <w:pPr>
              <w:spacing w:after="100"/>
            </w:pPr>
            <w:r>
              <w:rPr>
                <w:b/>
                <w:sz w:val="18"/>
              </w:rPr>
              <w:t>Assertion</w:t>
            </w:r>
          </w:p>
        </w:tc>
        <w:tc>
          <w:tcPr>
            <w:tcW w:type="dxa" w:w="3557"/>
          </w:tcPr>
          <w:p>
            <w:pPr>
              <w:spacing w:after="100"/>
            </w:pPr>
            <w:r>
              <w:rPr>
                <w:b/>
                <w:sz w:val="18"/>
              </w:rPr>
              <w:t>Required observation</w:t>
            </w:r>
          </w:p>
        </w:tc>
        <w:tc>
          <w:tcPr>
            <w:tcW w:type="dxa" w:w="3902"/>
          </w:tcPr>
          <w:p>
            <w:pPr>
              <w:spacing w:after="100"/>
            </w:pPr>
            <w:r>
              <w:rPr>
                <w:b/>
                <w:sz w:val="18"/>
              </w:rPr>
              <w:t>Existing procedure families / status</w:t>
            </w:r>
          </w:p>
        </w:tc>
      </w:tr>
      <w:tr>
        <w:trPr>
          <w:cantSplit/>
        </w:trPr>
        <w:tc>
          <w:tcPr>
            <w:tcW w:type="dxa" w:w="2117"/>
          </w:tcPr>
          <w:p>
            <w:pPr>
              <w:spacing w:after="100"/>
            </w:pPr>
            <w:r>
              <w:rPr>
                <w:sz w:val="18"/>
              </w:rPr>
              <w:t>W14-01 / routing completeness</w:t>
            </w:r>
          </w:p>
        </w:tc>
        <w:tc>
          <w:tcPr>
            <w:tcW w:type="dxa" w:w="3557"/>
          </w:tcPr>
          <w:p>
            <w:pPr>
              <w:spacing w:after="100"/>
            </w:pPr>
            <w:r>
              <w:rPr>
                <w:sz w:val="18"/>
              </w:rPr>
              <w:t>Every domain, edge, service next hop and return path matches the approved schedule.</w:t>
            </w:r>
          </w:p>
        </w:tc>
        <w:tc>
          <w:tcPr>
            <w:tcW w:type="dxa" w:w="3902"/>
          </w:tcPr>
          <w:p>
            <w:pPr>
              <w:spacing w:after="100"/>
            </w:pPr>
            <w:r>
              <w:rPr>
                <w:sz w:val="18"/>
              </w:rPr>
              <w:t>CT-003, CT-009, CT-023, CT-024 / NOT RUN</w:t>
            </w:r>
          </w:p>
        </w:tc>
      </w:tr>
      <w:tr>
        <w:trPr>
          <w:cantSplit/>
        </w:trPr>
        <w:tc>
          <w:tcPr>
            <w:tcW w:type="dxa" w:w="2117"/>
          </w:tcPr>
          <w:p>
            <w:pPr>
              <w:spacing w:after="100"/>
            </w:pPr>
            <w:r>
              <w:rPr>
                <w:sz w:val="18"/>
              </w:rPr>
              <w:t>W14-02 / service isolation</w:t>
            </w:r>
          </w:p>
        </w:tc>
        <w:tc>
          <w:tcPr>
            <w:tcW w:type="dxa" w:w="3557"/>
          </w:tcPr>
          <w:p>
            <w:pPr>
              <w:spacing w:after="100"/>
            </w:pPr>
            <w:r>
              <w:rPr>
                <w:sz w:val="18"/>
              </w:rPr>
              <w:t>Only named service endpoints and authorized resource scope are reachable; router/admin and other tenant targets deny.</w:t>
            </w:r>
          </w:p>
        </w:tc>
        <w:tc>
          <w:tcPr>
            <w:tcW w:type="dxa" w:w="3902"/>
          </w:tcPr>
          <w:p>
            <w:pPr>
              <w:spacing w:after="100"/>
            </w:pPr>
            <w:r>
              <w:rPr>
                <w:sz w:val="18"/>
              </w:rPr>
              <w:t>CT-004, CT-008, CT-037 / NOT RUN</w:t>
            </w:r>
          </w:p>
        </w:tc>
      </w:tr>
      <w:tr>
        <w:trPr>
          <w:cantSplit/>
        </w:trPr>
        <w:tc>
          <w:tcPr>
            <w:tcW w:type="dxa" w:w="2117"/>
          </w:tcPr>
          <w:p>
            <w:pPr>
              <w:spacing w:after="100"/>
            </w:pPr>
            <w:r>
              <w:rPr>
                <w:sz w:val="18"/>
              </w:rPr>
              <w:t>W14-03 / mandatory policy authority</w:t>
            </w:r>
          </w:p>
        </w:tc>
        <w:tc>
          <w:tcPr>
            <w:tcW w:type="dxa" w:w="3557"/>
          </w:tcPr>
          <w:p>
            <w:pPr>
              <w:spacing w:after="100"/>
            </w:pPr>
            <w:r>
              <w:rPr>
                <w:sz w:val="18"/>
              </w:rPr>
              <w:t>Tenant roles cannot attach a permissive group, disable port security or create an alternative native path.</w:t>
            </w:r>
          </w:p>
        </w:tc>
        <w:tc>
          <w:tcPr>
            <w:tcW w:type="dxa" w:w="3902"/>
          </w:tcPr>
          <w:p>
            <w:pPr>
              <w:spacing w:after="100"/>
            </w:pPr>
            <w:r>
              <w:rPr>
                <w:sz w:val="18"/>
              </w:rPr>
              <w:t>CT-019, CT-020, CT-022, CT-066 / NOT RUN</w:t>
            </w:r>
          </w:p>
        </w:tc>
      </w:tr>
      <w:tr>
        <w:trPr>
          <w:cantSplit/>
        </w:trPr>
        <w:tc>
          <w:tcPr>
            <w:tcW w:type="dxa" w:w="2117"/>
          </w:tcPr>
          <w:p>
            <w:pPr>
              <w:spacing w:after="100"/>
            </w:pPr>
            <w:r>
              <w:rPr>
                <w:sz w:val="18"/>
              </w:rPr>
              <w:t>W14-04 / family completeness</w:t>
            </w:r>
          </w:p>
        </w:tc>
        <w:tc>
          <w:tcPr>
            <w:tcW w:type="dxa" w:w="3557"/>
          </w:tcPr>
          <w:p>
            <w:pPr>
              <w:spacing w:after="100"/>
            </w:pPr>
            <w:r>
              <w:rPr>
                <w:sz w:val="18"/>
              </w:rPr>
              <w:t>Each offered address family has working allocation, routes, service replies, local controls and recovery.</w:t>
            </w:r>
          </w:p>
        </w:tc>
        <w:tc>
          <w:tcPr>
            <w:tcW w:type="dxa" w:w="3902"/>
          </w:tcPr>
          <w:p>
            <w:pPr>
              <w:spacing w:after="100"/>
            </w:pPr>
            <w:r>
              <w:rPr>
                <w:sz w:val="18"/>
              </w:rPr>
              <w:t>CT-002, CT-031, CT-032 / NOT RUN</w:t>
            </w:r>
          </w:p>
        </w:tc>
      </w:tr>
      <w:tr>
        <w:trPr>
          <w:cantSplit/>
        </w:trPr>
        <w:tc>
          <w:tcPr>
            <w:tcW w:type="dxa" w:w="2117"/>
          </w:tcPr>
          <w:p>
            <w:pPr>
              <w:spacing w:after="100"/>
            </w:pPr>
            <w:r>
              <w:rPr>
                <w:sz w:val="18"/>
              </w:rPr>
              <w:t>W14-05 / DNS completeness</w:t>
            </w:r>
          </w:p>
        </w:tc>
        <w:tc>
          <w:tcPr>
            <w:tcW w:type="dxa" w:w="3557"/>
          </w:tcPr>
          <w:p>
            <w:pPr>
              <w:spacing w:after="100"/>
            </w:pPr>
            <w:r>
              <w:rPr>
                <w:sz w:val="18"/>
              </w:rPr>
              <w:t>UDP, direct TCP and truncation/fallback work only against approved resolvers.</w:t>
            </w:r>
          </w:p>
        </w:tc>
        <w:tc>
          <w:tcPr>
            <w:tcW w:type="dxa" w:w="3902"/>
          </w:tcPr>
          <w:p>
            <w:pPr>
              <w:spacing w:after="100"/>
            </w:pPr>
            <w:r>
              <w:rPr>
                <w:sz w:val="18"/>
              </w:rPr>
              <w:t>CT-008 plus explicit protocol observations / NOT RUN</w:t>
            </w:r>
          </w:p>
        </w:tc>
      </w:tr>
      <w:tr>
        <w:trPr>
          <w:cantSplit/>
        </w:trPr>
        <w:tc>
          <w:tcPr>
            <w:tcW w:type="dxa" w:w="2117"/>
          </w:tcPr>
          <w:p>
            <w:pPr>
              <w:spacing w:after="100"/>
            </w:pPr>
            <w:r>
              <w:rPr>
                <w:sz w:val="18"/>
              </w:rPr>
              <w:t>W14-06 / intra-domain fixture</w:t>
            </w:r>
          </w:p>
        </w:tc>
        <w:tc>
          <w:tcPr>
            <w:tcW w:type="dxa" w:w="3557"/>
          </w:tcPr>
          <w:p>
            <w:pPr>
              <w:spacing w:after="100"/>
            </w:pPr>
            <w:r>
              <w:rPr>
                <w:sz w:val="18"/>
              </w:rPr>
              <w:t>Temporary probe verifies same-host and cross-host controls where that placement is approved.</w:t>
            </w:r>
          </w:p>
        </w:tc>
        <w:tc>
          <w:tcPr>
            <w:tcW w:type="dxa" w:w="3902"/>
          </w:tcPr>
          <w:p>
            <w:pPr>
              <w:spacing w:after="100"/>
            </w:pPr>
            <w:r>
              <w:rPr>
                <w:sz w:val="18"/>
              </w:rPr>
              <w:t>CT-021, CT-035 / NOT RUN</w:t>
            </w:r>
          </w:p>
        </w:tc>
      </w:tr>
      <w:tr>
        <w:trPr>
          <w:cantSplit/>
        </w:trPr>
        <w:tc>
          <w:tcPr>
            <w:tcW w:type="dxa" w:w="2117"/>
          </w:tcPr>
          <w:p>
            <w:pPr>
              <w:spacing w:after="100"/>
            </w:pPr>
            <w:r>
              <w:rPr>
                <w:sz w:val="18"/>
              </w:rPr>
              <w:t>W14-07 / admission accounting</w:t>
            </w:r>
          </w:p>
        </w:tc>
        <w:tc>
          <w:tcPr>
            <w:tcW w:type="dxa" w:w="3557"/>
          </w:tcPr>
          <w:p>
            <w:pPr>
              <w:spacing w:after="100"/>
            </w:pPr>
            <w:r>
              <w:rPr>
                <w:sz w:val="18"/>
              </w:rPr>
              <w:t>Compute, data, context, service and edge commitments fit the same accepted failure basis.</w:t>
            </w:r>
          </w:p>
        </w:tc>
        <w:tc>
          <w:tcPr>
            <w:tcW w:type="dxa" w:w="3902"/>
          </w:tcPr>
          <w:p>
            <w:pPr>
              <w:spacing w:after="100"/>
            </w:pPr>
            <w:r>
              <w:rPr>
                <w:sz w:val="18"/>
              </w:rPr>
              <w:t>CT-039, CT-056, CT-074 / NOT RUN</w:t>
            </w:r>
          </w:p>
        </w:tc>
      </w:tr>
      <w:tr>
        <w:trPr>
          <w:cantSplit/>
        </w:trPr>
        <w:tc>
          <w:tcPr>
            <w:tcW w:type="dxa" w:w="2117"/>
          </w:tcPr>
          <w:p>
            <w:pPr>
              <w:spacing w:after="100"/>
            </w:pPr>
            <w:r>
              <w:rPr>
                <w:sz w:val="18"/>
              </w:rPr>
              <w:t>W14-08 / lost executor</w:t>
            </w:r>
          </w:p>
        </w:tc>
        <w:tc>
          <w:tcPr>
            <w:tcW w:type="dxa" w:w="3557"/>
          </w:tcPr>
          <w:p>
            <w:pPr>
              <w:spacing w:after="100"/>
            </w:pPr>
            <w:r>
              <w:rPr>
                <w:sz w:val="18"/>
              </w:rPr>
              <w:t>Accepted native tasks and side effects are discovered; no duplicate allocation or competing writer appears.</w:t>
            </w:r>
          </w:p>
        </w:tc>
        <w:tc>
          <w:tcPr>
            <w:tcW w:type="dxa" w:w="3902"/>
          </w:tcPr>
          <w:p>
            <w:pPr>
              <w:spacing w:after="100"/>
            </w:pPr>
            <w:r>
              <w:rPr>
                <w:sz w:val="18"/>
              </w:rPr>
              <w:t>CT-044, CT-045, CT-046 / NOT RUN</w:t>
            </w:r>
          </w:p>
        </w:tc>
      </w:tr>
      <w:tr>
        <w:trPr>
          <w:cantSplit/>
        </w:trPr>
        <w:tc>
          <w:tcPr>
            <w:tcW w:type="dxa" w:w="2117"/>
          </w:tcPr>
          <w:p>
            <w:pPr>
              <w:spacing w:after="100"/>
            </w:pPr>
            <w:r>
              <w:rPr>
                <w:sz w:val="18"/>
              </w:rPr>
              <w:t>W14-09 / activation dependencies</w:t>
            </w:r>
          </w:p>
        </w:tc>
        <w:tc>
          <w:tcPr>
            <w:tcW w:type="dxa" w:w="3557"/>
          </w:tcPr>
          <w:p>
            <w:pPr>
              <w:spacing w:after="100"/>
            </w:pPr>
            <w:r>
              <w:rPr>
                <w:sz w:val="18"/>
              </w:rPr>
              <w:t>Production activation rejects missing applicable operating or promised recovery readiness.</w:t>
            </w:r>
          </w:p>
        </w:tc>
        <w:tc>
          <w:tcPr>
            <w:tcW w:type="dxa" w:w="3902"/>
          </w:tcPr>
          <w:p>
            <w:pPr>
              <w:spacing w:after="100"/>
            </w:pPr>
            <w:r>
              <w:rPr>
                <w:sz w:val="18"/>
              </w:rPr>
              <w:t>CT-062, CT-069 plus G3/G4 review / NOT RUN</w:t>
            </w:r>
          </w:p>
        </w:tc>
      </w:tr>
      <w:tr>
        <w:trPr>
          <w:cantSplit/>
        </w:trPr>
        <w:tc>
          <w:tcPr>
            <w:tcW w:type="dxa" w:w="2117"/>
          </w:tcPr>
          <w:p>
            <w:pPr>
              <w:spacing w:after="100"/>
            </w:pPr>
            <w:r>
              <w:rPr>
                <w:sz w:val="18"/>
              </w:rPr>
              <w:t>W14-10 / shared-service failure</w:t>
            </w:r>
          </w:p>
        </w:tc>
        <w:tc>
          <w:tcPr>
            <w:tcW w:type="dxa" w:w="3557"/>
          </w:tcPr>
          <w:p>
            <w:pPr>
              <w:spacing w:after="100"/>
            </w:pPr>
            <w:r>
              <w:rPr>
                <w:sz w:val="18"/>
              </w:rPr>
              <w:t>Permitted and denied paths retain the selected policy and declared service behavior during approved failure.</w:t>
            </w:r>
          </w:p>
        </w:tc>
        <w:tc>
          <w:tcPr>
            <w:tcW w:type="dxa" w:w="3902"/>
          </w:tcPr>
          <w:p>
            <w:pPr>
              <w:spacing w:after="100"/>
            </w:pPr>
            <w:r>
              <w:rPr>
                <w:sz w:val="18"/>
              </w:rPr>
              <w:t>CT-011, CT-012, CT-024, CT-050 / NOT RUN</w:t>
            </w:r>
          </w:p>
        </w:tc>
      </w:tr>
      <w:tr>
        <w:trPr>
          <w:cantSplit/>
        </w:trPr>
        <w:tc>
          <w:tcPr>
            <w:tcW w:type="dxa" w:w="2117"/>
          </w:tcPr>
          <w:p>
            <w:pPr>
              <w:spacing w:after="100"/>
            </w:pPr>
            <w:r>
              <w:rPr>
                <w:sz w:val="18"/>
              </w:rPr>
              <w:t>W14-11 / retained recovery</w:t>
            </w:r>
          </w:p>
        </w:tc>
        <w:tc>
          <w:tcPr>
            <w:tcW w:type="dxa" w:w="3557"/>
          </w:tcPr>
          <w:p>
            <w:pPr>
              <w:spacing w:after="100"/>
            </w:pPr>
            <w:r>
              <w:rPr>
                <w:sz w:val="18"/>
              </w:rPr>
              <w:t>Required copy, catalogue and key access survive live WSD retirement; unauthorized destruction denies.</w:t>
            </w:r>
          </w:p>
        </w:tc>
        <w:tc>
          <w:tcPr>
            <w:tcW w:type="dxa" w:w="3902"/>
          </w:tcPr>
          <w:p>
            <w:pPr>
              <w:spacing w:after="100"/>
            </w:pPr>
            <w:r>
              <w:rPr>
                <w:sz w:val="18"/>
              </w:rPr>
              <w:t>CT-051, CT-052, CT-053, CT-078 / NOT RUN</w:t>
            </w:r>
          </w:p>
        </w:tc>
      </w:tr>
      <w:tr>
        <w:trPr>
          <w:cantSplit/>
        </w:trPr>
        <w:tc>
          <w:tcPr>
            <w:tcW w:type="dxa" w:w="2117"/>
          </w:tcPr>
          <w:p>
            <w:pPr>
              <w:spacing w:after="100"/>
            </w:pPr>
            <w:r>
              <w:rPr>
                <w:sz w:val="18"/>
              </w:rPr>
              <w:t>W14-12 / second-stack outcome</w:t>
            </w:r>
          </w:p>
        </w:tc>
        <w:tc>
          <w:tcPr>
            <w:tcW w:type="dxa" w:w="3557"/>
          </w:tcPr>
          <w:p>
            <w:pPr>
              <w:spacing w:after="100"/>
            </w:pPr>
            <w:r>
              <w:rPr>
                <w:sz w:val="18"/>
              </w:rPr>
              <w:t>Repeat the declared environment and representative data recovery on a second eligible stack.</w:t>
            </w:r>
          </w:p>
        </w:tc>
        <w:tc>
          <w:tcPr>
            <w:tcW w:type="dxa" w:w="3902"/>
          </w:tcPr>
          <w:p>
            <w:pPr>
              <w:spacing w:after="100"/>
            </w:pPr>
            <w:r>
              <w:rPr>
                <w:sz w:val="18"/>
              </w:rPr>
              <w:t>CT-016, CT-060, CT-073 / NOT RUN</w:t>
            </w:r>
          </w:p>
        </w:tc>
      </w:tr>
    </w:tbl>
    <w:p>
      <w:pPr>
        <w:spacing w:after="20"/>
      </w:pPr>
    </w:p>
    <w:p>
      <w:r>
        <w:rPr>
          <w:sz w:val="18"/>
        </w:rPr>
        <w:t xml:space="preserve">Related documents: </w:t>
      </w:r>
      <w:hyperlink r:id="rId13" w:anchor="V14_QUAL_START">
        <w:r>
          <w:rPr>
            <w:rStyle w:val="Hyperlink"/>
          </w:rPr>
          <w:t>QUAL — Applicability and observed results</w:t>
        </w:r>
      </w:hyperlink>
      <w:r>
        <w:rPr>
          <w:sz w:val="18"/>
        </w:rPr>
        <w:t xml:space="preserve">  |  </w:t>
      </w:r>
      <w:hyperlink r:id="rId12" w:anchor="V14_GM_START">
        <w:r>
          <w:rPr>
            <w:rStyle w:val="Hyperlink"/>
          </w:rPr>
          <w:t>GM — Open evidence and decisions</w:t>
        </w:r>
      </w:hyperlink>
    </w:p>
    <w:p>
      <w:r>
        <w:br w:type="page"/>
      </w:r>
    </w:p>
    <w:p>
      <w:bookmarkStart w:id="15" w:name="WD14_S14"/>
      <w:pPr>
        <w:pStyle w:val="Heading1"/>
      </w:pPr>
      <w:r>
        <w:t>14. Remaining decisions and release boundaries</w:t>
      </w:r>
      <w:bookmarkEnd w:id="15"/>
    </w:p>
    <w:p>
      <w:r>
        <w:t>This book resolves the missing worked connection between the guides and clarifies the acceptance dependency. It does not select a user's actual switch models, rack counts, firewall platform, installed versions, licensing, site addresses, service targets or cryptographic configuration. Those are actual implementation decisions, not documentation defects that can be closed by making up values.</w:t>
      </w:r>
    </w:p>
    <w:p>
      <w:r>
        <w:t>Before commissioning this particular reference realization, the responsible owners must accept the native gateway/handoff mechanism, EC/SE context implementation, service-side return routing, supported protocol families, provider policy authority, co-residency, actual capacity and independent protection/trust dependencies. A product limitation may require a different qualified realization; record the variation at the parent architecture boundary.</w:t>
      </w:r>
    </w:p>
    <w:p>
      <w:r>
        <w:t>The v1.4 change register distinguishes documentation addressed, proposed reference choice, site decision open, implementation not delivered, and verification not run. A statement that the documentation treatment exists is not a statement that the architecture has been deployed or authorized.</w:t>
      </w:r>
    </w:p>
    <w:tbl>
      <w:tblPr>
        <w:tblStyle w:val="LightShading-Accent1"/>
        <w:tblW w:type="auto" w:w="0"/>
        <w:tblLayout w:type="fixed"/>
        <w:tblLook w:firstColumn="1" w:firstRow="1" w:lastColumn="0" w:lastRow="0" w:noHBand="0" w:noVBand="1" w:val="04A0"/>
      </w:tblPr>
      <w:tblGrid>
        <w:gridCol w:w="3235"/>
        <w:gridCol w:w="3235"/>
        <w:gridCol w:w="3235"/>
      </w:tblGrid>
      <w:tr>
        <w:trPr>
          <w:tblHeader w:val="true"/>
          <w:cantSplit/>
        </w:trPr>
        <w:tc>
          <w:tcPr>
            <w:tcW w:type="dxa" w:w="2117"/>
          </w:tcPr>
          <w:p>
            <w:pPr>
              <w:spacing w:after="100"/>
            </w:pPr>
            <w:r>
              <w:rPr>
                <w:b/>
                <w:sz w:val="18"/>
              </w:rPr>
              <w:t>Open decision</w:t>
            </w:r>
          </w:p>
        </w:tc>
        <w:tc>
          <w:tcPr>
            <w:tcW w:type="dxa" w:w="3557"/>
          </w:tcPr>
          <w:p>
            <w:pPr>
              <w:spacing w:after="100"/>
            </w:pPr>
            <w:r>
              <w:rPr>
                <w:b/>
                <w:sz w:val="18"/>
              </w:rPr>
              <w:t>Record to complete</w:t>
            </w:r>
          </w:p>
        </w:tc>
        <w:tc>
          <w:tcPr>
            <w:tcW w:type="dxa" w:w="3902"/>
          </w:tcPr>
          <w:p>
            <w:pPr>
              <w:spacing w:after="100"/>
            </w:pPr>
            <w:r>
              <w:rPr>
                <w:b/>
                <w:sz w:val="18"/>
              </w:rPr>
              <w:t>Blocking point</w:t>
            </w:r>
          </w:p>
        </w:tc>
      </w:tr>
      <w:tr>
        <w:trPr>
          <w:cantSplit/>
        </w:trPr>
        <w:tc>
          <w:tcPr>
            <w:tcW w:type="dxa" w:w="2117"/>
          </w:tcPr>
          <w:p>
            <w:pPr>
              <w:spacing w:after="100"/>
            </w:pPr>
            <w:r>
              <w:rPr>
                <w:sz w:val="18"/>
              </w:rPr>
              <w:t>Native domain and service handoff support</w:t>
            </w:r>
          </w:p>
        </w:tc>
        <w:tc>
          <w:tcPr>
            <w:tcW w:type="dxa" w:w="3557"/>
          </w:tcPr>
          <w:p>
            <w:pPr>
              <w:spacing w:after="100"/>
            </w:pPr>
            <w:r>
              <w:rPr>
                <w:sz w:val="18"/>
              </w:rPr>
              <w:t>Exact component/API/provider/installer tuple, enabled features and actual context/interface mapping.</w:t>
            </w:r>
          </w:p>
        </w:tc>
        <w:tc>
          <w:tcPr>
            <w:tcW w:type="dxa" w:w="3902"/>
          </w:tcPr>
          <w:p>
            <w:pPr>
              <w:spacing w:after="100"/>
            </w:pPr>
            <w:r>
              <w:rPr>
                <w:sz w:val="18"/>
              </w:rPr>
              <w:t>Platform/service qualification.</w:t>
            </w:r>
          </w:p>
        </w:tc>
      </w:tr>
      <w:tr>
        <w:trPr>
          <w:cantSplit/>
        </w:trPr>
        <w:tc>
          <w:tcPr>
            <w:tcW w:type="dxa" w:w="2117"/>
          </w:tcPr>
          <w:p>
            <w:pPr>
              <w:spacing w:after="100"/>
            </w:pPr>
            <w:r>
              <w:rPr>
                <w:sz w:val="18"/>
              </w:rPr>
              <w:t>Service frontends and return routing</w:t>
            </w:r>
          </w:p>
        </w:tc>
        <w:tc>
          <w:tcPr>
            <w:tcW w:type="dxa" w:w="3557"/>
          </w:tcPr>
          <w:p>
            <w:pPr>
              <w:spacing w:after="100"/>
            </w:pPr>
            <w:r>
              <w:rPr>
                <w:sz w:val="18"/>
              </w:rPr>
              <w:t>Supported endpoint routing, tenant authorization, management segregation and failure behavior.</w:t>
            </w:r>
          </w:p>
        </w:tc>
        <w:tc>
          <w:tcPr>
            <w:tcW w:type="dxa" w:w="3902"/>
          </w:tcPr>
          <w:p>
            <w:pPr>
              <w:spacing w:after="100"/>
            </w:pPr>
            <w:r>
              <w:rPr>
                <w:sz w:val="18"/>
              </w:rPr>
              <w:t>Shared-service acceptance and dependent activation.</w:t>
            </w:r>
          </w:p>
        </w:tc>
      </w:tr>
      <w:tr>
        <w:trPr>
          <w:cantSplit/>
        </w:trPr>
        <w:tc>
          <w:tcPr>
            <w:tcW w:type="dxa" w:w="2117"/>
          </w:tcPr>
          <w:p>
            <w:pPr>
              <w:spacing w:after="100"/>
            </w:pPr>
            <w:r>
              <w:rPr>
                <w:sz w:val="18"/>
              </w:rPr>
              <w:t>Offered families and protocol profiles</w:t>
            </w:r>
          </w:p>
        </w:tc>
        <w:tc>
          <w:tcPr>
            <w:tcW w:type="dxa" w:w="3557"/>
          </w:tcPr>
          <w:p>
            <w:pPr>
              <w:spacing w:after="100"/>
            </w:pPr>
            <w:r>
              <w:rPr>
                <w:sz w:val="18"/>
              </w:rPr>
              <w:t>Actual addresses, source/target identities, local controls, crypto and service configuration.</w:t>
            </w:r>
          </w:p>
        </w:tc>
        <w:tc>
          <w:tcPr>
            <w:tcW w:type="dxa" w:w="3902"/>
          </w:tcPr>
          <w:p>
            <w:pPr>
              <w:spacing w:after="100"/>
            </w:pPr>
            <w:r>
              <w:rPr>
                <w:sz w:val="18"/>
              </w:rPr>
              <w:t>Advertising the service class.</w:t>
            </w:r>
          </w:p>
        </w:tc>
      </w:tr>
      <w:tr>
        <w:trPr>
          <w:cantSplit/>
        </w:trPr>
        <w:tc>
          <w:tcPr>
            <w:tcW w:type="dxa" w:w="2117"/>
          </w:tcPr>
          <w:p>
            <w:pPr>
              <w:spacing w:after="100"/>
            </w:pPr>
            <w:r>
              <w:rPr>
                <w:sz w:val="18"/>
              </w:rPr>
              <w:t>Co-residency and physical failure scope</w:t>
            </w:r>
          </w:p>
        </w:tc>
        <w:tc>
          <w:tcPr>
            <w:tcW w:type="dxa" w:w="3557"/>
          </w:tcPr>
          <w:p>
            <w:pPr>
              <w:spacing w:after="100"/>
            </w:pPr>
            <w:r>
              <w:rPr>
                <w:sz w:val="18"/>
              </w:rPr>
              <w:t>Actual hosts, controllers, media, racks, edge and trust dependencies with approved sharing.</w:t>
            </w:r>
          </w:p>
        </w:tc>
        <w:tc>
          <w:tcPr>
            <w:tcW w:type="dxa" w:w="3902"/>
          </w:tcPr>
          <w:p>
            <w:pPr>
              <w:spacing w:after="100"/>
            </w:pPr>
            <w:r>
              <w:rPr>
                <w:sz w:val="18"/>
              </w:rPr>
              <w:t>Relevant design and capacity acceptance.</w:t>
            </w:r>
          </w:p>
        </w:tc>
      </w:tr>
      <w:tr>
        <w:trPr>
          <w:cantSplit/>
        </w:trPr>
        <w:tc>
          <w:tcPr>
            <w:tcW w:type="dxa" w:w="2117"/>
          </w:tcPr>
          <w:p>
            <w:pPr>
              <w:spacing w:after="100"/>
            </w:pPr>
            <w:r>
              <w:rPr>
                <w:sz w:val="18"/>
              </w:rPr>
              <w:t>Production readiness</w:t>
            </w:r>
          </w:p>
        </w:tc>
        <w:tc>
          <w:tcPr>
            <w:tcW w:type="dxa" w:w="3557"/>
          </w:tcPr>
          <w:p>
            <w:pPr>
              <w:spacing w:after="100"/>
            </w:pPr>
            <w:r>
              <w:rPr>
                <w:sz w:val="18"/>
              </w:rPr>
              <w:t>Named owners, promised restore/recovery evidence, support, incident paths and valid authorization.</w:t>
            </w:r>
          </w:p>
        </w:tc>
        <w:tc>
          <w:tcPr>
            <w:tcW w:type="dxa" w:w="3902"/>
          </w:tcPr>
          <w:p>
            <w:pPr>
              <w:spacing w:after="100"/>
            </w:pPr>
            <w:r>
              <w:rPr>
                <w:sz w:val="18"/>
              </w:rPr>
              <w:t>Production G3; never deferred by calling it later G4 work.</w:t>
            </w:r>
          </w:p>
        </w:tc>
      </w:tr>
      <w:tr>
        <w:trPr>
          <w:cantSplit/>
        </w:trPr>
        <w:tc>
          <w:tcPr>
            <w:tcW w:type="dxa" w:w="2117"/>
          </w:tcPr>
          <w:p>
            <w:pPr>
              <w:spacing w:after="100"/>
            </w:pPr>
            <w:r>
              <w:rPr>
                <w:sz w:val="18"/>
              </w:rPr>
              <w:t>Live results</w:t>
            </w:r>
          </w:p>
        </w:tc>
        <w:tc>
          <w:tcPr>
            <w:tcW w:type="dxa" w:w="3557"/>
          </w:tcPr>
          <w:p>
            <w:pPr>
              <w:spacing w:after="100"/>
            </w:pPr>
            <w:r>
              <w:rPr>
                <w:sz w:val="18"/>
              </w:rPr>
              <w:t>Actual observations for every applicable assertion and retained CT procedure.</w:t>
            </w:r>
          </w:p>
        </w:tc>
        <w:tc>
          <w:tcPr>
            <w:tcW w:type="dxa" w:w="3902"/>
          </w:tcPr>
          <w:p>
            <w:pPr>
              <w:spacing w:after="100"/>
            </w:pPr>
            <w:r>
              <w:rPr>
                <w:sz w:val="18"/>
              </w:rPr>
              <w:t>Qualification or service acceptance, according to scope.</w:t>
            </w:r>
          </w:p>
        </w:tc>
      </w:tr>
    </w:tbl>
    <w:p>
      <w:pPr>
        <w:spacing w:after="20"/>
      </w:pPr>
    </w:p>
    <w:p>
      <w:r>
        <w:rPr>
          <w:sz w:val="18"/>
        </w:rPr>
        <w:t xml:space="preserve">Related documents: </w:t>
      </w:r>
      <w:hyperlink r:id="rId12" w:anchor="V14_GM_START">
        <w:r>
          <w:rPr>
            <w:rStyle w:val="Hyperlink"/>
          </w:rPr>
          <w:t>GM — Gap progress and actual site decisions</w:t>
        </w:r>
      </w:hyperlink>
      <w:r>
        <w:rPr>
          <w:sz w:val="18"/>
        </w:rPr>
        <w:t xml:space="preserve">  |  </w:t>
      </w:r>
      <w:hyperlink r:id="rId13" w:anchor="V14_QUAL_START">
        <w:r>
          <w:rPr>
            <w:rStyle w:val="Hyperlink"/>
          </w:rPr>
          <w:t>QUAL — Acceptance requirements</w:t>
        </w:r>
      </w:hyperlink>
    </w:p>
    <w:p>
      <w:r>
        <w:br w:type="page"/>
      </w:r>
    </w:p>
    <w:p>
      <w:bookmarkStart w:id="16" w:name="WD14_SOURCES"/>
      <w:pPr>
        <w:pStyle w:val="Heading1"/>
      </w:pPr>
      <w:r>
        <w:t>References and source status</w:t>
      </w:r>
      <w:bookmarkEnd w:id="16"/>
    </w:p>
    <w:p>
      <w:r>
        <w:t>The primary design lineage is the v1.3 library included as frozen build input. References below identify protocol or product mechanism context. They do not identify installed versions or certify a platform. The release source-review register records which external pages were successfully retrieved during the build; retrieval alone is not a substantive compatibility review.</w:t>
      </w:r>
    </w:p>
    <w:p>
      <w:r>
        <w:rPr>
          <w:sz w:val="18"/>
        </w:rPr>
        <w:t xml:space="preserve">Related documents: </w:t>
      </w:r>
      <w:hyperlink r:id="rId11" w:anchor="V14_RA_START">
        <w:r>
          <w:rPr>
            <w:rStyle w:val="Hyperlink"/>
          </w:rPr>
          <w:t>RA — Parent source register</w:t>
        </w:r>
      </w:hyperlink>
      <w:r>
        <w:rPr>
          <w:sz w:val="18"/>
        </w:rPr>
        <w:t xml:space="preserve">  |  </w:t>
      </w:r>
      <w:hyperlink r:id="rId15" w:anchor="V14_VND_START">
        <w:r>
          <w:rPr>
            <w:rStyle w:val="Hyperlink"/>
          </w:rPr>
          <w:t>VND — Vendor source and tuple limitations</w:t>
        </w:r>
      </w:hyperlink>
    </w:p>
    <w:p>
      <w:pPr>
        <w:pStyle w:val="Heading2"/>
      </w:pPr>
      <w:r>
        <w:t>R14-01 — RFC 5737 — IPv4 Address Blocks Reserved for Documentation</w:t>
      </w:r>
    </w:p>
    <w:p>
      <w:r>
        <w:t>Used only for the example address convention, not real allocations.</w:t>
      </w:r>
    </w:p>
    <w:p>
      <w:hyperlink r:id="rId18">
        <w:r>
          <w:rPr>
            <w:rStyle w:val="Hyperlink"/>
          </w:rPr>
          <w:t>Official source</w:t>
        </w:r>
      </w:hyperlink>
    </w:p>
    <w:p>
      <w:pPr>
        <w:pStyle w:val="Heading2"/>
      </w:pPr>
      <w:r>
        <w:t>R14-02 — RFC 3849 — IPv6 Address Prefix Reserved for Documentation</w:t>
      </w:r>
    </w:p>
    <w:p>
      <w:r>
        <w:t>2001:db8::/32 is the illustrative address convention.</w:t>
      </w:r>
    </w:p>
    <w:p>
      <w:hyperlink r:id="rId19">
        <w:r>
          <w:rPr>
            <w:rStyle w:val="Hyperlink"/>
          </w:rPr>
          <w:t>Official source</w:t>
        </w:r>
      </w:hyperlink>
    </w:p>
    <w:p>
      <w:pPr>
        <w:pStyle w:val="Heading2"/>
      </w:pPr>
      <w:r>
        <w:t>R14-03 — RFC 2606 — Reserved Top Level DNS Names</w:t>
      </w:r>
    </w:p>
    <w:p>
      <w:r>
        <w:t>The .example suffix denotes examples rather than operational name ownership.</w:t>
      </w:r>
    </w:p>
    <w:p>
      <w:hyperlink r:id="rId20">
        <w:r>
          <w:rPr>
            <w:rStyle w:val="Hyperlink"/>
          </w:rPr>
          <w:t>Official source</w:t>
        </w:r>
      </w:hyperlink>
    </w:p>
    <w:p>
      <w:pPr>
        <w:pStyle w:val="Heading2"/>
      </w:pPr>
      <w:r>
        <w:t>R14-04 — RFC 7766 — DNS Transport over TCP: Implementation Requirements</w:t>
      </w:r>
    </w:p>
    <w:p>
      <w:r>
        <w:t>General-purpose DNS TCP operation; the selected service still needs actual configuration and testing.</w:t>
      </w:r>
    </w:p>
    <w:p>
      <w:hyperlink r:id="rId21">
        <w:r>
          <w:rPr>
            <w:rStyle w:val="Hyperlink"/>
          </w:rPr>
          <w:t>Official source</w:t>
        </w:r>
      </w:hyperlink>
    </w:p>
    <w:p>
      <w:pPr>
        <w:pStyle w:val="Heading2"/>
      </w:pPr>
      <w:r>
        <w:t>R14-05 — OpenStack Neutron — Networking concepts and security groups</w:t>
      </w:r>
    </w:p>
    <w:p>
      <w:r>
        <w:t>Additive allow-policy and native defaults are mechanism context, not an installed-version support record.</w:t>
      </w:r>
    </w:p>
    <w:p>
      <w:hyperlink r:id="rId22">
        <w:r>
          <w:rPr>
            <w:rStyle w:val="Hyperlink"/>
          </w:rPr>
          <w:t>Official source</w:t>
        </w:r>
      </w:hyperlink>
    </w:p>
    <w:p>
      <w:pPr>
        <w:pStyle w:val="Heading2"/>
      </w:pPr>
      <w:r>
        <w:t>R14-06 — RFC 7348 — Virtual eXtensible Local Area Network</w:t>
      </w:r>
    </w:p>
    <w:p>
      <w:r>
        <w:t>Packet format informs the explicit illustrative MTU arithmetic; no universal Geneve or vendor overhead is claimed.</w:t>
      </w:r>
    </w:p>
    <w:p>
      <w:hyperlink r:id="rId23">
        <w:r>
          <w:rPr>
            <w:rStyle w:val="Hyperlink"/>
          </w:rPr>
          <w:t>Official source</w:t>
        </w:r>
      </w:hyperlink>
    </w:p>
    <w:p>
      <w:r>
        <w:t>All W14 and inherited infrastructure procedures are not-run. Local checks validate the example arithmetic and document structure only.</w:t>
      </w:r>
    </w:p>
    <w:sectPr w:rsidR="00FC693F" w:rsidRPr="0006063C" w:rsidSect="00034616">
      <w:headerReference w:type="default" r:id="rId9"/>
      <w:footerReference w:type="default" r:id="rId10"/>
      <w:pgSz w:w="12240" w:h="15840"/>
      <w:pgMar w:top="1037" w:right="1267" w:bottom="1008" w:left="12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Draft v1.4 · Proposed reference design  |  </w:t>
    </w:r>
    <w:r>
      <w:fldChar w:fldCharType="begin"/>
    </w:r>
    <w:r>
      <w:instrText xml:space="preserve"> PAGE </w:instrText>
    </w:r>
    <w:r>
      <w:fldChar w:fldCharType="separate"/>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526571"/>
        <w:sz w:val="16"/>
      </w:rPr>
      <w:t>PORTABLE MULTI-TENANT SECURE HOSTING  |  WD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4"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Aptos" w:hAnsi="Aptos"/>
      <w:b/>
      <w:bCs/>
      <w:color w:val="183B4B"/>
      <w:sz w:val="34"/>
      <w:szCs w:val="28"/>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ascii="Aptos" w:hAnsi="Aptos"/>
      <w:b/>
      <w:bCs/>
      <w:color w:val="183B4B"/>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40" w:line="240" w:lineRule="auto" w:before="240"/>
      <w:contextualSpacing/>
    </w:pPr>
    <w:rPr>
      <w:rFonts w:asciiTheme="majorHAnsi" w:eastAsiaTheme="majorEastAsia" w:hAnsiTheme="majorHAnsi" w:cstheme="majorBidi" w:ascii="Aptos" w:hAnsi="Aptos"/>
      <w:color w:val="183B4B"/>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40" w:after="140"/>
    </w:pPr>
    <w:rPr>
      <w:rFonts w:asciiTheme="majorHAnsi" w:eastAsiaTheme="majorEastAsia" w:hAnsiTheme="majorHAnsi" w:cstheme="majorBidi" w:ascii="Aptos" w:hAnsi="Aptos"/>
      <w:i/>
      <w:iCs/>
      <w:color w:val="183B4B"/>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00_Reference_Architecture_v1_4.docx" TargetMode="External"/><Relationship Id="rId12" Type="http://schemas.openxmlformats.org/officeDocument/2006/relationships/hyperlink" Target="01_Gap_Map_and_Decision_Register_v1_4.docx" TargetMode="External"/><Relationship Id="rId13" Type="http://schemas.openxmlformats.org/officeDocument/2006/relationships/hyperlink" Target="06_Site_Design_Qualification_and_Operations_v1_4.docx" TargetMode="External"/><Relationship Id="rId14" Type="http://schemas.openxmlformats.org/officeDocument/2006/relationships/hyperlink" Target="02_Fabric_Security_and_Interfaces_v1_4.docx" TargetMode="External"/><Relationship Id="rId15" Type="http://schemas.openxmlformats.org/officeDocument/2006/relationships/hyperlink" Target="03_Vendor_Stack_Realizations_v1_4.docx" TargetMode="External"/><Relationship Id="rId16" Type="http://schemas.openxmlformats.org/officeDocument/2006/relationships/hyperlink" Target="05_Shared_Services_Data_and_Recovery_v1_4.docx" TargetMode="External"/><Relationship Id="rId17" Type="http://schemas.openxmlformats.org/officeDocument/2006/relationships/hyperlink" Target="04_Provisioning_and_Commissioning_v1_4.docx" TargetMode="External"/><Relationship Id="rId18" Type="http://schemas.openxmlformats.org/officeDocument/2006/relationships/hyperlink" Target="https://www.rfc-editor.org/rfc/rfc5737" TargetMode="External"/><Relationship Id="rId19" Type="http://schemas.openxmlformats.org/officeDocument/2006/relationships/hyperlink" Target="https://www.rfc-editor.org/rfc/rfc3849" TargetMode="External"/><Relationship Id="rId20" Type="http://schemas.openxmlformats.org/officeDocument/2006/relationships/hyperlink" Target="https://www.rfc-editor.org/rfc/rfc2606" TargetMode="External"/><Relationship Id="rId21" Type="http://schemas.openxmlformats.org/officeDocument/2006/relationships/hyperlink" Target="https://www.rfc-editor.org/rfc/rfc7766" TargetMode="External"/><Relationship Id="rId22" Type="http://schemas.openxmlformats.org/officeDocument/2006/relationships/hyperlink" Target="https://docs.openstack.org/neutron/latest/admin/intro-os-networking.html" TargetMode="External"/><Relationship Id="rId23" Type="http://schemas.openxmlformats.org/officeDocument/2006/relationships/hyperlink" Target="https://www.rfc-editor.org/rfc/rfc734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Worked Infrastructure Design, Build Schedules and Acceptance — Draft v1.4</dc:title>
  <dc:subject>Portable Multi-Tenant Secure Hosting / WD supplement</dc:subject>
  <dc:creator>Architecture working draft</dc:creator>
  <cp:keywords/>
  <dc:description>generated by python-docx</dc:description>
  <cp:lastModifiedBy/>
  <cp:revision>1</cp:revision>
  <dcterms:created xsi:type="dcterms:W3CDTF">2013-12-23T23:15:00Z</dcterms:created>
  <dcterms:modified xsi:type="dcterms:W3CDTF">2013-12-23T23:15:00Z</dcterms:modified>
  <cp:category/>
</cp:coreProperties>
</file>