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B70"/>
        </w:rPr>
        <w:t>DELIVERY KIT  /  DEL</w:t>
      </w:r>
    </w:p>
    <w:p>
      <w:pPr>
        <w:pStyle w:val="Title"/>
      </w:pPr>
      <w:r>
        <w:t>Delivery Map and Acceptance Gates</w:t>
      </w:r>
    </w:p>
    <w:p>
      <w:pPr>
        <w:pStyle w:val="Subtitle"/>
      </w:pPr>
      <w:r>
        <w:t>Architecture decides. Engineering specifies. Implementation proves and hands over.</w:t>
      </w:r>
    </w:p>
    <w:p>
      <w:r>
        <w:t>Kit v1.0 • 16 September 2026 • Aligned to the frozen v1.4 reference architecture</w:t>
      </w:r>
    </w:p>
    <w:p>
      <w:pPr>
        <w:keepLines/>
        <w:spacing w:before="140" w:after="200"/>
        <w:shd w:fill="EEF5F7" w:val="clear"/>
        <w:pBdr>
          <w:left w:val="single" w:sz="12" w:space="8" w:color="0B6B70"/>
        </w:pBdr>
      </w:pPr>
      <w:r>
        <w:rPr>
          <w:b/>
        </w:rPr>
        <w:t>Working kit, not an approved site design or deployed platform. Templates, reference examples and live evidence are separate records.</w:t>
      </w:r>
    </w:p>
    <w:p>
      <w:r>
        <w:t>Start here, then use the role kit and its editable template. The architecture stays infrastructure-led; automation is an implementation choice inside the approved ownership and lifecycle boundaries.</w:t>
      </w:r>
    </w:p>
    <w:p>
      <w:pPr>
        <w:pStyle w:val="Heading2"/>
      </w:pPr>
      <w:r>
        <w:t>Section links</w:t>
      </w:r>
    </w:p>
    <w:p>
      <w:pPr>
        <w:spacing w:after="60"/>
      </w:pPr>
      <w:r/>
      <w:hyperlink w:anchor="DEL_01">
        <w:r>
          <w:rPr>
            <w:color w:val="0B6B70"/>
            <w:u w:val="single"/>
          </w:rPr>
          <w:t>1. Three kits, one controlled delivery</w:t>
        </w:r>
      </w:hyperlink>
    </w:p>
    <w:p>
      <w:pPr>
        <w:spacing w:after="60"/>
      </w:pPr>
      <w:r/>
      <w:hyperlink w:anchor="DEL_02">
        <w:r>
          <w:rPr>
            <w:color w:val="0B6B70"/>
            <w:u w:val="single"/>
          </w:rPr>
          <w:t>2. Deliverable ownership and handoffs</w:t>
        </w:r>
      </w:hyperlink>
    </w:p>
    <w:p>
      <w:pPr>
        <w:spacing w:after="60"/>
      </w:pPr>
      <w:r/>
      <w:hyperlink w:anchor="DEL_03">
        <w:r>
          <w:rPr>
            <w:color w:val="0B6B70"/>
            <w:u w:val="single"/>
          </w:rPr>
          <w:t>3. Acceptance gates and restricted qualification</w:t>
        </w:r>
      </w:hyperlink>
    </w:p>
    <w:p>
      <w:pPr>
        <w:spacing w:after="60"/>
      </w:pPr>
      <w:r/>
      <w:hyperlink w:anchor="DEL_04">
        <w:r>
          <w:rPr>
            <w:color w:val="0B6B70"/>
            <w:u w:val="single"/>
          </w:rPr>
          <w:t>4. Working records, examples and evidence</w:t>
        </w:r>
      </w:hyperlink>
    </w:p>
    <w:p>
      <w:pPr>
        <w:spacing w:after="60"/>
      </w:pPr>
      <w:r/>
      <w:hyperlink w:anchor="DEL_05">
        <w:r>
          <w:rPr>
            <w:color w:val="0B6B70"/>
            <w:u w:val="single"/>
          </w:rPr>
          <w:t>5. Review sequence and change control</w:t>
        </w:r>
      </w:hyperlink>
    </w:p>
    <w:p>
      <w:pPr>
        <w:spacing w:after="60"/>
      </w:pPr>
      <w:r/>
      <w:hyperlink w:anchor="DEL_06">
        <w:r>
          <w:rPr>
            <w:color w:val="0B6B70"/>
            <w:u w:val="single"/>
          </w:rPr>
          <w:t>6. Inputs still required for an actual deployment</w:t>
        </w:r>
      </w:hyperlink>
    </w:p>
    <w:p>
      <w:pPr>
        <w:pStyle w:val="Caption"/>
      </w:pPr>
      <w:r>
        <w:t>All additional process guidance is proposed kit practice. RA/WD references identify baseline-derived architecture; K references identify external mechanism checks. No site values or approval signatures are supplied.</w:t>
      </w:r>
    </w:p>
    <w:p>
      <w:r>
        <w:br w:type="page"/>
      </w:r>
    </w:p>
    <w:p>
      <w:pPr>
        <w:pStyle w:val="Heading1"/>
      </w:pPr>
      <w:r>
        <w:t>1. Three kits, one controlled delivery</w:t>
      </w:r>
      <w:bookmarkStart w:id="1000" w:name="DEL_01"/>
      <w:bookmarkEnd w:id="1000"/>
    </w:p>
    <w:p>
      <w:r>
        <w:t>These kits extend the v1.4 library without changing its eight baseline documents. The kit version is independent of the reference-architecture version. A proposed delivery record does not amend an adopted architectural requirement.</w:t>
      </w:r>
    </w:p>
    <w:p>
      <w:pPr>
        <w:pStyle w:val="Caption"/>
      </w:pPr>
      <w:r>
        <w:t xml:space="preserve">Baseline and related records: </w:t>
      </w:r>
      <w:hyperlink r:id="rId11">
        <w:r>
          <w:rPr>
            <w:color w:val="0B6B70"/>
            <w:u w:val="single"/>
          </w:rPr>
          <w:t>RA §1</w:t>
        </w:r>
      </w:hyperlink>
      <w:r>
        <w:t xml:space="preserve">  •  </w:t>
      </w:r>
      <w:hyperlink r:id="rId12">
        <w:r>
          <w:rPr>
            <w:color w:val="0B6B70"/>
            <w:u w:val="single"/>
          </w:rPr>
          <w:t>RA §30</w:t>
        </w:r>
      </w:hyperlink>
      <w:r>
        <w:t xml:space="preserve">  •  </w:t>
      </w:r>
      <w:hyperlink r:id="rId13">
        <w:r>
          <w:rPr>
            <w:color w:val="0B6B70"/>
            <w:u w:val="single"/>
          </w:rPr>
          <w:t>WD §9</w:t>
        </w:r>
      </w:hyperlink>
    </w:p>
    <w:tbl>
      <w:tblPr>
        <w:tblW w:type="auto" w:w="0"/>
        <w:jc w:val="center"/>
        <w:tblLayout w:type="fixed"/>
        <w:tblLook w:firstColumn="1" w:firstRow="1" w:lastColumn="0" w:lastRow="0" w:noHBand="0" w:noVBand="1" w:val="04A0"/>
      </w:tblPr>
      <w:tblGrid>
        <w:gridCol w:w="1656"/>
        <w:gridCol w:w="4032"/>
        <w:gridCol w:w="4594"/>
      </w:tblGrid>
      <w:tr>
        <w:trPr>
          <w:tblHeader/>
        </w:trPr>
        <w:tc>
          <w:tcPr>
            <w:tcW w:type="dxa" w:w="1656"/>
            <w:shd w:fill="15384A" w:val="clear"/>
            <w:tcMar>
              <w:top w:w="70" w:type="dxa"/>
              <w:start w:w="90" w:type="dxa"/>
              <w:bottom w:w="70" w:type="dxa"/>
              <w:end w:w="90" w:type="dxa"/>
            </w:tcMar>
          </w:tcPr>
          <w:p>
            <w:r>
              <w:rPr>
                <w:b/>
                <w:color w:val="FFFFFF"/>
                <w:sz w:val="18"/>
              </w:rPr>
              <w:t>Kit</w:t>
            </w:r>
          </w:p>
        </w:tc>
        <w:tc>
          <w:tcPr>
            <w:tcW w:type="dxa" w:w="4032"/>
            <w:shd w:fill="15384A" w:val="clear"/>
            <w:tcMar>
              <w:top w:w="70" w:type="dxa"/>
              <w:start w:w="90" w:type="dxa"/>
              <w:bottom w:w="70" w:type="dxa"/>
              <w:end w:w="90" w:type="dxa"/>
            </w:tcMar>
          </w:tcPr>
          <w:p>
            <w:r>
              <w:rPr>
                <w:b/>
                <w:color w:val="FFFFFF"/>
                <w:sz w:val="18"/>
              </w:rPr>
              <w:t>Primary question</w:t>
            </w:r>
          </w:p>
        </w:tc>
        <w:tc>
          <w:tcPr>
            <w:tcW w:type="dxa" w:w="4594"/>
            <w:shd w:fill="15384A" w:val="clear"/>
            <w:tcMar>
              <w:top w:w="70" w:type="dxa"/>
              <w:start w:w="90" w:type="dxa"/>
              <w:bottom w:w="70" w:type="dxa"/>
              <w:end w:w="90" w:type="dxa"/>
            </w:tcMar>
          </w:tcPr>
          <w:p>
            <w:r>
              <w:rPr>
                <w:b/>
                <w:color w:val="FFFFFF"/>
                <w:sz w:val="18"/>
              </w:rPr>
              <w:t>Exit artifact</w:t>
            </w:r>
          </w:p>
        </w:tc>
      </w:tr>
      <w:tr>
        <w:trPr>
          <w:cantSplit/>
        </w:trPr>
        <w:tc>
          <w:tcPr>
            <w:tcW w:type="dxa" w:w="1656"/>
            <w:tcMar>
              <w:top w:w="70" w:type="dxa"/>
              <w:start w:w="90" w:type="dxa"/>
              <w:bottom w:w="70" w:type="dxa"/>
              <w:end w:w="90" w:type="dxa"/>
            </w:tcMar>
            <w:vAlign w:val="top"/>
          </w:tcPr>
          <w:p>
            <w:pPr>
              <w:spacing w:after="40" w:line="245" w:lineRule="auto"/>
            </w:pPr>
            <w:r>
              <w:rPr>
                <w:sz w:val="18"/>
              </w:rPr>
              <w:t>Architecture</w:t>
            </w:r>
          </w:p>
        </w:tc>
        <w:tc>
          <w:tcPr>
            <w:tcW w:type="dxa" w:w="4032"/>
            <w:tcMar>
              <w:top w:w="70" w:type="dxa"/>
              <w:start w:w="90" w:type="dxa"/>
              <w:bottom w:w="70" w:type="dxa"/>
              <w:end w:w="90" w:type="dxa"/>
            </w:tcMar>
            <w:vAlign w:val="top"/>
          </w:tcPr>
          <w:p>
            <w:pPr>
              <w:spacing w:after="40" w:line="245" w:lineRule="auto"/>
            </w:pPr>
            <w:r>
              <w:rPr>
                <w:sz w:val="18"/>
              </w:rPr>
              <w:t>What is required, why, where are the boundaries, and what may be shared?</w:t>
            </w:r>
          </w:p>
        </w:tc>
        <w:tc>
          <w:tcPr>
            <w:tcW w:type="dxa" w:w="4594"/>
            <w:tcMar>
              <w:top w:w="70" w:type="dxa"/>
              <w:start w:w="90" w:type="dxa"/>
              <w:bottom w:w="70" w:type="dxa"/>
              <w:end w:w="90" w:type="dxa"/>
            </w:tcMar>
            <w:vAlign w:val="top"/>
          </w:tcPr>
          <w:p>
            <w:pPr>
              <w:spacing w:after="40" w:line="245" w:lineRule="auto"/>
            </w:pPr>
            <w:r>
              <w:rPr>
                <w:sz w:val="18"/>
              </w:rPr>
              <w:t>Reviewed high-level design (HLD), decisions, service envelope, selected controls and engineering handoff.</w:t>
            </w:r>
          </w:p>
        </w:tc>
      </w:tr>
      <w:tr>
        <w:trPr>
          <w:cantSplit/>
        </w:trPr>
        <w:tc>
          <w:tcPr>
            <w:tcW w:type="dxa" w:w="1656"/>
            <w:tcMar>
              <w:top w:w="70" w:type="dxa"/>
              <w:start w:w="90" w:type="dxa"/>
              <w:bottom w:w="70" w:type="dxa"/>
              <w:end w:w="90" w:type="dxa"/>
            </w:tcMar>
            <w:vAlign w:val="top"/>
            <w:shd w:fill="F4F7F9" w:val="clear"/>
          </w:tcPr>
          <w:p>
            <w:pPr>
              <w:spacing w:after="40" w:line="245" w:lineRule="auto"/>
            </w:pPr>
            <w:r>
              <w:rPr>
                <w:sz w:val="18"/>
              </w:rPr>
              <w:t>Engineering</w:t>
            </w:r>
          </w:p>
        </w:tc>
        <w:tc>
          <w:tcPr>
            <w:tcW w:type="dxa" w:w="4032"/>
            <w:tcMar>
              <w:top w:w="70" w:type="dxa"/>
              <w:start w:w="90" w:type="dxa"/>
              <w:bottom w:w="70" w:type="dxa"/>
              <w:end w:w="90" w:type="dxa"/>
            </w:tcMar>
            <w:vAlign w:val="top"/>
            <w:shd w:fill="F4F7F9" w:val="clear"/>
          </w:tcPr>
          <w:p>
            <w:pPr>
              <w:spacing w:after="40" w:line="245" w:lineRule="auto"/>
            </w:pPr>
            <w:r>
              <w:rPr>
                <w:sz w:val="18"/>
              </w:rPr>
              <w:t>Exactly how will this site and selected stack realize the approved design?</w:t>
            </w:r>
          </w:p>
        </w:tc>
        <w:tc>
          <w:tcPr>
            <w:tcW w:type="dxa" w:w="4594"/>
            <w:tcMar>
              <w:top w:w="70" w:type="dxa"/>
              <w:start w:w="90" w:type="dxa"/>
              <w:bottom w:w="70" w:type="dxa"/>
              <w:end w:w="90" w:type="dxa"/>
            </w:tcMar>
            <w:vAlign w:val="top"/>
            <w:shd w:fill="F4F7F9" w:val="clear"/>
          </w:tcPr>
          <w:p>
            <w:pPr>
              <w:spacing w:after="40" w:line="245" w:lineRule="auto"/>
            </w:pPr>
            <w:r>
              <w:rPr>
                <w:sz w:val="18"/>
              </w:rPr>
              <w:t>Reviewed low-level design (LLD), resource/path schedules, calculations, support tuple and build/test package.</w:t>
            </w:r>
          </w:p>
        </w:tc>
      </w:tr>
      <w:tr>
        <w:trPr>
          <w:cantSplit/>
        </w:trPr>
        <w:tc>
          <w:tcPr>
            <w:tcW w:type="dxa" w:w="1656"/>
            <w:tcMar>
              <w:top w:w="70" w:type="dxa"/>
              <w:start w:w="90" w:type="dxa"/>
              <w:bottom w:w="70" w:type="dxa"/>
              <w:end w:w="90" w:type="dxa"/>
            </w:tcMar>
            <w:vAlign w:val="top"/>
          </w:tcPr>
          <w:p>
            <w:pPr>
              <w:spacing w:after="40" w:line="245" w:lineRule="auto"/>
            </w:pPr>
            <w:r>
              <w:rPr>
                <w:sz w:val="18"/>
              </w:rPr>
              <w:t>Implementation</w:t>
            </w:r>
          </w:p>
        </w:tc>
        <w:tc>
          <w:tcPr>
            <w:tcW w:type="dxa" w:w="4032"/>
            <w:tcMar>
              <w:top w:w="70" w:type="dxa"/>
              <w:start w:w="90" w:type="dxa"/>
              <w:bottom w:w="70" w:type="dxa"/>
              <w:end w:w="90" w:type="dxa"/>
            </w:tcMar>
            <w:vAlign w:val="top"/>
          </w:tcPr>
          <w:p>
            <w:pPr>
              <w:spacing w:after="40" w:line="245" w:lineRule="auto"/>
            </w:pPr>
            <w:r>
              <w:rPr>
                <w:sz w:val="18"/>
              </w:rPr>
              <w:t>How will the approved configuration be established, verified, activated and operated?</w:t>
            </w:r>
          </w:p>
        </w:tc>
        <w:tc>
          <w:tcPr>
            <w:tcW w:type="dxa" w:w="4594"/>
            <w:tcMar>
              <w:top w:w="70" w:type="dxa"/>
              <w:start w:w="90" w:type="dxa"/>
              <w:bottom w:w="70" w:type="dxa"/>
              <w:end w:w="90" w:type="dxa"/>
            </w:tcMar>
            <w:vAlign w:val="top"/>
          </w:tcPr>
          <w:p>
            <w:pPr>
              <w:spacing w:after="40" w:line="245" w:lineRule="auto"/>
            </w:pPr>
            <w:r>
              <w:rPr>
                <w:sz w:val="18"/>
              </w:rPr>
              <w:t>Executed method of procedure (MOP), observed test/evidence records, as-built configuration and accepted handover.</w:t>
            </w:r>
          </w:p>
        </w:tc>
      </w:tr>
    </w:tbl>
    <w:p>
      <w:pPr>
        <w:spacing w:after="0"/>
      </w:pPr>
      <w:r/>
    </w:p>
    <w:p>
      <w:pPr>
        <w:pStyle w:val="Heading2"/>
      </w:pPr>
      <w:r>
        <w:t>How the work connects</w:t>
      </w:r>
    </w:p>
    <w:p>
      <w:r>
        <w:t>Carry a stable requirement or decision ID into the engineering schedule, then into a work-package step, a verification assertion and the resulting evidence. Retain actual resource IDs only in the controlled engineering and as-built records. A diagram must use the same component and interface identities as the schedules.</w:t>
      </w:r>
    </w:p>
    <w:p>
      <w:r>
        <w:t>A normal first delivery selects one hosting stack, plus all required physical, security and shared-service integrations. Repeat the same service outcomes on the other stacks for separate portability qualification. A simultaneous split-stack deployment is a different, explicitly designed service.</w:t>
      </w:r>
    </w:p>
    <w:p>
      <w:pPr>
        <w:keepLines/>
        <w:spacing w:before="140" w:after="200"/>
        <w:shd w:fill="EEF5F7" w:val="clear"/>
        <w:pBdr>
          <w:left w:val="single" w:sz="12" w:space="8" w:color="0B6B70"/>
        </w:pBdr>
      </w:pPr>
      <w:r>
        <w:rPr>
          <w:b/>
        </w:rPr>
        <w:t>Included scope: architecture, detailed engineering, commissioning, tenant delivery, qualification, recovery, operations and retirement. Excluded: fabricated site approvals, guessed native configuration, live deployment, and a mandatory custom controller.</w:t>
      </w:r>
    </w:p>
    <w:p>
      <w:r>
        <w:br w:type="page"/>
      </w:r>
    </w:p>
    <w:p>
      <w:pPr>
        <w:pStyle w:val="Heading1"/>
      </w:pPr>
      <w:r>
        <w:t>2. Deliverable ownership and handoffs</w:t>
      </w:r>
      <w:bookmarkStart w:id="1001" w:name="DEL_02"/>
      <w:bookmarkEnd w:id="1001"/>
    </w:p>
    <w:p>
      <w:r>
        <w:t>The kit deliverable IDs identify working outputs; they do not renumber the 194 baseline requirements. Use the shared deliverable catalogue as the handoff checklist.</w:t>
      </w:r>
    </w:p>
    <w:p>
      <w:pPr>
        <w:pStyle w:val="Caption"/>
      </w:pPr>
      <w:r>
        <w:t xml:space="preserve">Baseline and related records: </w:t>
      </w:r>
      <w:hyperlink r:id="rId14">
        <w:r>
          <w:rPr>
            <w:color w:val="0B6B70"/>
            <w:u w:val="single"/>
          </w:rPr>
          <w:t>AK §1</w:t>
        </w:r>
      </w:hyperlink>
      <w:r>
        <w:t xml:space="preserve">  •  </w:t>
      </w:r>
      <w:hyperlink r:id="rId15">
        <w:r>
          <w:rPr>
            <w:color w:val="0B6B70"/>
            <w:u w:val="single"/>
          </w:rPr>
          <w:t>EK §1</w:t>
        </w:r>
      </w:hyperlink>
      <w:r>
        <w:t xml:space="preserve">  •  </w:t>
      </w:r>
      <w:hyperlink r:id="rId16">
        <w:r>
          <w:rPr>
            <w:color w:val="0B6B70"/>
            <w:u w:val="single"/>
          </w:rPr>
          <w:t>IK §1</w:t>
        </w:r>
      </w:hyperlink>
    </w:p>
    <w:p>
      <w:pPr>
        <w:pStyle w:val="Heading2"/>
      </w:pPr>
      <w:r>
        <w:t>Architecture</w:t>
      </w:r>
    </w:p>
    <w:p>
      <w:r>
        <w:t>AK-01 Mandate, stakeholders and service envelope; AK-02 Requirement applicability and acceptance allocation; AK-03 High-level physical, logical and security views; AK-04 Architecture decisions and allowed variations; AK-05 Threat, co-residency and control responsibility; AK-06 Availability, recovery, capacity and location strategy; AK-07 Vendor realization and provisioning strategy; AK-08 Architecture review and engineering handoff.</w:t>
      </w:r>
    </w:p>
    <w:p>
      <w:pPr>
        <w:pStyle w:val="Heading2"/>
      </w:pPr>
      <w:r>
        <w:t>Engineering</w:t>
      </w:r>
    </w:p>
    <w:p>
      <w:r>
        <w:t>EK-01 Site LLD and controlled design release; EK-02 Physical inventory, bill of materials and port/cable schedule; EK-03 Network, addressing, routes and ZIP paths; EK-04 Compute, storage and placement schedules; EK-05 Management, shared-service and trust interfaces; EK-06 Capacity, performance, MTU and failure calculations; EK-07 Exact stack and operation-level automation coverage; EK-08 Build, rollback and qualification design; EK-09 Engineering release and implementation handoff.</w:t>
      </w:r>
    </w:p>
    <w:p>
      <w:pPr>
        <w:pStyle w:val="Heading2"/>
      </w:pPr>
      <w:r>
        <w:t>Implementation</w:t>
      </w:r>
    </w:p>
    <w:p>
      <w:r>
        <w:t>IK-01 Change scope, release freeze and execution authority; IK-02 Staging and installation readiness; IK-03 P0–P1 bootstrap and foundation receipts; IK-04 P2 native platform build receipts; IK-05 P3 shared-service and boundary receipts; IK-06 Restricted qualification fixture and test campaign; IK-07 G4 initial operational and recovery readiness; IK-08 P4–P5 tenant build and production activation; IK-09 As-built, defect and evidence records; IK-10 P6 maintenance, migration and retirement.</w:t>
      </w:r>
    </w:p>
    <w:tbl>
      <w:tblPr>
        <w:tblW w:type="auto" w:w="0"/>
        <w:jc w:val="center"/>
        <w:tblLayout w:type="fixed"/>
        <w:tblLook w:firstColumn="1" w:firstRow="1" w:lastColumn="0" w:lastRow="0" w:noHBand="0" w:noVBand="1" w:val="04A0"/>
      </w:tblPr>
      <w:tblGrid>
        <w:gridCol w:w="2088"/>
        <w:gridCol w:w="4032"/>
        <w:gridCol w:w="4162"/>
      </w:tblGrid>
      <w:tr>
        <w:trPr>
          <w:tblHeader/>
        </w:trPr>
        <w:tc>
          <w:tcPr>
            <w:tcW w:type="dxa" w:w="2088"/>
            <w:shd w:fill="15384A" w:val="clear"/>
            <w:tcMar>
              <w:top w:w="70" w:type="dxa"/>
              <w:start w:w="90" w:type="dxa"/>
              <w:bottom w:w="70" w:type="dxa"/>
              <w:end w:w="90" w:type="dxa"/>
            </w:tcMar>
          </w:tcPr>
          <w:p>
            <w:r>
              <w:rPr>
                <w:b/>
                <w:color w:val="FFFFFF"/>
                <w:sz w:val="18"/>
              </w:rPr>
              <w:t>Handoff</w:t>
            </w:r>
          </w:p>
        </w:tc>
        <w:tc>
          <w:tcPr>
            <w:tcW w:type="dxa" w:w="4032"/>
            <w:shd w:fill="15384A" w:val="clear"/>
            <w:tcMar>
              <w:top w:w="70" w:type="dxa"/>
              <w:start w:w="90" w:type="dxa"/>
              <w:bottom w:w="70" w:type="dxa"/>
              <w:end w:w="90" w:type="dxa"/>
            </w:tcMar>
          </w:tcPr>
          <w:p>
            <w:r>
              <w:rPr>
                <w:b/>
                <w:color w:val="FFFFFF"/>
                <w:sz w:val="18"/>
              </w:rPr>
              <w:t>Sender must supply</w:t>
            </w:r>
          </w:p>
        </w:tc>
        <w:tc>
          <w:tcPr>
            <w:tcW w:type="dxa" w:w="4162"/>
            <w:shd w:fill="15384A" w:val="clear"/>
            <w:tcMar>
              <w:top w:w="70" w:type="dxa"/>
              <w:start w:w="90" w:type="dxa"/>
              <w:bottom w:w="70" w:type="dxa"/>
              <w:end w:w="90" w:type="dxa"/>
            </w:tcMar>
          </w:tcPr>
          <w:p>
            <w:r>
              <w:rPr>
                <w:b/>
                <w:color w:val="FFFFFF"/>
                <w:sz w:val="18"/>
              </w:rPr>
              <w:t>Receiver must verify</w:t>
            </w:r>
          </w:p>
        </w:tc>
      </w:tr>
      <w:tr>
        <w:trPr>
          <w:cantSplit/>
        </w:trPr>
        <w:tc>
          <w:tcPr>
            <w:tcW w:type="dxa" w:w="2088"/>
            <w:tcMar>
              <w:top w:w="70" w:type="dxa"/>
              <w:start w:w="90" w:type="dxa"/>
              <w:bottom w:w="70" w:type="dxa"/>
              <w:end w:w="90" w:type="dxa"/>
            </w:tcMar>
            <w:vAlign w:val="top"/>
          </w:tcPr>
          <w:p>
            <w:pPr>
              <w:spacing w:after="40" w:line="245" w:lineRule="auto"/>
            </w:pPr>
            <w:r>
              <w:rPr>
                <w:sz w:val="18"/>
              </w:rPr>
              <w:t>Architecture → engineering</w:t>
            </w:r>
          </w:p>
        </w:tc>
        <w:tc>
          <w:tcPr>
            <w:tcW w:type="dxa" w:w="4032"/>
            <w:tcMar>
              <w:top w:w="70" w:type="dxa"/>
              <w:start w:w="90" w:type="dxa"/>
              <w:bottom w:w="70" w:type="dxa"/>
              <w:end w:w="90" w:type="dxa"/>
            </w:tcMar>
            <w:vAlign w:val="top"/>
          </w:tcPr>
          <w:p>
            <w:pPr>
              <w:spacing w:after="40" w:line="245" w:lineRule="auto"/>
            </w:pPr>
            <w:r>
              <w:rPr>
                <w:sz w:val="18"/>
              </w:rPr>
              <w:t>Adopted scope, decisions, sharing matrix, requirements and service constraints.</w:t>
            </w:r>
          </w:p>
        </w:tc>
        <w:tc>
          <w:tcPr>
            <w:tcW w:type="dxa" w:w="4162"/>
            <w:tcMar>
              <w:top w:w="70" w:type="dxa"/>
              <w:start w:w="90" w:type="dxa"/>
              <w:bottom w:w="70" w:type="dxa"/>
              <w:end w:w="90" w:type="dxa"/>
            </w:tcMar>
            <w:vAlign w:val="top"/>
          </w:tcPr>
          <w:p>
            <w:pPr>
              <w:spacing w:after="40" w:line="245" w:lineRule="auto"/>
            </w:pPr>
            <w:r>
              <w:rPr>
                <w:sz w:val="18"/>
              </w:rPr>
              <w:t>No conflicting boundaries or unresolved decision that affects the proposed build.</w:t>
            </w:r>
          </w:p>
        </w:tc>
      </w:tr>
      <w:tr>
        <w:trPr>
          <w:cantSplit/>
        </w:trPr>
        <w:tc>
          <w:tcPr>
            <w:tcW w:type="dxa" w:w="2088"/>
            <w:tcMar>
              <w:top w:w="70" w:type="dxa"/>
              <w:start w:w="90" w:type="dxa"/>
              <w:bottom w:w="70" w:type="dxa"/>
              <w:end w:w="90" w:type="dxa"/>
            </w:tcMar>
            <w:vAlign w:val="top"/>
            <w:shd w:fill="F4F7F9" w:val="clear"/>
          </w:tcPr>
          <w:p>
            <w:pPr>
              <w:spacing w:after="40" w:line="245" w:lineRule="auto"/>
            </w:pPr>
            <w:r>
              <w:rPr>
                <w:sz w:val="18"/>
              </w:rPr>
              <w:t>Engineering → implementation</w:t>
            </w:r>
          </w:p>
        </w:tc>
        <w:tc>
          <w:tcPr>
            <w:tcW w:type="dxa" w:w="4032"/>
            <w:tcMar>
              <w:top w:w="70" w:type="dxa"/>
              <w:start w:w="90" w:type="dxa"/>
              <w:bottom w:w="70" w:type="dxa"/>
              <w:end w:w="90" w:type="dxa"/>
            </w:tcMar>
            <w:vAlign w:val="top"/>
            <w:shd w:fill="F4F7F9" w:val="clear"/>
          </w:tcPr>
          <w:p>
            <w:pPr>
              <w:spacing w:after="40" w:line="245" w:lineRule="auto"/>
            </w:pPr>
            <w:r>
              <w:rPr>
                <w:sz w:val="18"/>
              </w:rPr>
              <w:t>Controlled revision, site schedules, exact tuple, reviewed MOP and evidence plan.</w:t>
            </w:r>
          </w:p>
        </w:tc>
        <w:tc>
          <w:tcPr>
            <w:tcW w:type="dxa" w:w="4162"/>
            <w:tcMar>
              <w:top w:w="70" w:type="dxa"/>
              <w:start w:w="90" w:type="dxa"/>
              <w:bottom w:w="70" w:type="dxa"/>
              <w:end w:w="90" w:type="dxa"/>
            </w:tcMar>
            <w:vAlign w:val="top"/>
            <w:shd w:fill="F4F7F9" w:val="clear"/>
          </w:tcPr>
          <w:p>
            <w:pPr>
              <w:spacing w:after="40" w:line="245" w:lineRule="auto"/>
            </w:pPr>
            <w:r>
              <w:rPr>
                <w:sz w:val="18"/>
              </w:rPr>
              <w:t>No guessed addresses, default credentials, competing writers or unsupported required operation.</w:t>
            </w:r>
          </w:p>
        </w:tc>
      </w:tr>
      <w:tr>
        <w:trPr>
          <w:cantSplit/>
        </w:trPr>
        <w:tc>
          <w:tcPr>
            <w:tcW w:type="dxa" w:w="2088"/>
            <w:tcMar>
              <w:top w:w="70" w:type="dxa"/>
              <w:start w:w="90" w:type="dxa"/>
              <w:bottom w:w="70" w:type="dxa"/>
              <w:end w:w="90" w:type="dxa"/>
            </w:tcMar>
            <w:vAlign w:val="top"/>
          </w:tcPr>
          <w:p>
            <w:pPr>
              <w:spacing w:after="40" w:line="245" w:lineRule="auto"/>
            </w:pPr>
            <w:r>
              <w:rPr>
                <w:sz w:val="18"/>
              </w:rPr>
              <w:t>Implementation → operations</w:t>
            </w:r>
          </w:p>
        </w:tc>
        <w:tc>
          <w:tcPr>
            <w:tcW w:type="dxa" w:w="4032"/>
            <w:tcMar>
              <w:top w:w="70" w:type="dxa"/>
              <w:start w:w="90" w:type="dxa"/>
              <w:bottom w:w="70" w:type="dxa"/>
              <w:end w:w="90" w:type="dxa"/>
            </w:tcMar>
            <w:vAlign w:val="top"/>
          </w:tcPr>
          <w:p>
            <w:pPr>
              <w:spacing w:after="40" w:line="245" w:lineRule="auto"/>
            </w:pPr>
            <w:r>
              <w:rPr>
                <w:sz w:val="18"/>
              </w:rPr>
              <w:t>Actual topology, configuration, observed tests, support, recovery and retained obligations.</w:t>
            </w:r>
          </w:p>
        </w:tc>
        <w:tc>
          <w:tcPr>
            <w:tcW w:type="dxa" w:w="4162"/>
            <w:tcMar>
              <w:top w:w="70" w:type="dxa"/>
              <w:start w:w="90" w:type="dxa"/>
              <w:bottom w:w="70" w:type="dxa"/>
              <w:end w:w="90" w:type="dxa"/>
            </w:tcMar>
            <w:vAlign w:val="top"/>
          </w:tcPr>
          <w:p>
            <w:pPr>
              <w:spacing w:after="40" w:line="245" w:lineRule="auto"/>
            </w:pPr>
            <w:r>
              <w:rPr>
                <w:sz w:val="18"/>
              </w:rPr>
              <w:t>The delivered scope can be supported and recovered; required readiness existed before production activation.</w:t>
            </w:r>
          </w:p>
        </w:tc>
      </w:tr>
    </w:tbl>
    <w:p>
      <w:pPr>
        <w:spacing w:after="0"/>
      </w:pPr>
      <w:r/>
    </w:p>
    <w:p>
      <w:r>
        <w:br w:type="page"/>
      </w:r>
    </w:p>
    <w:p>
      <w:pPr>
        <w:pStyle w:val="Heading1"/>
      </w:pPr>
      <w:r>
        <w:t>3. Acceptance gates and restricted qualification</w:t>
      </w:r>
      <w:bookmarkStart w:id="1002" w:name="DEL_03"/>
      <w:bookmarkEnd w:id="1002"/>
    </w:p>
    <w:p>
      <w:r>
        <w:t>Gate numbers are identifiers, not an automatic chronological ladder. v1.4 requires applicable initial G4 readiness before G3 production activation. Qualification can use a separately authorized non-production fixture before G2 is complete.</w:t>
      </w:r>
    </w:p>
    <w:p>
      <w:pPr>
        <w:pStyle w:val="Caption"/>
      </w:pPr>
      <w:r>
        <w:t xml:space="preserve">Baseline and related records: </w:t>
      </w:r>
      <w:hyperlink r:id="rId13">
        <w:r>
          <w:rPr>
            <w:color w:val="0B6B70"/>
            <w:u w:val="single"/>
          </w:rPr>
          <w:t>WD §9</w:t>
        </w:r>
      </w:hyperlink>
      <w:r>
        <w:t xml:space="preserve">  •  </w:t>
      </w:r>
      <w:hyperlink r:id="rId17">
        <w:r>
          <w:rPr>
            <w:color w:val="0B6B70"/>
            <w:u w:val="single"/>
          </w:rPr>
          <w:t>QUAL §5</w:t>
        </w:r>
      </w:hyperlink>
    </w:p>
    <w:tbl>
      <w:tblPr>
        <w:tblW w:type="auto" w:w="0"/>
        <w:jc w:val="center"/>
        <w:tblLayout w:type="fixed"/>
        <w:tblLook w:firstColumn="1" w:firstRow="1" w:lastColumn="0" w:lastRow="0" w:noHBand="0" w:noVBand="1" w:val="04A0"/>
      </w:tblPr>
      <w:tblGrid>
        <w:gridCol w:w="2246"/>
        <w:gridCol w:w="4176"/>
        <w:gridCol w:w="3859"/>
      </w:tblGrid>
      <w:tr>
        <w:trPr>
          <w:tblHeader/>
        </w:trPr>
        <w:tc>
          <w:tcPr>
            <w:tcW w:type="dxa" w:w="2246"/>
            <w:shd w:fill="15384A" w:val="clear"/>
            <w:tcMar>
              <w:top w:w="70" w:type="dxa"/>
              <w:start w:w="90" w:type="dxa"/>
              <w:bottom w:w="70" w:type="dxa"/>
              <w:end w:w="90" w:type="dxa"/>
            </w:tcMar>
          </w:tcPr>
          <w:p>
            <w:r>
              <w:rPr>
                <w:b/>
                <w:color w:val="FFFFFF"/>
                <w:sz w:val="18"/>
              </w:rPr>
              <w:t>Decision</w:t>
            </w:r>
          </w:p>
        </w:tc>
        <w:tc>
          <w:tcPr>
            <w:tcW w:type="dxa" w:w="4176"/>
            <w:shd w:fill="15384A" w:val="clear"/>
            <w:tcMar>
              <w:top w:w="70" w:type="dxa"/>
              <w:start w:w="90" w:type="dxa"/>
              <w:bottom w:w="70" w:type="dxa"/>
              <w:end w:w="90" w:type="dxa"/>
            </w:tcMar>
          </w:tcPr>
          <w:p>
            <w:r>
              <w:rPr>
                <w:b/>
                <w:color w:val="FFFFFF"/>
                <w:sz w:val="18"/>
              </w:rPr>
              <w:t>Required preceding condition</w:t>
            </w:r>
          </w:p>
        </w:tc>
        <w:tc>
          <w:tcPr>
            <w:tcW w:type="dxa" w:w="3859"/>
            <w:shd w:fill="15384A" w:val="clear"/>
            <w:tcMar>
              <w:top w:w="70" w:type="dxa"/>
              <w:start w:w="90" w:type="dxa"/>
              <w:bottom w:w="70" w:type="dxa"/>
              <w:end w:w="90" w:type="dxa"/>
            </w:tcMar>
          </w:tcPr>
          <w:p>
            <w:r>
              <w:rPr>
                <w:b/>
                <w:color w:val="FFFFFF"/>
                <w:sz w:val="18"/>
              </w:rPr>
              <w:t>Prohibited shortcut</w:t>
            </w:r>
          </w:p>
        </w:tc>
      </w:tr>
      <w:tr>
        <w:trPr>
          <w:cantSplit/>
        </w:trPr>
        <w:tc>
          <w:tcPr>
            <w:tcW w:type="dxa" w:w="2246"/>
            <w:tcMar>
              <w:top w:w="70" w:type="dxa"/>
              <w:start w:w="90" w:type="dxa"/>
              <w:bottom w:w="70" w:type="dxa"/>
              <w:end w:w="90" w:type="dxa"/>
            </w:tcMar>
            <w:vAlign w:val="top"/>
          </w:tcPr>
          <w:p>
            <w:pPr>
              <w:spacing w:after="40" w:line="245" w:lineRule="auto"/>
            </w:pPr>
            <w:r>
              <w:rPr>
                <w:sz w:val="18"/>
              </w:rPr>
              <w:t>G0 — Design adoption</w:t>
            </w:r>
          </w:p>
        </w:tc>
        <w:tc>
          <w:tcPr>
            <w:tcW w:type="dxa" w:w="4176"/>
            <w:tcMar>
              <w:top w:w="70" w:type="dxa"/>
              <w:start w:w="90" w:type="dxa"/>
              <w:bottom w:w="70" w:type="dxa"/>
              <w:end w:w="90" w:type="dxa"/>
            </w:tcMar>
            <w:vAlign w:val="top"/>
          </w:tcPr>
          <w:p>
            <w:pPr>
              <w:spacing w:after="40" w:line="245" w:lineRule="auto"/>
            </w:pPr>
            <w:r>
              <w:rPr>
                <w:sz w:val="18"/>
              </w:rPr>
              <w:t>None</w:t>
            </w:r>
          </w:p>
        </w:tc>
        <w:tc>
          <w:tcPr>
            <w:tcW w:type="dxa" w:w="3859"/>
            <w:tcMar>
              <w:top w:w="70" w:type="dxa"/>
              <w:start w:w="90" w:type="dxa"/>
              <w:bottom w:w="70" w:type="dxa"/>
              <w:end w:w="90" w:type="dxa"/>
            </w:tcMar>
            <w:vAlign w:val="top"/>
          </w:tcPr>
          <w:p>
            <w:pPr>
              <w:spacing w:after="40" w:line="245" w:lineRule="auto"/>
            </w:pPr>
            <w:r>
              <w:rPr>
                <w:sz w:val="18"/>
              </w:rPr>
              <w:t>No build authorization is implied by document acceptance.</w:t>
            </w:r>
          </w:p>
        </w:tc>
      </w:tr>
      <w:tr>
        <w:trPr>
          <w:cantSplit/>
        </w:trPr>
        <w:tc>
          <w:tcPr>
            <w:tcW w:type="dxa" w:w="2246"/>
            <w:tcMar>
              <w:top w:w="70" w:type="dxa"/>
              <w:start w:w="90" w:type="dxa"/>
              <w:bottom w:w="70" w:type="dxa"/>
              <w:end w:w="90" w:type="dxa"/>
            </w:tcMar>
            <w:vAlign w:val="top"/>
            <w:shd w:fill="F4F7F9" w:val="clear"/>
          </w:tcPr>
          <w:p>
            <w:pPr>
              <w:spacing w:after="40" w:line="245" w:lineRule="auto"/>
            </w:pPr>
            <w:r>
              <w:rPr>
                <w:sz w:val="18"/>
              </w:rPr>
              <w:t>G1 — Foundation acceptance</w:t>
            </w:r>
          </w:p>
        </w:tc>
        <w:tc>
          <w:tcPr>
            <w:tcW w:type="dxa" w:w="4176"/>
            <w:tcMar>
              <w:top w:w="70" w:type="dxa"/>
              <w:start w:w="90" w:type="dxa"/>
              <w:bottom w:w="70" w:type="dxa"/>
              <w:end w:w="90" w:type="dxa"/>
            </w:tcMar>
            <w:vAlign w:val="top"/>
            <w:shd w:fill="F4F7F9" w:val="clear"/>
          </w:tcPr>
          <w:p>
            <w:pPr>
              <w:spacing w:after="40" w:line="245" w:lineRule="auto"/>
            </w:pPr>
            <w:r>
              <w:rPr>
                <w:sz w:val="18"/>
              </w:rPr>
              <w:t>G0 for affected scope</w:t>
            </w:r>
          </w:p>
        </w:tc>
        <w:tc>
          <w:tcPr>
            <w:tcW w:type="dxa" w:w="3859"/>
            <w:tcMar>
              <w:top w:w="70" w:type="dxa"/>
              <w:start w:w="90" w:type="dxa"/>
              <w:bottom w:w="70" w:type="dxa"/>
              <w:end w:w="90" w:type="dxa"/>
            </w:tcMar>
            <w:vAlign w:val="top"/>
            <w:shd w:fill="F4F7F9" w:val="clear"/>
          </w:tcPr>
          <w:p>
            <w:pPr>
              <w:spacing w:after="40" w:line="245" w:lineRule="auto"/>
            </w:pPr>
            <w:r>
              <w:rPr>
                <w:sz w:val="18"/>
              </w:rPr>
              <w:t>A reachable API is not a commissioned platform.</w:t>
            </w:r>
          </w:p>
        </w:tc>
      </w:tr>
      <w:tr>
        <w:trPr>
          <w:cantSplit/>
        </w:trPr>
        <w:tc>
          <w:tcPr>
            <w:tcW w:type="dxa" w:w="2246"/>
            <w:tcMar>
              <w:top w:w="70" w:type="dxa"/>
              <w:start w:w="90" w:type="dxa"/>
              <w:bottom w:w="70" w:type="dxa"/>
              <w:end w:w="90" w:type="dxa"/>
            </w:tcMar>
            <w:vAlign w:val="top"/>
          </w:tcPr>
          <w:p>
            <w:pPr>
              <w:spacing w:after="40" w:line="245" w:lineRule="auto"/>
            </w:pPr>
            <w:r>
              <w:rPr>
                <w:sz w:val="18"/>
              </w:rPr>
              <w:t>Restricted fixture — Non-production test permission</w:t>
            </w:r>
          </w:p>
        </w:tc>
        <w:tc>
          <w:tcPr>
            <w:tcW w:type="dxa" w:w="4176"/>
            <w:tcMar>
              <w:top w:w="70" w:type="dxa"/>
              <w:start w:w="90" w:type="dxa"/>
              <w:bottom w:w="70" w:type="dxa"/>
              <w:end w:w="90" w:type="dxa"/>
            </w:tcMar>
            <w:vAlign w:val="top"/>
          </w:tcPr>
          <w:p>
            <w:pPr>
              <w:spacing w:after="40" w:line="245" w:lineRule="auto"/>
            </w:pPr>
            <w:r>
              <w:rPr>
                <w:sz w:val="18"/>
              </w:rPr>
              <w:t>G1; installed safeguarded candidate resources</w:t>
            </w:r>
          </w:p>
        </w:tc>
        <w:tc>
          <w:tcPr>
            <w:tcW w:type="dxa" w:w="3859"/>
            <w:tcMar>
              <w:top w:w="70" w:type="dxa"/>
              <w:start w:w="90" w:type="dxa"/>
              <w:bottom w:w="70" w:type="dxa"/>
              <w:end w:w="90" w:type="dxa"/>
            </w:tcMar>
            <w:vAlign w:val="top"/>
          </w:tcPr>
          <w:p>
            <w:pPr>
              <w:spacing w:after="40" w:line="245" w:lineRule="auto"/>
            </w:pPr>
            <w:r>
              <w:rPr>
                <w:sz w:val="18"/>
              </w:rPr>
              <w:t>May generate qualification evidence; cannot authorize production use.</w:t>
            </w:r>
          </w:p>
        </w:tc>
      </w:tr>
      <w:tr>
        <w:trPr>
          <w:cantSplit/>
        </w:trPr>
        <w:tc>
          <w:tcPr>
            <w:tcW w:type="dxa" w:w="2246"/>
            <w:tcMar>
              <w:top w:w="70" w:type="dxa"/>
              <w:start w:w="90" w:type="dxa"/>
              <w:bottom w:w="70" w:type="dxa"/>
              <w:end w:w="90" w:type="dxa"/>
            </w:tcMar>
            <w:vAlign w:val="top"/>
            <w:shd w:fill="F4F7F9" w:val="clear"/>
          </w:tcPr>
          <w:p>
            <w:pPr>
              <w:spacing w:after="40" w:line="245" w:lineRule="auto"/>
            </w:pPr>
            <w:r>
              <w:rPr>
                <w:sz w:val="18"/>
              </w:rPr>
              <w:t>G2 — Platform and shared-service qualification</w:t>
            </w:r>
          </w:p>
        </w:tc>
        <w:tc>
          <w:tcPr>
            <w:tcW w:type="dxa" w:w="4176"/>
            <w:tcMar>
              <w:top w:w="70" w:type="dxa"/>
              <w:start w:w="90" w:type="dxa"/>
              <w:bottom w:w="70" w:type="dxa"/>
              <w:end w:w="90" w:type="dxa"/>
            </w:tcMar>
            <w:vAlign w:val="top"/>
            <w:shd w:fill="F4F7F9" w:val="clear"/>
          </w:tcPr>
          <w:p>
            <w:pPr>
              <w:spacing w:after="40" w:line="245" w:lineRule="auto"/>
            </w:pPr>
            <w:r>
              <w:rPr>
                <w:sz w:val="18"/>
              </w:rPr>
              <w:t>G0/G1; authorized fixture; applicable observed tests</w:t>
            </w:r>
          </w:p>
        </w:tc>
        <w:tc>
          <w:tcPr>
            <w:tcW w:type="dxa" w:w="3859"/>
            <w:tcMar>
              <w:top w:w="70" w:type="dxa"/>
              <w:start w:w="90" w:type="dxa"/>
              <w:bottom w:w="70" w:type="dxa"/>
              <w:end w:w="90" w:type="dxa"/>
            </w:tcMar>
            <w:vAlign w:val="top"/>
            <w:shd w:fill="F4F7F9" w:val="clear"/>
          </w:tcPr>
          <w:p>
            <w:pPr>
              <w:spacing w:after="40" w:line="245" w:lineRule="auto"/>
            </w:pPr>
            <w:r>
              <w:rPr>
                <w:sz w:val="18"/>
              </w:rPr>
              <w:t>Installed resources and provider availability are not qualification.</w:t>
            </w:r>
          </w:p>
        </w:tc>
      </w:tr>
      <w:tr>
        <w:trPr>
          <w:cantSplit/>
        </w:trPr>
        <w:tc>
          <w:tcPr>
            <w:tcW w:type="dxa" w:w="2246"/>
            <w:tcMar>
              <w:top w:w="70" w:type="dxa"/>
              <w:start w:w="90" w:type="dxa"/>
              <w:bottom w:w="70" w:type="dxa"/>
              <w:end w:w="90" w:type="dxa"/>
            </w:tcMar>
            <w:vAlign w:val="top"/>
          </w:tcPr>
          <w:p>
            <w:pPr>
              <w:spacing w:after="40" w:line="245" w:lineRule="auto"/>
            </w:pPr>
            <w:r>
              <w:rPr>
                <w:sz w:val="18"/>
              </w:rPr>
              <w:t>G4 initial — Operational/recovery readiness</w:t>
            </w:r>
          </w:p>
        </w:tc>
        <w:tc>
          <w:tcPr>
            <w:tcW w:type="dxa" w:w="4176"/>
            <w:tcMar>
              <w:top w:w="70" w:type="dxa"/>
              <w:start w:w="90" w:type="dxa"/>
              <w:bottom w:w="70" w:type="dxa"/>
              <w:end w:w="90" w:type="dxa"/>
            </w:tcMar>
            <w:vAlign w:val="top"/>
          </w:tcPr>
          <w:p>
            <w:pPr>
              <w:spacing w:after="40" w:line="245" w:lineRule="auto"/>
            </w:pPr>
            <w:r>
              <w:rPr>
                <w:sz w:val="18"/>
              </w:rPr>
              <w:t>Relevant qualified platform/service</w:t>
            </w:r>
          </w:p>
        </w:tc>
        <w:tc>
          <w:tcPr>
            <w:tcW w:type="dxa" w:w="3859"/>
            <w:tcMar>
              <w:top w:w="70" w:type="dxa"/>
              <w:start w:w="90" w:type="dxa"/>
              <w:bottom w:w="70" w:type="dxa"/>
              <w:end w:w="90" w:type="dxa"/>
            </w:tcMar>
            <w:vAlign w:val="top"/>
          </w:tcPr>
          <w:p>
            <w:pPr>
              <w:spacing w:after="40" w:line="245" w:lineRule="auto"/>
            </w:pPr>
            <w:r>
              <w:rPr>
                <w:sz w:val="18"/>
              </w:rPr>
              <w:t>Must precede the production service promise; not deferred until after G3.</w:t>
            </w:r>
          </w:p>
        </w:tc>
      </w:tr>
      <w:tr>
        <w:trPr>
          <w:cantSplit/>
        </w:trPr>
        <w:tc>
          <w:tcPr>
            <w:tcW w:type="dxa" w:w="2246"/>
            <w:tcMar>
              <w:top w:w="70" w:type="dxa"/>
              <w:start w:w="90" w:type="dxa"/>
              <w:bottom w:w="70" w:type="dxa"/>
              <w:end w:w="90" w:type="dxa"/>
            </w:tcMar>
            <w:vAlign w:val="top"/>
            <w:shd w:fill="F4F7F9" w:val="clear"/>
          </w:tcPr>
          <w:p>
            <w:pPr>
              <w:spacing w:after="40" w:line="245" w:lineRule="auto"/>
            </w:pPr>
            <w:r>
              <w:rPr>
                <w:sz w:val="18"/>
              </w:rPr>
              <w:t>G3 — Production activation</w:t>
            </w:r>
          </w:p>
        </w:tc>
        <w:tc>
          <w:tcPr>
            <w:tcW w:type="dxa" w:w="4176"/>
            <w:tcMar>
              <w:top w:w="70" w:type="dxa"/>
              <w:start w:w="90" w:type="dxa"/>
              <w:bottom w:w="70" w:type="dxa"/>
              <w:end w:w="90" w:type="dxa"/>
            </w:tcMar>
            <w:vAlign w:val="top"/>
            <w:shd w:fill="F4F7F9" w:val="clear"/>
          </w:tcPr>
          <w:p>
            <w:pPr>
              <w:spacing w:after="40" w:line="245" w:lineRule="auto"/>
            </w:pPr>
            <w:r>
              <w:rPr>
                <w:sz w:val="18"/>
              </w:rPr>
              <w:t>G0, G1, G2, applicable G4 initial; valid authority</w:t>
            </w:r>
          </w:p>
        </w:tc>
        <w:tc>
          <w:tcPr>
            <w:tcW w:type="dxa" w:w="3859"/>
            <w:tcMar>
              <w:top w:w="70" w:type="dxa"/>
              <w:start w:w="90" w:type="dxa"/>
              <w:bottom w:w="70" w:type="dxa"/>
              <w:end w:w="90" w:type="dxa"/>
            </w:tcMar>
            <w:vAlign w:val="top"/>
            <w:shd w:fill="F4F7F9" w:val="clear"/>
          </w:tcPr>
          <w:p>
            <w:pPr>
              <w:spacing w:after="40" w:line="245" w:lineRule="auto"/>
            </w:pPr>
            <w:r>
              <w:rPr>
                <w:sz w:val="18"/>
              </w:rPr>
              <w:t>Neither a workbook nor a Terraform exit code grants authority.</w:t>
            </w:r>
          </w:p>
        </w:tc>
      </w:tr>
      <w:tr>
        <w:trPr>
          <w:cantSplit/>
        </w:trPr>
        <w:tc>
          <w:tcPr>
            <w:tcW w:type="dxa" w:w="2246"/>
            <w:tcMar>
              <w:top w:w="70" w:type="dxa"/>
              <w:start w:w="90" w:type="dxa"/>
              <w:bottom w:w="70" w:type="dxa"/>
              <w:end w:w="90" w:type="dxa"/>
            </w:tcMar>
            <w:vAlign w:val="top"/>
          </w:tcPr>
          <w:p>
            <w:pPr>
              <w:spacing w:after="40" w:line="245" w:lineRule="auto"/>
            </w:pPr>
            <w:r>
              <w:rPr>
                <w:sz w:val="18"/>
              </w:rPr>
              <w:t>G4 continuing — Continuing operations and reacceptance</w:t>
            </w:r>
          </w:p>
        </w:tc>
        <w:tc>
          <w:tcPr>
            <w:tcW w:type="dxa" w:w="4176"/>
            <w:tcMar>
              <w:top w:w="70" w:type="dxa"/>
              <w:start w:w="90" w:type="dxa"/>
              <w:bottom w:w="70" w:type="dxa"/>
              <w:end w:w="90" w:type="dxa"/>
            </w:tcMar>
            <w:vAlign w:val="top"/>
          </w:tcPr>
          <w:p>
            <w:pPr>
              <w:spacing w:after="40" w:line="245" w:lineRule="auto"/>
            </w:pPr>
            <w:r>
              <w:rPr>
                <w:sz w:val="18"/>
              </w:rPr>
              <w:t>Activated service; approved cadence and change triggers</w:t>
            </w:r>
          </w:p>
        </w:tc>
        <w:tc>
          <w:tcPr>
            <w:tcW w:type="dxa" w:w="3859"/>
            <w:tcMar>
              <w:top w:w="70" w:type="dxa"/>
              <w:start w:w="90" w:type="dxa"/>
              <w:bottom w:w="70" w:type="dxa"/>
              <w:end w:w="90" w:type="dxa"/>
            </w:tcMar>
            <w:vAlign w:val="top"/>
          </w:tcPr>
          <w:p>
            <w:pPr>
              <w:spacing w:after="40" w:line="245" w:lineRule="auto"/>
            </w:pPr>
            <w:r>
              <w:rPr>
                <w:sz w:val="18"/>
              </w:rPr>
              <w:t>Historical approval is not evidence for changed topology.</w:t>
            </w:r>
          </w:p>
        </w:tc>
      </w:tr>
    </w:tbl>
    <w:p>
      <w:pPr>
        <w:spacing w:after="0"/>
      </w:pPr>
      <w:r/>
    </w:p>
    <w:p>
      <w:r>
        <w:t>A gate record names the actual service/site/version scope, decision authority, evidence and conditions. Failed or missing evidence cannot be converted into acceptance merely by changing a spreadsheet status. Applicability decisions also require an accountable rationale.</w:t>
      </w:r>
    </w:p>
    <w:p>
      <w:r>
        <w:br w:type="page"/>
      </w:r>
    </w:p>
    <w:p>
      <w:pPr>
        <w:pStyle w:val="Heading1"/>
      </w:pPr>
      <w:r>
        <w:t>4. Working records, examples and evidence</w:t>
      </w:r>
      <w:bookmarkStart w:id="1003" w:name="DEL_04"/>
      <w:bookmarkEnd w:id="1003"/>
    </w:p>
    <w:p>
      <w:r>
        <w:t>Use one controlled site record set; do not maintain independent conflicting versions in every team. The three workbooks are working registers. Shared CSVs are reference snapshots unless explicitly designated as the project record.</w:t>
      </w:r>
    </w:p>
    <w:p>
      <w:pPr>
        <w:pStyle w:val="Caption"/>
      </w:pPr>
      <w:r>
        <w:t xml:space="preserve">Baseline and related records: </w:t>
      </w:r>
      <w:hyperlink r:id="rId18">
        <w:r>
          <w:rPr>
            <w:color w:val="0B6B70"/>
            <w:u w:val="single"/>
          </w:rPr>
          <w:t>RA §28</w:t>
        </w:r>
      </w:hyperlink>
      <w:r>
        <w:t xml:space="preserve">  •  </w:t>
      </w:r>
      <w:hyperlink r:id="rId19">
        <w:r>
          <w:rPr>
            <w:color w:val="0B6B70"/>
            <w:u w:val="single"/>
          </w:rPr>
          <w:t>WD §13</w:t>
        </w:r>
      </w:hyperlink>
    </w:p>
    <w:tbl>
      <w:tblPr>
        <w:tblW w:type="auto" w:w="0"/>
        <w:jc w:val="center"/>
        <w:tblLayout w:type="fixed"/>
        <w:tblLook w:firstColumn="1" w:firstRow="1" w:lastColumn="0" w:lastRow="0" w:noHBand="0" w:noVBand="1" w:val="04A0"/>
      </w:tblPr>
      <w:tblGrid>
        <w:gridCol w:w="1944"/>
        <w:gridCol w:w="4493"/>
        <w:gridCol w:w="3845"/>
      </w:tblGrid>
      <w:tr>
        <w:trPr>
          <w:tblHeader/>
        </w:trPr>
        <w:tc>
          <w:tcPr>
            <w:tcW w:type="dxa" w:w="1944"/>
            <w:shd w:fill="15384A" w:val="clear"/>
            <w:tcMar>
              <w:top w:w="70" w:type="dxa"/>
              <w:start w:w="90" w:type="dxa"/>
              <w:bottom w:w="70" w:type="dxa"/>
              <w:end w:w="90" w:type="dxa"/>
            </w:tcMar>
          </w:tcPr>
          <w:p>
            <w:r>
              <w:rPr>
                <w:b/>
                <w:color w:val="FFFFFF"/>
                <w:sz w:val="18"/>
              </w:rPr>
              <w:t>Material</w:t>
            </w:r>
          </w:p>
        </w:tc>
        <w:tc>
          <w:tcPr>
            <w:tcW w:type="dxa" w:w="4493"/>
            <w:shd w:fill="15384A" w:val="clear"/>
            <w:tcMar>
              <w:top w:w="70" w:type="dxa"/>
              <w:start w:w="90" w:type="dxa"/>
              <w:bottom w:w="70" w:type="dxa"/>
              <w:end w:w="90" w:type="dxa"/>
            </w:tcMar>
          </w:tcPr>
          <w:p>
            <w:r>
              <w:rPr>
                <w:b/>
                <w:color w:val="FFFFFF"/>
                <w:sz w:val="18"/>
              </w:rPr>
              <w:t>Treatment</w:t>
            </w:r>
          </w:p>
        </w:tc>
        <w:tc>
          <w:tcPr>
            <w:tcW w:type="dxa" w:w="3845"/>
            <w:shd w:fill="15384A" w:val="clear"/>
            <w:tcMar>
              <w:top w:w="70" w:type="dxa"/>
              <w:start w:w="90" w:type="dxa"/>
              <w:bottom w:w="70" w:type="dxa"/>
              <w:end w:w="90" w:type="dxa"/>
            </w:tcMar>
          </w:tcPr>
          <w:p>
            <w:r>
              <w:rPr>
                <w:b/>
                <w:color w:val="FFFFFF"/>
                <w:sz w:val="18"/>
              </w:rPr>
              <w:t>Where to work</w:t>
            </w:r>
          </w:p>
        </w:tc>
      </w:tr>
      <w:tr>
        <w:trPr>
          <w:cantSplit/>
        </w:trPr>
        <w:tc>
          <w:tcPr>
            <w:tcW w:type="dxa" w:w="1944"/>
            <w:tcMar>
              <w:top w:w="70" w:type="dxa"/>
              <w:start w:w="90" w:type="dxa"/>
              <w:bottom w:w="70" w:type="dxa"/>
              <w:end w:w="90" w:type="dxa"/>
            </w:tcMar>
            <w:vAlign w:val="top"/>
          </w:tcPr>
          <w:p>
            <w:pPr>
              <w:spacing w:after="40" w:line="245" w:lineRule="auto"/>
            </w:pPr>
            <w:r>
              <w:rPr>
                <w:sz w:val="18"/>
              </w:rPr>
              <w:t>Frozen reference documents</w:t>
            </w:r>
          </w:p>
        </w:tc>
        <w:tc>
          <w:tcPr>
            <w:tcW w:type="dxa" w:w="4493"/>
            <w:tcMar>
              <w:top w:w="70" w:type="dxa"/>
              <w:start w:w="90" w:type="dxa"/>
              <w:bottom w:w="70" w:type="dxa"/>
              <w:end w:w="90" w:type="dxa"/>
            </w:tcMar>
            <w:vAlign w:val="top"/>
          </w:tcPr>
          <w:p>
            <w:pPr>
              <w:spacing w:after="40" w:line="245" w:lineRule="auto"/>
            </w:pPr>
            <w:r>
              <w:rPr>
                <w:sz w:val="18"/>
              </w:rPr>
              <w:t>Read and cite; retain original bytes and record variations separately.</w:t>
            </w:r>
          </w:p>
        </w:tc>
        <w:tc>
          <w:tcPr>
            <w:tcW w:type="dxa" w:w="3845"/>
            <w:tcMar>
              <w:top w:w="70" w:type="dxa"/>
              <w:start w:w="90" w:type="dxa"/>
              <w:bottom w:w="70" w:type="dxa"/>
              <w:end w:w="90" w:type="dxa"/>
            </w:tcMar>
            <w:vAlign w:val="top"/>
          </w:tcPr>
          <w:p>
            <w:pPr>
              <w:spacing w:after="40" w:line="245" w:lineRule="auto"/>
            </w:pPr>
            <w:r>
              <w:rPr>
                <w:sz w:val="18"/>
              </w:rPr>
              <w:t>05_Reference_v1_4/</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Kit guides</w:t>
            </w:r>
          </w:p>
        </w:tc>
        <w:tc>
          <w:tcPr>
            <w:tcW w:type="dxa" w:w="4493"/>
            <w:tcMar>
              <w:top w:w="70" w:type="dxa"/>
              <w:start w:w="90" w:type="dxa"/>
              <w:bottom w:w="70" w:type="dxa"/>
              <w:end w:w="90" w:type="dxa"/>
            </w:tcMar>
            <w:vAlign w:val="top"/>
            <w:shd w:fill="F4F7F9" w:val="clear"/>
          </w:tcPr>
          <w:p>
            <w:pPr>
              <w:spacing w:after="40" w:line="245" w:lineRule="auto"/>
            </w:pPr>
            <w:r>
              <w:rPr>
                <w:sz w:val="18"/>
              </w:rPr>
              <w:t>Instructions, quality criteria and boundary conditions.</w:t>
            </w:r>
          </w:p>
        </w:tc>
        <w:tc>
          <w:tcPr>
            <w:tcW w:type="dxa" w:w="3845"/>
            <w:tcMar>
              <w:top w:w="70" w:type="dxa"/>
              <w:start w:w="90" w:type="dxa"/>
              <w:bottom w:w="70" w:type="dxa"/>
              <w:end w:w="90" w:type="dxa"/>
            </w:tcMar>
            <w:vAlign w:val="top"/>
            <w:shd w:fill="F4F7F9" w:val="clear"/>
          </w:tcPr>
          <w:p>
            <w:pPr>
              <w:spacing w:after="40" w:line="245" w:lineRule="auto"/>
            </w:pPr>
            <w:r>
              <w:rPr>
                <w:sz w:val="18"/>
              </w:rPr>
              <w:t>Each role directory</w:t>
            </w:r>
          </w:p>
        </w:tc>
      </w:tr>
      <w:tr>
        <w:trPr>
          <w:cantSplit/>
        </w:trPr>
        <w:tc>
          <w:tcPr>
            <w:tcW w:type="dxa" w:w="1944"/>
            <w:tcMar>
              <w:top w:w="70" w:type="dxa"/>
              <w:start w:w="90" w:type="dxa"/>
              <w:bottom w:w="70" w:type="dxa"/>
              <w:end w:w="90" w:type="dxa"/>
            </w:tcMar>
            <w:vAlign w:val="top"/>
          </w:tcPr>
          <w:p>
            <w:pPr>
              <w:spacing w:after="40" w:line="245" w:lineRule="auto"/>
            </w:pPr>
            <w:r>
              <w:rPr>
                <w:sz w:val="18"/>
              </w:rPr>
              <w:t>Word templates</w:t>
            </w:r>
          </w:p>
        </w:tc>
        <w:tc>
          <w:tcPr>
            <w:tcW w:type="dxa" w:w="4493"/>
            <w:tcMar>
              <w:top w:w="70" w:type="dxa"/>
              <w:start w:w="90" w:type="dxa"/>
              <w:bottom w:w="70" w:type="dxa"/>
              <w:end w:w="90" w:type="dxa"/>
            </w:tcMar>
            <w:vAlign w:val="top"/>
          </w:tcPr>
          <w:p>
            <w:pPr>
              <w:spacing w:after="40" w:line="245" w:lineRule="auto"/>
            </w:pPr>
            <w:r>
              <w:rPr>
                <w:sz w:val="18"/>
              </w:rPr>
              <w:t>Copy for a named project; complete the tagged response controls and attach actual diagrams.</w:t>
            </w:r>
          </w:p>
        </w:tc>
        <w:tc>
          <w:tcPr>
            <w:tcW w:type="dxa" w:w="3845"/>
            <w:tcMar>
              <w:top w:w="70" w:type="dxa"/>
              <w:start w:w="90" w:type="dxa"/>
              <w:bottom w:w="70" w:type="dxa"/>
              <w:end w:w="90" w:type="dxa"/>
            </w:tcMar>
            <w:vAlign w:val="top"/>
          </w:tcPr>
          <w:p>
            <w:pPr>
              <w:spacing w:after="40" w:line="245" w:lineRule="auto"/>
            </w:pPr>
            <w:r>
              <w:rPr>
                <w:sz w:val="18"/>
              </w:rPr>
              <w:t>HLD, LLD and MOP/test/handover templates</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Workbooks</w:t>
            </w:r>
          </w:p>
        </w:tc>
        <w:tc>
          <w:tcPr>
            <w:tcW w:type="dxa" w:w="4493"/>
            <w:tcMar>
              <w:top w:w="70" w:type="dxa"/>
              <w:start w:w="90" w:type="dxa"/>
              <w:bottom w:w="70" w:type="dxa"/>
              <w:end w:w="90" w:type="dxa"/>
            </w:tcMar>
            <w:vAlign w:val="top"/>
            <w:shd w:fill="F4F7F9" w:val="clear"/>
          </w:tcPr>
          <w:p>
            <w:pPr>
              <w:spacing w:after="40" w:line="245" w:lineRule="auto"/>
            </w:pPr>
            <w:r>
              <w:rPr>
                <w:sz w:val="18"/>
              </w:rPr>
              <w:t>Enter actual owners, approved values and evidence. Example-labelled sheets are not site allocations.</w:t>
            </w:r>
          </w:p>
        </w:tc>
        <w:tc>
          <w:tcPr>
            <w:tcW w:type="dxa" w:w="3845"/>
            <w:tcMar>
              <w:top w:w="70" w:type="dxa"/>
              <w:start w:w="90" w:type="dxa"/>
              <w:bottom w:w="70" w:type="dxa"/>
              <w:end w:w="90" w:type="dxa"/>
            </w:tcMar>
            <w:vAlign w:val="top"/>
            <w:shd w:fill="F4F7F9" w:val="clear"/>
          </w:tcPr>
          <w:p>
            <w:pPr>
              <w:spacing w:after="40" w:line="245" w:lineRule="auto"/>
            </w:pPr>
            <w:r>
              <w:rPr>
                <w:sz w:val="18"/>
              </w:rPr>
              <w:t>Architecture_Registers, Engineering_Schedules, Implementation_Tracker</w:t>
            </w:r>
          </w:p>
        </w:tc>
      </w:tr>
      <w:tr>
        <w:trPr>
          <w:cantSplit/>
        </w:trPr>
        <w:tc>
          <w:tcPr>
            <w:tcW w:type="dxa" w:w="1944"/>
            <w:tcMar>
              <w:top w:w="70" w:type="dxa"/>
              <w:start w:w="90" w:type="dxa"/>
              <w:bottom w:w="70" w:type="dxa"/>
              <w:end w:w="90" w:type="dxa"/>
            </w:tcMar>
            <w:vAlign w:val="top"/>
          </w:tcPr>
          <w:p>
            <w:pPr>
              <w:spacing w:after="40" w:line="245" w:lineRule="auto"/>
            </w:pPr>
            <w:r>
              <w:rPr>
                <w:sz w:val="18"/>
              </w:rPr>
              <w:t>Runbooks</w:t>
            </w:r>
          </w:p>
        </w:tc>
        <w:tc>
          <w:tcPr>
            <w:tcW w:type="dxa" w:w="4493"/>
            <w:tcMar>
              <w:top w:w="70" w:type="dxa"/>
              <w:start w:w="90" w:type="dxa"/>
              <w:bottom w:w="70" w:type="dxa"/>
              <w:end w:w="90" w:type="dxa"/>
            </w:tcMar>
            <w:vAlign w:val="top"/>
          </w:tcPr>
          <w:p>
            <w:pPr>
              <w:spacing w:after="40" w:line="245" w:lineRule="auto"/>
            </w:pPr>
            <w:r>
              <w:rPr>
                <w:sz w:val="18"/>
              </w:rPr>
              <w:t>Adapt to the reviewed LLD, product tuple and approved change window before execution.</w:t>
            </w:r>
          </w:p>
        </w:tc>
        <w:tc>
          <w:tcPr>
            <w:tcW w:type="dxa" w:w="3845"/>
            <w:tcMar>
              <w:top w:w="70" w:type="dxa"/>
              <w:start w:w="90" w:type="dxa"/>
              <w:bottom w:w="70" w:type="dxa"/>
              <w:end w:w="90" w:type="dxa"/>
            </w:tcMar>
            <w:vAlign w:val="top"/>
          </w:tcPr>
          <w:p>
            <w:pPr>
              <w:spacing w:after="40" w:line="245" w:lineRule="auto"/>
            </w:pPr>
            <w:r>
              <w:rPr>
                <w:sz w:val="18"/>
              </w:rPr>
              <w:t>03_Implementation/runbooks/</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Local tools</w:t>
            </w:r>
          </w:p>
        </w:tc>
        <w:tc>
          <w:tcPr>
            <w:tcW w:type="dxa" w:w="4493"/>
            <w:tcMar>
              <w:top w:w="70" w:type="dxa"/>
              <w:start w:w="90" w:type="dxa"/>
              <w:bottom w:w="70" w:type="dxa"/>
              <w:end w:w="90" w:type="dxa"/>
            </w:tcMar>
            <w:vAlign w:val="top"/>
            <w:shd w:fill="F4F7F9" w:val="clear"/>
          </w:tcPr>
          <w:p>
            <w:pPr>
              <w:spacing w:after="40" w:line="245" w:lineRule="auto"/>
            </w:pPr>
            <w:r>
              <w:rPr>
                <w:sz w:val="18"/>
              </w:rPr>
              <w:t>Package/link checking and a limited offline Terraform plan review; no infrastructure access.</w:t>
            </w:r>
          </w:p>
        </w:tc>
        <w:tc>
          <w:tcPr>
            <w:tcW w:type="dxa" w:w="3845"/>
            <w:tcMar>
              <w:top w:w="70" w:type="dxa"/>
              <w:start w:w="90" w:type="dxa"/>
              <w:bottom w:w="70" w:type="dxa"/>
              <w:end w:w="90" w:type="dxa"/>
            </w:tcMar>
            <w:vAlign w:val="top"/>
            <w:shd w:fill="F4F7F9" w:val="clear"/>
          </w:tcPr>
          <w:p>
            <w:pPr>
              <w:spacing w:after="40" w:line="245" w:lineRule="auto"/>
            </w:pPr>
            <w:r>
              <w:rPr>
                <w:sz w:val="18"/>
              </w:rPr>
              <w:t>06_Tools/</w:t>
            </w:r>
          </w:p>
        </w:tc>
      </w:tr>
      <w:tr>
        <w:trPr>
          <w:cantSplit/>
        </w:trPr>
        <w:tc>
          <w:tcPr>
            <w:tcW w:type="dxa" w:w="1944"/>
            <w:tcMar>
              <w:top w:w="70" w:type="dxa"/>
              <w:start w:w="90" w:type="dxa"/>
              <w:bottom w:w="70" w:type="dxa"/>
              <w:end w:w="90" w:type="dxa"/>
            </w:tcMar>
            <w:vAlign w:val="top"/>
          </w:tcPr>
          <w:p>
            <w:pPr>
              <w:spacing w:after="40" w:line="245" w:lineRule="auto"/>
            </w:pPr>
            <w:r>
              <w:rPr>
                <w:sz w:val="18"/>
              </w:rPr>
              <w:t>Evidence</w:t>
            </w:r>
          </w:p>
        </w:tc>
        <w:tc>
          <w:tcPr>
            <w:tcW w:type="dxa" w:w="4493"/>
            <w:tcMar>
              <w:top w:w="70" w:type="dxa"/>
              <w:start w:w="90" w:type="dxa"/>
              <w:bottom w:w="70" w:type="dxa"/>
              <w:end w:w="90" w:type="dxa"/>
            </w:tcMar>
            <w:vAlign w:val="top"/>
          </w:tcPr>
          <w:p>
            <w:pPr>
              <w:spacing w:after="40" w:line="245" w:lineRule="auto"/>
            </w:pPr>
            <w:r>
              <w:rPr>
                <w:sz w:val="18"/>
              </w:rPr>
              <w:t>Store approved artifacts in the controlled repository; record IDs, hashes, scope and collection times.</w:t>
            </w:r>
          </w:p>
        </w:tc>
        <w:tc>
          <w:tcPr>
            <w:tcW w:type="dxa" w:w="3845"/>
            <w:tcMar>
              <w:top w:w="70" w:type="dxa"/>
              <w:start w:w="90" w:type="dxa"/>
              <w:bottom w:w="70" w:type="dxa"/>
              <w:end w:w="90" w:type="dxa"/>
            </w:tcMar>
            <w:vAlign w:val="top"/>
          </w:tcPr>
          <w:p>
            <w:pPr>
              <w:spacing w:after="40" w:line="245" w:lineRule="auto"/>
            </w:pPr>
            <w:r>
              <w:rPr>
                <w:sz w:val="18"/>
              </w:rPr>
              <w:t>Implementation evidence register; not unprotected logs in email.</w:t>
            </w:r>
          </w:p>
        </w:tc>
      </w:tr>
    </w:tbl>
    <w:p>
      <w:pPr>
        <w:spacing w:after="0"/>
      </w:pPr>
      <w:r/>
    </w:p>
    <w:p>
      <w:pPr>
        <w:pStyle w:val="Heading2"/>
      </w:pPr>
      <w:r>
        <w:t>Status discipline</w:t>
      </w:r>
    </w:p>
    <w:p>
      <w:r>
        <w:t>Separate design completion, engineering review, installation, technical qualification, operational readiness and authorization. “Not run”, “unknown” and “not applicable” are distinct. A plan, receipt or signature-reference string is not proof that the underlying control or authority exists.</w:t>
      </w:r>
    </w:p>
    <w:p>
      <w:r>
        <w:br w:type="page"/>
      </w:r>
    </w:p>
    <w:p>
      <w:pPr>
        <w:pStyle w:val="Heading1"/>
      </w:pPr>
      <w:r>
        <w:t>5. Review sequence and change control</w:t>
      </w:r>
      <w:bookmarkStart w:id="1004" w:name="DEL_05"/>
      <w:bookmarkEnd w:id="1004"/>
    </w:p>
    <w:p>
      <w:r>
        <w:t>Use focused reviews at the point where a decision becomes expensive to reverse. Do not use document length or a green dashboard as the quality measure.</w:t>
      </w:r>
    </w:p>
    <w:p>
      <w:pPr>
        <w:pStyle w:val="Caption"/>
      </w:pPr>
      <w:r>
        <w:t xml:space="preserve">Baseline and related records: </w:t>
      </w:r>
      <w:hyperlink r:id="rId20">
        <w:r>
          <w:rPr>
            <w:color w:val="0B6B70"/>
            <w:u w:val="single"/>
          </w:rPr>
          <w:t>RA §25</w:t>
        </w:r>
      </w:hyperlink>
      <w:r>
        <w:t xml:space="preserve">  •  </w:t>
      </w:r>
      <w:hyperlink r:id="rId21">
        <w:r>
          <w:rPr>
            <w:color w:val="0B6B70"/>
            <w:u w:val="single"/>
          </w:rPr>
          <w:t>RA §29</w:t>
        </w:r>
      </w:hyperlink>
      <w:r>
        <w:t xml:space="preserve">  •  </w:t>
      </w:r>
      <w:hyperlink r:id="rId22">
        <w:r>
          <w:rPr>
            <w:color w:val="0B6B70"/>
            <w:u w:val="single"/>
          </w:rPr>
          <w:t>QUAL §7</w:t>
        </w:r>
      </w:hyperlink>
    </w:p>
    <w:tbl>
      <w:tblPr>
        <w:tblW w:type="auto" w:w="0"/>
        <w:jc w:val="center"/>
        <w:tblLayout w:type="fixed"/>
        <w:tblLook w:firstColumn="1" w:firstRow="1" w:lastColumn="0" w:lastRow="0" w:noHBand="0" w:noVBand="1" w:val="04A0"/>
      </w:tblPr>
      <w:tblGrid>
        <w:gridCol w:w="2016"/>
        <w:gridCol w:w="4579"/>
        <w:gridCol w:w="3686"/>
      </w:tblGrid>
      <w:tr>
        <w:trPr>
          <w:tblHeader/>
        </w:trPr>
        <w:tc>
          <w:tcPr>
            <w:tcW w:type="dxa" w:w="2016"/>
            <w:shd w:fill="15384A" w:val="clear"/>
            <w:tcMar>
              <w:top w:w="70" w:type="dxa"/>
              <w:start w:w="90" w:type="dxa"/>
              <w:bottom w:w="70" w:type="dxa"/>
              <w:end w:w="90" w:type="dxa"/>
            </w:tcMar>
          </w:tcPr>
          <w:p>
            <w:r>
              <w:rPr>
                <w:b/>
                <w:color w:val="FFFFFF"/>
                <w:sz w:val="18"/>
              </w:rPr>
              <w:t>Review</w:t>
            </w:r>
          </w:p>
        </w:tc>
        <w:tc>
          <w:tcPr>
            <w:tcW w:type="dxa" w:w="4579"/>
            <w:shd w:fill="15384A" w:val="clear"/>
            <w:tcMar>
              <w:top w:w="70" w:type="dxa"/>
              <w:start w:w="90" w:type="dxa"/>
              <w:bottom w:w="70" w:type="dxa"/>
              <w:end w:w="90" w:type="dxa"/>
            </w:tcMar>
          </w:tcPr>
          <w:p>
            <w:r>
              <w:rPr>
                <w:b/>
                <w:color w:val="FFFFFF"/>
                <w:sz w:val="18"/>
              </w:rPr>
              <w:t>Questions to settle</w:t>
            </w:r>
          </w:p>
        </w:tc>
        <w:tc>
          <w:tcPr>
            <w:tcW w:type="dxa" w:w="3686"/>
            <w:shd w:fill="15384A" w:val="clear"/>
            <w:tcMar>
              <w:top w:w="70" w:type="dxa"/>
              <w:start w:w="90" w:type="dxa"/>
              <w:bottom w:w="70" w:type="dxa"/>
              <w:end w:w="90" w:type="dxa"/>
            </w:tcMar>
          </w:tcPr>
          <w:p>
            <w:r>
              <w:rPr>
                <w:b/>
                <w:color w:val="FFFFFF"/>
                <w:sz w:val="18"/>
              </w:rPr>
              <w:t>Attendees / resulting record</w:t>
            </w:r>
          </w:p>
        </w:tc>
      </w:tr>
      <w:tr>
        <w:trPr>
          <w:cantSplit/>
        </w:trPr>
        <w:tc>
          <w:tcPr>
            <w:tcW w:type="dxa" w:w="2016"/>
            <w:tcMar>
              <w:top w:w="70" w:type="dxa"/>
              <w:start w:w="90" w:type="dxa"/>
              <w:bottom w:w="70" w:type="dxa"/>
              <w:end w:w="90" w:type="dxa"/>
            </w:tcMar>
            <w:vAlign w:val="top"/>
          </w:tcPr>
          <w:p>
            <w:pPr>
              <w:spacing w:after="40" w:line="245" w:lineRule="auto"/>
            </w:pPr>
            <w:r>
              <w:rPr>
                <w:sz w:val="18"/>
              </w:rPr>
              <w:t>Architecture workshop</w:t>
            </w:r>
          </w:p>
        </w:tc>
        <w:tc>
          <w:tcPr>
            <w:tcW w:type="dxa" w:w="4579"/>
            <w:tcMar>
              <w:top w:w="70" w:type="dxa"/>
              <w:start w:w="90" w:type="dxa"/>
              <w:bottom w:w="70" w:type="dxa"/>
              <w:end w:w="90" w:type="dxa"/>
            </w:tcMar>
            <w:vAlign w:val="top"/>
          </w:tcPr>
          <w:p>
            <w:pPr>
              <w:spacing w:after="40" w:line="245" w:lineRule="auto"/>
            </w:pPr>
            <w:r>
              <w:rPr>
                <w:sz w:val="18"/>
              </w:rPr>
              <w:t>Scope, boundaries, sharing, service classes, alternative realizations and exit constraints.</w:t>
            </w:r>
          </w:p>
        </w:tc>
        <w:tc>
          <w:tcPr>
            <w:tcW w:type="dxa" w:w="3686"/>
            <w:tcMar>
              <w:top w:w="70" w:type="dxa"/>
              <w:start w:w="90" w:type="dxa"/>
              <w:bottom w:w="70" w:type="dxa"/>
              <w:end w:w="90" w:type="dxa"/>
            </w:tcMar>
            <w:vAlign w:val="top"/>
          </w:tcPr>
          <w:p>
            <w:pPr>
              <w:spacing w:after="40" w:line="245" w:lineRule="auto"/>
            </w:pPr>
            <w:r>
              <w:rPr>
                <w:sz w:val="18"/>
              </w:rPr>
              <w:t>Architecture, security, platform, network, storage and service owners; AK-01–08.</w:t>
            </w:r>
          </w:p>
        </w:tc>
      </w:tr>
      <w:tr>
        <w:trPr>
          <w:cantSplit/>
        </w:trPr>
        <w:tc>
          <w:tcPr>
            <w:tcW w:type="dxa" w:w="2016"/>
            <w:tcMar>
              <w:top w:w="70" w:type="dxa"/>
              <w:start w:w="90" w:type="dxa"/>
              <w:bottom w:w="70" w:type="dxa"/>
              <w:end w:w="90" w:type="dxa"/>
            </w:tcMar>
            <w:vAlign w:val="top"/>
            <w:shd w:fill="F4F7F9" w:val="clear"/>
          </w:tcPr>
          <w:p>
            <w:pPr>
              <w:spacing w:after="40" w:line="245" w:lineRule="auto"/>
            </w:pPr>
            <w:r>
              <w:rPr>
                <w:sz w:val="18"/>
              </w:rPr>
              <w:t>Engineering walkthrough</w:t>
            </w:r>
          </w:p>
        </w:tc>
        <w:tc>
          <w:tcPr>
            <w:tcW w:type="dxa" w:w="4579"/>
            <w:tcMar>
              <w:top w:w="70" w:type="dxa"/>
              <w:start w:w="90" w:type="dxa"/>
              <w:bottom w:w="70" w:type="dxa"/>
              <w:end w:w="90" w:type="dxa"/>
            </w:tcMar>
            <w:vAlign w:val="top"/>
            <w:shd w:fill="F4F7F9" w:val="clear"/>
          </w:tcPr>
          <w:p>
            <w:pPr>
              <w:spacing w:after="40" w:line="245" w:lineRule="auto"/>
            </w:pPr>
            <w:r>
              <w:rPr>
                <w:sz w:val="18"/>
              </w:rPr>
              <w:t>Trace one allowed and one denied path; lose one component; restore one dataset; adopt one existing resource.</w:t>
            </w:r>
          </w:p>
        </w:tc>
        <w:tc>
          <w:tcPr>
            <w:tcW w:type="dxa" w:w="3686"/>
            <w:tcMar>
              <w:top w:w="70" w:type="dxa"/>
              <w:start w:w="90" w:type="dxa"/>
              <w:bottom w:w="70" w:type="dxa"/>
              <w:end w:w="90" w:type="dxa"/>
            </w:tcMar>
            <w:vAlign w:val="top"/>
            <w:shd w:fill="F4F7F9" w:val="clear"/>
          </w:tcPr>
          <w:p>
            <w:pPr>
              <w:spacing w:after="40" w:line="245" w:lineRule="auto"/>
            </w:pPr>
            <w:r>
              <w:rPr>
                <w:sz w:val="18"/>
              </w:rPr>
              <w:t>Detailed-design owners and operators; EK-01–09 with discrepancies assigned.</w:t>
            </w:r>
          </w:p>
        </w:tc>
      </w:tr>
      <w:tr>
        <w:trPr>
          <w:cantSplit/>
        </w:trPr>
        <w:tc>
          <w:tcPr>
            <w:tcW w:type="dxa" w:w="2016"/>
            <w:tcMar>
              <w:top w:w="70" w:type="dxa"/>
              <w:start w:w="90" w:type="dxa"/>
              <w:bottom w:w="70" w:type="dxa"/>
              <w:end w:w="90" w:type="dxa"/>
            </w:tcMar>
            <w:vAlign w:val="top"/>
          </w:tcPr>
          <w:p>
            <w:pPr>
              <w:spacing w:after="40" w:line="245" w:lineRule="auto"/>
            </w:pPr>
            <w:r>
              <w:rPr>
                <w:sz w:val="18"/>
              </w:rPr>
              <w:t>Change rehearsal</w:t>
            </w:r>
          </w:p>
        </w:tc>
        <w:tc>
          <w:tcPr>
            <w:tcW w:type="dxa" w:w="4579"/>
            <w:tcMar>
              <w:top w:w="70" w:type="dxa"/>
              <w:start w:w="90" w:type="dxa"/>
              <w:bottom w:w="70" w:type="dxa"/>
              <w:end w:w="90" w:type="dxa"/>
            </w:tcMar>
            <w:vAlign w:val="top"/>
          </w:tcPr>
          <w:p>
            <w:pPr>
              <w:spacing w:after="40" w:line="245" w:lineRule="auto"/>
            </w:pPr>
            <w:r>
              <w:rPr>
                <w:sz w:val="18"/>
              </w:rPr>
              <w:t>Validate artifact identity, least privilege, one-writer ownership, safe stop, late tasks and recovery.</w:t>
            </w:r>
          </w:p>
        </w:tc>
        <w:tc>
          <w:tcPr>
            <w:tcW w:type="dxa" w:w="3686"/>
            <w:tcMar>
              <w:top w:w="70" w:type="dxa"/>
              <w:start w:w="90" w:type="dxa"/>
              <w:bottom w:w="70" w:type="dxa"/>
              <w:end w:w="90" w:type="dxa"/>
            </w:tcMar>
            <w:vAlign w:val="top"/>
          </w:tcPr>
          <w:p>
            <w:pPr>
              <w:spacing w:after="40" w:line="245" w:lineRule="auto"/>
            </w:pPr>
            <w:r>
              <w:rPr>
                <w:sz w:val="18"/>
              </w:rPr>
              <w:t>Implementers, change authority and assurance; reviewed MOP.</w:t>
            </w:r>
          </w:p>
        </w:tc>
      </w:tr>
      <w:tr>
        <w:trPr>
          <w:cantSplit/>
        </w:trPr>
        <w:tc>
          <w:tcPr>
            <w:tcW w:type="dxa" w:w="2016"/>
            <w:tcMar>
              <w:top w:w="70" w:type="dxa"/>
              <w:start w:w="90" w:type="dxa"/>
              <w:bottom w:w="70" w:type="dxa"/>
              <w:end w:w="90" w:type="dxa"/>
            </w:tcMar>
            <w:vAlign w:val="top"/>
            <w:shd w:fill="F4F7F9" w:val="clear"/>
          </w:tcPr>
          <w:p>
            <w:pPr>
              <w:spacing w:after="40" w:line="245" w:lineRule="auto"/>
            </w:pPr>
            <w:r>
              <w:rPr>
                <w:sz w:val="18"/>
              </w:rPr>
              <w:t>Qualification review</w:t>
            </w:r>
          </w:p>
        </w:tc>
        <w:tc>
          <w:tcPr>
            <w:tcW w:type="dxa" w:w="4579"/>
            <w:tcMar>
              <w:top w:w="70" w:type="dxa"/>
              <w:start w:w="90" w:type="dxa"/>
              <w:bottom w:w="70" w:type="dxa"/>
              <w:end w:w="90" w:type="dxa"/>
            </w:tcMar>
            <w:vAlign w:val="top"/>
            <w:shd w:fill="F4F7F9" w:val="clear"/>
          </w:tcPr>
          <w:p>
            <w:pPr>
              <w:spacing w:after="40" w:line="245" w:lineRule="auto"/>
            </w:pPr>
            <w:r>
              <w:rPr>
                <w:sz w:val="18"/>
              </w:rPr>
              <w:t>Assess actual assertion coverage, limits, negative controls and scoped evidence.</w:t>
            </w:r>
          </w:p>
        </w:tc>
        <w:tc>
          <w:tcPr>
            <w:tcW w:type="dxa" w:w="3686"/>
            <w:tcMar>
              <w:top w:w="70" w:type="dxa"/>
              <w:start w:w="90" w:type="dxa"/>
              <w:bottom w:w="70" w:type="dxa"/>
              <w:end w:w="90" w:type="dxa"/>
            </w:tcMar>
            <w:vAlign w:val="top"/>
            <w:shd w:fill="F4F7F9" w:val="clear"/>
          </w:tcPr>
          <w:p>
            <w:pPr>
              <w:spacing w:after="40" w:line="245" w:lineRule="auto"/>
            </w:pPr>
            <w:r>
              <w:rPr>
                <w:sz w:val="18"/>
              </w:rPr>
              <w:t>Independent reviewer where required; G2 disposition, not production permission.</w:t>
            </w:r>
          </w:p>
        </w:tc>
      </w:tr>
      <w:tr>
        <w:trPr>
          <w:cantSplit/>
        </w:trPr>
        <w:tc>
          <w:tcPr>
            <w:tcW w:type="dxa" w:w="2016"/>
            <w:tcMar>
              <w:top w:w="70" w:type="dxa"/>
              <w:start w:w="90" w:type="dxa"/>
              <w:bottom w:w="70" w:type="dxa"/>
              <w:end w:w="90" w:type="dxa"/>
            </w:tcMar>
            <w:vAlign w:val="top"/>
          </w:tcPr>
          <w:p>
            <w:pPr>
              <w:spacing w:after="40" w:line="245" w:lineRule="auto"/>
            </w:pPr>
            <w:r>
              <w:rPr>
                <w:sz w:val="18"/>
              </w:rPr>
              <w:t>Readiness / activation</w:t>
            </w:r>
          </w:p>
        </w:tc>
        <w:tc>
          <w:tcPr>
            <w:tcW w:type="dxa" w:w="4579"/>
            <w:tcMar>
              <w:top w:w="70" w:type="dxa"/>
              <w:start w:w="90" w:type="dxa"/>
              <w:bottom w:w="70" w:type="dxa"/>
              <w:end w:w="90" w:type="dxa"/>
            </w:tcMar>
            <w:vAlign w:val="top"/>
          </w:tcPr>
          <w:p>
            <w:pPr>
              <w:spacing w:after="40" w:line="245" w:lineRule="auto"/>
            </w:pPr>
            <w:r>
              <w:rPr>
                <w:sz w:val="18"/>
              </w:rPr>
              <w:t>Confirm support and required restore proof, operating authority and current tenant checks.</w:t>
            </w:r>
          </w:p>
        </w:tc>
        <w:tc>
          <w:tcPr>
            <w:tcW w:type="dxa" w:w="3686"/>
            <w:tcMar>
              <w:top w:w="70" w:type="dxa"/>
              <w:start w:w="90" w:type="dxa"/>
              <w:bottom w:w="70" w:type="dxa"/>
              <w:end w:w="90" w:type="dxa"/>
            </w:tcMar>
            <w:vAlign w:val="top"/>
          </w:tcPr>
          <w:p>
            <w:pPr>
              <w:spacing w:after="40" w:line="245" w:lineRule="auto"/>
            </w:pPr>
            <w:r>
              <w:rPr>
                <w:sz w:val="18"/>
              </w:rPr>
              <w:t>Service, operations, data/security authorities; initial G4 then G3.</w:t>
            </w:r>
          </w:p>
        </w:tc>
      </w:tr>
      <w:tr>
        <w:trPr>
          <w:cantSplit/>
        </w:trPr>
        <w:tc>
          <w:tcPr>
            <w:tcW w:type="dxa" w:w="2016"/>
            <w:tcMar>
              <w:top w:w="70" w:type="dxa"/>
              <w:start w:w="90" w:type="dxa"/>
              <w:bottom w:w="70" w:type="dxa"/>
              <w:end w:w="90" w:type="dxa"/>
            </w:tcMar>
            <w:vAlign w:val="top"/>
            <w:shd w:fill="F4F7F9" w:val="clear"/>
          </w:tcPr>
          <w:p>
            <w:pPr>
              <w:spacing w:after="40" w:line="245" w:lineRule="auto"/>
            </w:pPr>
            <w:r>
              <w:rPr>
                <w:sz w:val="18"/>
              </w:rPr>
              <w:t>Post-change / ongoing</w:t>
            </w:r>
          </w:p>
        </w:tc>
        <w:tc>
          <w:tcPr>
            <w:tcW w:type="dxa" w:w="4579"/>
            <w:tcMar>
              <w:top w:w="70" w:type="dxa"/>
              <w:start w:w="90" w:type="dxa"/>
              <w:bottom w:w="70" w:type="dxa"/>
              <w:end w:w="90" w:type="dxa"/>
            </w:tcMar>
            <w:vAlign w:val="top"/>
            <w:shd w:fill="F4F7F9" w:val="clear"/>
          </w:tcPr>
          <w:p>
            <w:pPr>
              <w:spacing w:after="40" w:line="245" w:lineRule="auto"/>
            </w:pPr>
            <w:r>
              <w:rPr>
                <w:sz w:val="18"/>
              </w:rPr>
              <w:t>Capture as-built differences, residual defects, measurement trends, expiry and renewed tests.</w:t>
            </w:r>
          </w:p>
        </w:tc>
        <w:tc>
          <w:tcPr>
            <w:tcW w:type="dxa" w:w="3686"/>
            <w:tcMar>
              <w:top w:w="70" w:type="dxa"/>
              <w:start w:w="90" w:type="dxa"/>
              <w:bottom w:w="70" w:type="dxa"/>
              <w:end w:w="90" w:type="dxa"/>
            </w:tcMar>
            <w:vAlign w:val="top"/>
            <w:shd w:fill="F4F7F9" w:val="clear"/>
          </w:tcPr>
          <w:p>
            <w:pPr>
              <w:spacing w:after="40" w:line="245" w:lineRule="auto"/>
            </w:pPr>
            <w:r>
              <w:rPr>
                <w:sz w:val="18"/>
              </w:rPr>
              <w:t>Operations and lifecycle owners; continuing G4 and change impact.</w:t>
            </w:r>
          </w:p>
        </w:tc>
      </w:tr>
    </w:tbl>
    <w:p>
      <w:pPr>
        <w:spacing w:after="0"/>
      </w:pPr>
      <w:r/>
    </w:p>
    <w:p>
      <w:r>
        <w:t>If a requirement or topology changes, identify affected decisions, engineering schedules, modules/configurations, test cases, service promises and deployed environments. Record whether the change is a variation, a new service class or a revision to the adopted architecture. Retain the former baseline and actual historical decision.</w:t>
      </w:r>
    </w:p>
    <w:p>
      <w:r>
        <w:br w:type="page"/>
      </w:r>
    </w:p>
    <w:p>
      <w:pPr>
        <w:pStyle w:val="Heading1"/>
      </w:pPr>
      <w:r>
        <w:t>6. Inputs still required for an actual deployment</w:t>
      </w:r>
      <w:bookmarkStart w:id="1005" w:name="DEL_06"/>
      <w:bookmarkEnd w:id="1005"/>
    </w:p>
    <w:p>
      <w:r>
        <w:t>The kits are complete as reusable working material. An actual build still needs the following inputs from the responsible people and systems; no value is inferred from an example.</w:t>
      </w:r>
    </w:p>
    <w:p>
      <w:pPr>
        <w:pStyle w:val="Caption"/>
      </w:pPr>
      <w:r>
        <w:t xml:space="preserve">Baseline and related records: </w:t>
      </w:r>
      <w:hyperlink r:id="rId23">
        <w:r>
          <w:rPr>
            <w:color w:val="0B6B70"/>
            <w:u w:val="single"/>
          </w:rPr>
          <w:t>GM §4</w:t>
        </w:r>
      </w:hyperlink>
      <w:r>
        <w:t xml:space="preserve">  •  </w:t>
      </w:r>
      <w:hyperlink r:id="rId24">
        <w:r>
          <w:rPr>
            <w:color w:val="0B6B70"/>
            <w:u w:val="single"/>
          </w:rPr>
          <w:t>WD §14</w:t>
        </w:r>
      </w:hyperlink>
    </w:p>
    <w:tbl>
      <w:tblPr>
        <w:tblW w:type="auto" w:w="0"/>
        <w:jc w:val="center"/>
        <w:tblLayout w:type="fixed"/>
        <w:tblLook w:firstColumn="1" w:firstRow="1" w:lastColumn="0" w:lastRow="0" w:noHBand="0" w:noVBand="1" w:val="04A0"/>
      </w:tblPr>
      <w:tblGrid>
        <w:gridCol w:w="3830"/>
        <w:gridCol w:w="3586"/>
        <w:gridCol w:w="2866"/>
      </w:tblGrid>
      <w:tr>
        <w:trPr>
          <w:tblHeader/>
        </w:trPr>
        <w:tc>
          <w:tcPr>
            <w:tcW w:type="dxa" w:w="3830"/>
            <w:shd w:fill="15384A" w:val="clear"/>
            <w:tcMar>
              <w:top w:w="70" w:type="dxa"/>
              <w:start w:w="90" w:type="dxa"/>
              <w:bottom w:w="70" w:type="dxa"/>
              <w:end w:w="90" w:type="dxa"/>
            </w:tcMar>
          </w:tcPr>
          <w:p>
            <w:r>
              <w:rPr>
                <w:b/>
                <w:color w:val="FFFFFF"/>
                <w:sz w:val="18"/>
              </w:rPr>
              <w:t>Input</w:t>
            </w:r>
          </w:p>
        </w:tc>
        <w:tc>
          <w:tcPr>
            <w:tcW w:type="dxa" w:w="3586"/>
            <w:shd w:fill="15384A" w:val="clear"/>
            <w:tcMar>
              <w:top w:w="70" w:type="dxa"/>
              <w:start w:w="90" w:type="dxa"/>
              <w:bottom w:w="70" w:type="dxa"/>
              <w:end w:w="90" w:type="dxa"/>
            </w:tcMar>
          </w:tcPr>
          <w:p>
            <w:r>
              <w:rPr>
                <w:b/>
                <w:color w:val="FFFFFF"/>
                <w:sz w:val="18"/>
              </w:rPr>
              <w:t>Owner to supply it</w:t>
            </w:r>
          </w:p>
        </w:tc>
        <w:tc>
          <w:tcPr>
            <w:tcW w:type="dxa" w:w="2866"/>
            <w:shd w:fill="15384A" w:val="clear"/>
            <w:tcMar>
              <w:top w:w="70" w:type="dxa"/>
              <w:start w:w="90" w:type="dxa"/>
              <w:bottom w:w="70" w:type="dxa"/>
              <w:end w:w="90" w:type="dxa"/>
            </w:tcMar>
          </w:tcPr>
          <w:p>
            <w:r>
              <w:rPr>
                <w:b/>
                <w:color w:val="FFFFFF"/>
                <w:sz w:val="18"/>
              </w:rPr>
              <w:t>Blocks</w:t>
            </w:r>
          </w:p>
        </w:tc>
      </w:tr>
      <w:tr>
        <w:trPr>
          <w:cantSplit/>
        </w:trPr>
        <w:tc>
          <w:tcPr>
            <w:tcW w:type="dxa" w:w="3830"/>
            <w:tcMar>
              <w:top w:w="70" w:type="dxa"/>
              <w:start w:w="90" w:type="dxa"/>
              <w:bottom w:w="70" w:type="dxa"/>
              <w:end w:w="90" w:type="dxa"/>
            </w:tcMar>
            <w:vAlign w:val="top"/>
          </w:tcPr>
          <w:p>
            <w:pPr>
              <w:spacing w:after="40" w:line="245" w:lineRule="auto"/>
            </w:pPr>
            <w:r>
              <w:rPr>
                <w:sz w:val="18"/>
              </w:rPr>
              <w:t>Named site, cells, equipment and actual physical failure groups</w:t>
            </w:r>
          </w:p>
        </w:tc>
        <w:tc>
          <w:tcPr>
            <w:tcW w:type="dxa" w:w="3586"/>
            <w:tcMar>
              <w:top w:w="70" w:type="dxa"/>
              <w:start w:w="90" w:type="dxa"/>
              <w:bottom w:w="70" w:type="dxa"/>
              <w:end w:w="90" w:type="dxa"/>
            </w:tcMar>
            <w:vAlign w:val="top"/>
          </w:tcPr>
          <w:p>
            <w:pPr>
              <w:spacing w:after="40" w:line="245" w:lineRule="auto"/>
            </w:pPr>
            <w:r>
              <w:rPr>
                <w:sz w:val="18"/>
              </w:rPr>
              <w:t>Site, facility and platform owners</w:t>
            </w:r>
          </w:p>
        </w:tc>
        <w:tc>
          <w:tcPr>
            <w:tcW w:type="dxa" w:w="2866"/>
            <w:tcMar>
              <w:top w:w="70" w:type="dxa"/>
              <w:start w:w="90" w:type="dxa"/>
              <w:bottom w:w="70" w:type="dxa"/>
              <w:end w:w="90" w:type="dxa"/>
            </w:tcMar>
            <w:vAlign w:val="top"/>
          </w:tcPr>
          <w:p>
            <w:pPr>
              <w:spacing w:after="40" w:line="245" w:lineRule="auto"/>
            </w:pPr>
            <w:r>
              <w:rPr>
                <w:sz w:val="18"/>
              </w:rPr>
              <w:t>G1 detailed physical commissioning</w:t>
            </w:r>
          </w:p>
        </w:tc>
      </w:tr>
      <w:tr>
        <w:trPr>
          <w:cantSplit/>
        </w:trPr>
        <w:tc>
          <w:tcPr>
            <w:tcW w:type="dxa" w:w="3830"/>
            <w:tcMar>
              <w:top w:w="70" w:type="dxa"/>
              <w:start w:w="90" w:type="dxa"/>
              <w:bottom w:w="70" w:type="dxa"/>
              <w:end w:w="90" w:type="dxa"/>
            </w:tcMar>
            <w:vAlign w:val="top"/>
            <w:shd w:fill="F4F7F9" w:val="clear"/>
          </w:tcPr>
          <w:p>
            <w:pPr>
              <w:spacing w:after="40" w:line="245" w:lineRule="auto"/>
            </w:pPr>
            <w:r>
              <w:rPr>
                <w:sz w:val="18"/>
              </w:rPr>
              <w:t>Approved zone/co-residency and management separation</w:t>
            </w:r>
          </w:p>
        </w:tc>
        <w:tc>
          <w:tcPr>
            <w:tcW w:type="dxa" w:w="3586"/>
            <w:tcMar>
              <w:top w:w="70" w:type="dxa"/>
              <w:start w:w="90" w:type="dxa"/>
              <w:bottom w:w="70" w:type="dxa"/>
              <w:end w:w="90" w:type="dxa"/>
            </w:tcMar>
            <w:vAlign w:val="top"/>
            <w:shd w:fill="F4F7F9" w:val="clear"/>
          </w:tcPr>
          <w:p>
            <w:pPr>
              <w:spacing w:after="40" w:line="245" w:lineRule="auto"/>
            </w:pPr>
            <w:r>
              <w:rPr>
                <w:sz w:val="18"/>
              </w:rPr>
              <w:t>Architecture and security authority</w:t>
            </w:r>
          </w:p>
        </w:tc>
        <w:tc>
          <w:tcPr>
            <w:tcW w:type="dxa" w:w="2866"/>
            <w:tcMar>
              <w:top w:w="70" w:type="dxa"/>
              <w:start w:w="90" w:type="dxa"/>
              <w:bottom w:w="70" w:type="dxa"/>
              <w:end w:w="90" w:type="dxa"/>
            </w:tcMar>
            <w:vAlign w:val="top"/>
            <w:shd w:fill="F4F7F9" w:val="clear"/>
          </w:tcPr>
          <w:p>
            <w:pPr>
              <w:spacing w:after="40" w:line="245" w:lineRule="auto"/>
            </w:pPr>
            <w:r>
              <w:rPr>
                <w:sz w:val="18"/>
              </w:rPr>
              <w:t>Affected host, storage and privileged paths</w:t>
            </w:r>
          </w:p>
        </w:tc>
      </w:tr>
      <w:tr>
        <w:trPr>
          <w:cantSplit/>
        </w:trPr>
        <w:tc>
          <w:tcPr>
            <w:tcW w:type="dxa" w:w="3830"/>
            <w:tcMar>
              <w:top w:w="70" w:type="dxa"/>
              <w:start w:w="90" w:type="dxa"/>
              <w:bottom w:w="70" w:type="dxa"/>
              <w:end w:w="90" w:type="dxa"/>
            </w:tcMar>
            <w:vAlign w:val="top"/>
          </w:tcPr>
          <w:p>
            <w:pPr>
              <w:spacing w:after="40" w:line="245" w:lineRule="auto"/>
            </w:pPr>
            <w:r>
              <w:rPr>
                <w:sz w:val="18"/>
              </w:rPr>
              <w:t>Exact hardware, firmware, software, API, provider and entitlement combination</w:t>
            </w:r>
          </w:p>
        </w:tc>
        <w:tc>
          <w:tcPr>
            <w:tcW w:type="dxa" w:w="3586"/>
            <w:tcMar>
              <w:top w:w="70" w:type="dxa"/>
              <w:start w:w="90" w:type="dxa"/>
              <w:bottom w:w="70" w:type="dxa"/>
              <w:end w:w="90" w:type="dxa"/>
            </w:tcMar>
            <w:vAlign w:val="top"/>
          </w:tcPr>
          <w:p>
            <w:pPr>
              <w:spacing w:after="40" w:line="245" w:lineRule="auto"/>
            </w:pPr>
            <w:r>
              <w:rPr>
                <w:sz w:val="18"/>
              </w:rPr>
              <w:t>Platform/network/service engineering</w:t>
            </w:r>
          </w:p>
        </w:tc>
        <w:tc>
          <w:tcPr>
            <w:tcW w:type="dxa" w:w="2866"/>
            <w:tcMar>
              <w:top w:w="70" w:type="dxa"/>
              <w:start w:w="90" w:type="dxa"/>
              <w:bottom w:w="70" w:type="dxa"/>
              <w:end w:w="90" w:type="dxa"/>
            </w:tcMar>
            <w:vAlign w:val="top"/>
          </w:tcPr>
          <w:p>
            <w:pPr>
              <w:spacing w:after="40" w:line="245" w:lineRule="auto"/>
            </w:pPr>
            <w:r>
              <w:rPr>
                <w:sz w:val="18"/>
              </w:rPr>
              <w:t>G2 support and capability qualification</w:t>
            </w:r>
          </w:p>
        </w:tc>
      </w:tr>
      <w:tr>
        <w:trPr>
          <w:cantSplit/>
        </w:trPr>
        <w:tc>
          <w:tcPr>
            <w:tcW w:type="dxa" w:w="3830"/>
            <w:tcMar>
              <w:top w:w="70" w:type="dxa"/>
              <w:start w:w="90" w:type="dxa"/>
              <w:bottom w:w="70" w:type="dxa"/>
              <w:end w:w="90" w:type="dxa"/>
            </w:tcMar>
            <w:vAlign w:val="top"/>
            <w:shd w:fill="F4F7F9" w:val="clear"/>
          </w:tcPr>
          <w:p>
            <w:pPr>
              <w:spacing w:after="40" w:line="245" w:lineRule="auto"/>
            </w:pPr>
            <w:r>
              <w:rPr>
                <w:sz w:val="18"/>
              </w:rPr>
              <w:t>Actual IP/DNS, routing, ZIP and service handoffs</w:t>
            </w:r>
          </w:p>
        </w:tc>
        <w:tc>
          <w:tcPr>
            <w:tcW w:type="dxa" w:w="3586"/>
            <w:tcMar>
              <w:top w:w="70" w:type="dxa"/>
              <w:start w:w="90" w:type="dxa"/>
              <w:bottom w:w="70" w:type="dxa"/>
              <w:end w:w="90" w:type="dxa"/>
            </w:tcMar>
            <w:vAlign w:val="top"/>
            <w:shd w:fill="F4F7F9" w:val="clear"/>
          </w:tcPr>
          <w:p>
            <w:pPr>
              <w:spacing w:after="40" w:line="245" w:lineRule="auto"/>
            </w:pPr>
            <w:r>
              <w:rPr>
                <w:sz w:val="18"/>
              </w:rPr>
              <w:t>Network/security/service owners</w:t>
            </w:r>
          </w:p>
        </w:tc>
        <w:tc>
          <w:tcPr>
            <w:tcW w:type="dxa" w:w="2866"/>
            <w:tcMar>
              <w:top w:w="70" w:type="dxa"/>
              <w:start w:w="90" w:type="dxa"/>
              <w:bottom w:w="70" w:type="dxa"/>
              <w:end w:w="90" w:type="dxa"/>
            </w:tcMar>
            <w:vAlign w:val="top"/>
            <w:shd w:fill="F4F7F9" w:val="clear"/>
          </w:tcPr>
          <w:p>
            <w:pPr>
              <w:spacing w:after="40" w:line="245" w:lineRule="auto"/>
            </w:pPr>
            <w:r>
              <w:rPr>
                <w:sz w:val="18"/>
              </w:rPr>
              <w:t>Dependent path construction and activation</w:t>
            </w:r>
          </w:p>
        </w:tc>
      </w:tr>
      <w:tr>
        <w:trPr>
          <w:cantSplit/>
        </w:trPr>
        <w:tc>
          <w:tcPr>
            <w:tcW w:type="dxa" w:w="3830"/>
            <w:tcMar>
              <w:top w:w="70" w:type="dxa"/>
              <w:start w:w="90" w:type="dxa"/>
              <w:bottom w:w="70" w:type="dxa"/>
              <w:end w:w="90" w:type="dxa"/>
            </w:tcMar>
            <w:vAlign w:val="top"/>
          </w:tcPr>
          <w:p>
            <w:pPr>
              <w:spacing w:after="40" w:line="245" w:lineRule="auto"/>
            </w:pPr>
            <w:r>
              <w:rPr>
                <w:sz w:val="18"/>
              </w:rPr>
              <w:t>Service targets, capacity, retention, keys and location constraints</w:t>
            </w:r>
          </w:p>
        </w:tc>
        <w:tc>
          <w:tcPr>
            <w:tcW w:type="dxa" w:w="3586"/>
            <w:tcMar>
              <w:top w:w="70" w:type="dxa"/>
              <w:start w:w="90" w:type="dxa"/>
              <w:bottom w:w="70" w:type="dxa"/>
              <w:end w:w="90" w:type="dxa"/>
            </w:tcMar>
            <w:vAlign w:val="top"/>
          </w:tcPr>
          <w:p>
            <w:pPr>
              <w:spacing w:after="40" w:line="245" w:lineRule="auto"/>
            </w:pPr>
            <w:r>
              <w:rPr>
                <w:sz w:val="18"/>
              </w:rPr>
              <w:t>Service/data/security owners</w:t>
            </w:r>
          </w:p>
        </w:tc>
        <w:tc>
          <w:tcPr>
            <w:tcW w:type="dxa" w:w="2866"/>
            <w:tcMar>
              <w:top w:w="70" w:type="dxa"/>
              <w:start w:w="90" w:type="dxa"/>
              <w:bottom w:w="70" w:type="dxa"/>
              <w:end w:w="90" w:type="dxa"/>
            </w:tcMar>
            <w:vAlign w:val="top"/>
          </w:tcPr>
          <w:p>
            <w:pPr>
              <w:spacing w:after="40" w:line="245" w:lineRule="auto"/>
            </w:pPr>
            <w:r>
              <w:rPr>
                <w:sz w:val="18"/>
              </w:rPr>
              <w:t>Advertising the offered service</w:t>
            </w:r>
          </w:p>
        </w:tc>
      </w:tr>
      <w:tr>
        <w:trPr>
          <w:cantSplit/>
        </w:trPr>
        <w:tc>
          <w:tcPr>
            <w:tcW w:type="dxa" w:w="3830"/>
            <w:tcMar>
              <w:top w:w="70" w:type="dxa"/>
              <w:start w:w="90" w:type="dxa"/>
              <w:bottom w:w="70" w:type="dxa"/>
              <w:end w:w="90" w:type="dxa"/>
            </w:tcMar>
            <w:vAlign w:val="top"/>
            <w:shd w:fill="F4F7F9" w:val="clear"/>
          </w:tcPr>
          <w:p>
            <w:pPr>
              <w:spacing w:after="40" w:line="245" w:lineRule="auto"/>
            </w:pPr>
            <w:r>
              <w:rPr>
                <w:sz w:val="18"/>
              </w:rPr>
              <w:t>Native automation and installation/configuration artifacts</w:t>
            </w:r>
          </w:p>
        </w:tc>
        <w:tc>
          <w:tcPr>
            <w:tcW w:type="dxa" w:w="3586"/>
            <w:tcMar>
              <w:top w:w="70" w:type="dxa"/>
              <w:start w:w="90" w:type="dxa"/>
              <w:bottom w:w="70" w:type="dxa"/>
              <w:end w:w="90" w:type="dxa"/>
            </w:tcMar>
            <w:vAlign w:val="top"/>
            <w:shd w:fill="F4F7F9" w:val="clear"/>
          </w:tcPr>
          <w:p>
            <w:pPr>
              <w:spacing w:after="40" w:line="245" w:lineRule="auto"/>
            </w:pPr>
            <w:r>
              <w:rPr>
                <w:sz w:val="18"/>
              </w:rPr>
              <w:t>Assigned technical owners</w:t>
            </w:r>
          </w:p>
        </w:tc>
        <w:tc>
          <w:tcPr>
            <w:tcW w:type="dxa" w:w="2866"/>
            <w:tcMar>
              <w:top w:w="70" w:type="dxa"/>
              <w:start w:w="90" w:type="dxa"/>
              <w:bottom w:w="70" w:type="dxa"/>
              <w:end w:w="90" w:type="dxa"/>
            </w:tcMar>
            <w:vAlign w:val="top"/>
            <w:shd w:fill="F4F7F9" w:val="clear"/>
          </w:tcPr>
          <w:p>
            <w:pPr>
              <w:spacing w:after="40" w:line="245" w:lineRule="auto"/>
            </w:pPr>
            <w:r>
              <w:rPr>
                <w:sz w:val="18"/>
              </w:rPr>
              <w:t>Execution of supported P0–P6 operations</w:t>
            </w:r>
          </w:p>
        </w:tc>
      </w:tr>
      <w:tr>
        <w:trPr>
          <w:cantSplit/>
        </w:trPr>
        <w:tc>
          <w:tcPr>
            <w:tcW w:type="dxa" w:w="3830"/>
            <w:tcMar>
              <w:top w:w="70" w:type="dxa"/>
              <w:start w:w="90" w:type="dxa"/>
              <w:bottom w:w="70" w:type="dxa"/>
              <w:end w:w="90" w:type="dxa"/>
            </w:tcMar>
            <w:vAlign w:val="top"/>
          </w:tcPr>
          <w:p>
            <w:pPr>
              <w:spacing w:after="40" w:line="245" w:lineRule="auto"/>
            </w:pPr>
            <w:r>
              <w:rPr>
                <w:sz w:val="18"/>
              </w:rPr>
              <w:t>Real observations, evidence and operating authority</w:t>
            </w:r>
          </w:p>
        </w:tc>
        <w:tc>
          <w:tcPr>
            <w:tcW w:type="dxa" w:w="3586"/>
            <w:tcMar>
              <w:top w:w="70" w:type="dxa"/>
              <w:start w:w="90" w:type="dxa"/>
              <w:bottom w:w="70" w:type="dxa"/>
              <w:end w:w="90" w:type="dxa"/>
            </w:tcMar>
            <w:vAlign w:val="top"/>
          </w:tcPr>
          <w:p>
            <w:pPr>
              <w:spacing w:after="40" w:line="245" w:lineRule="auto"/>
            </w:pPr>
            <w:r>
              <w:rPr>
                <w:sz w:val="18"/>
              </w:rPr>
              <w:t>Assurance, operations and designated approvers</w:t>
            </w:r>
          </w:p>
        </w:tc>
        <w:tc>
          <w:tcPr>
            <w:tcW w:type="dxa" w:w="2866"/>
            <w:tcMar>
              <w:top w:w="70" w:type="dxa"/>
              <w:start w:w="90" w:type="dxa"/>
              <w:bottom w:w="70" w:type="dxa"/>
              <w:end w:w="90" w:type="dxa"/>
            </w:tcMar>
            <w:vAlign w:val="top"/>
          </w:tcPr>
          <w:p>
            <w:pPr>
              <w:spacing w:after="40" w:line="245" w:lineRule="auto"/>
            </w:pPr>
            <w:r>
              <w:rPr>
                <w:sz w:val="18"/>
              </w:rPr>
              <w:t>G2, initial G4 and production G3</w:t>
            </w:r>
          </w:p>
        </w:tc>
      </w:tr>
    </w:tbl>
    <w:p>
      <w:pPr>
        <w:spacing w:after="0"/>
      </w:pPr>
      <w:r/>
    </w:p>
    <w:p>
      <w:r>
        <w:t>Scope special devices, bare metal, container hosting, public access, L2 stretch or cross-stack composite services separately. The base VM-oriented kit provides the interface and acceptance pattern, not unqualified implementations of these extensions.</w:t>
      </w:r>
    </w:p>
    <w:p>
      <w:pPr>
        <w:keepLines/>
        <w:spacing w:before="140" w:after="200"/>
        <w:shd w:fill="EEF5F7" w:val="clear"/>
        <w:pBdr>
          <w:left w:val="single" w:sz="12" w:space="8" w:color="0B6B70"/>
        </w:pBdr>
      </w:pPr>
      <w:r>
        <w:rPr>
          <w:b/>
        </w:rPr>
        <w:t>Start by assigning the architecture owner, completing AT §1 and marking requirement applicability. Engineering can investigate options in parallel, but must not treat an unresolved architecture choice as an approved build parameter.</w:t>
      </w:r>
    </w:p>
    <w:sectPr w:rsidR="00FC693F" w:rsidRPr="0006063C" w:rsidSect="00034616">
      <w:headerReference w:type="default" r:id="rId9"/>
      <w:footerReference w:type="default" r:id="rId10"/>
      <w:pgSz w:w="12240" w:h="15840"/>
      <w:pgMar w:top="936" w:right="979" w:bottom="936" w:left="979"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Delivery kits v1.0  •  Architecture baseline v1.4  •  Proposed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MULTI-TENANT SECURE HOSTING  |  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13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B6B70"/>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15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538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b w:val="0"/>
      <w:i/>
      <w:iCs/>
      <w:color w:val="0B6B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2133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21333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olor w:val="21333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26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5_Reference_v1_4/00_Reference_Architecture_v1_4.docx#RA_s_001" TargetMode="External"/><Relationship Id="rId12" Type="http://schemas.openxmlformats.org/officeDocument/2006/relationships/hyperlink" Target="05_Reference_v1_4/00_Reference_Architecture_v1_4.docx#RA_s_030" TargetMode="External"/><Relationship Id="rId13" Type="http://schemas.openxmlformats.org/officeDocument/2006/relationships/hyperlink" Target="05_Reference_v1_4/07_Worked_Infrastructure_Design_and_Acceptance_v1_4.docx#WD14_S09" TargetMode="External"/><Relationship Id="rId14" Type="http://schemas.openxmlformats.org/officeDocument/2006/relationships/hyperlink" Target="01_Architecture/Architecture_Kit.docx#AK_01" TargetMode="External"/><Relationship Id="rId15" Type="http://schemas.openxmlformats.org/officeDocument/2006/relationships/hyperlink" Target="02_Engineering/Engineering_Kit.docx#EK_01" TargetMode="External"/><Relationship Id="rId16" Type="http://schemas.openxmlformats.org/officeDocument/2006/relationships/hyperlink" Target="03_Implementation/Implementation_Kit.docx#IK_01" TargetMode="External"/><Relationship Id="rId17" Type="http://schemas.openxmlformats.org/officeDocument/2006/relationships/hyperlink" Target="05_Reference_v1_4/06_Site_Design_Qualification_and_Operations_v1_4.docx#QUAL_s_005" TargetMode="External"/><Relationship Id="rId18" Type="http://schemas.openxmlformats.org/officeDocument/2006/relationships/hyperlink" Target="05_Reference_v1_4/00_Reference_Architecture_v1_4.docx#RA_s_028" TargetMode="External"/><Relationship Id="rId19" Type="http://schemas.openxmlformats.org/officeDocument/2006/relationships/hyperlink" Target="05_Reference_v1_4/07_Worked_Infrastructure_Design_and_Acceptance_v1_4.docx#WD14_S13" TargetMode="External"/><Relationship Id="rId20" Type="http://schemas.openxmlformats.org/officeDocument/2006/relationships/hyperlink" Target="05_Reference_v1_4/00_Reference_Architecture_v1_4.docx#RA_s_025" TargetMode="External"/><Relationship Id="rId21" Type="http://schemas.openxmlformats.org/officeDocument/2006/relationships/hyperlink" Target="05_Reference_v1_4/00_Reference_Architecture_v1_4.docx#RA_s_029" TargetMode="External"/><Relationship Id="rId22" Type="http://schemas.openxmlformats.org/officeDocument/2006/relationships/hyperlink" Target="05_Reference_v1_4/06_Site_Design_Qualification_and_Operations_v1_4.docx#QUAL_s_007" TargetMode="External"/><Relationship Id="rId23" Type="http://schemas.openxmlformats.org/officeDocument/2006/relationships/hyperlink" Target="05_Reference_v1_4/01_Gap_Map_and_Decision_Register_v1_4.docx#GM_s_004" TargetMode="External"/><Relationship Id="rId24" Type="http://schemas.openxmlformats.org/officeDocument/2006/relationships/hyperlink" Target="05_Reference_v1_4/07_Worked_Infrastructure_Design_and_Acceptance_v1_4.docx#WD14_S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Map and Acceptance Gates</dc:title>
  <dc:subject>Infrastructure architecture, engineering and implementation delivery kit</dc:subject>
  <dc:creator/>
  <cp:keywords>Portable hosting, infrastructure, architecture, engineering, implementation</cp:keywords>
  <dc:description/>
  <cp:lastModifiedBy/>
  <cp:revision>1</cp:revision>
  <dcterms:created xsi:type="dcterms:W3CDTF">2013-12-23T23:15:00Z</dcterms:created>
  <dcterms:modified xsi:type="dcterms:W3CDTF">2013-12-23T23:15:00Z</dcterms:modified>
  <cp:category/>
</cp:coreProperties>
</file>