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mall"/>
        <w:rPr/>
      </w:pPr>
      <w:r>
        <w:rPr/>
        <w:t>CONTENT REVIEW AND DISPOSITION</w:t>
      </w:r>
    </w:p>
    <w:p>
      <w:pPr>
        <w:pStyle w:val="Title"/>
        <w:rPr/>
      </w:pPr>
      <w:r>
        <w:rPr/>
        <w:t>Architecture-led</w:t>
        <w:br/>
        <w:t>revision review</w:t>
      </w:r>
    </w:p>
    <w:p>
      <w:pPr>
        <w:pStyle w:val="Subtitle"/>
        <w:rPr/>
      </w:pPr>
      <w:r>
        <w:rPr/>
        <w:t>Portable Multi-Tenant Secure Hosting</w:t>
        <w:br/>
        <w:t>Draft v1.1 → Draft v1.2</w:t>
      </w:r>
    </w:p>
    <w:p>
      <w:pPr>
        <w:pStyle w:val="Small"/>
        <w:rPr/>
      </w:pPr>
      <w:r>
        <w:rPr/>
        <w:t>16 September 2026</w:t>
      </w:r>
    </w:p>
    <w:p>
      <w:pPr>
        <w:pStyle w:val="Normal"/>
        <w:rPr/>
      </w:pPr>
      <w:r>
        <w:rPr/>
        <w:t>This record explains the completed editorial restructuring of the supplied v1.1 handbook. The main deliverable is the Reference Architecture and Cross-Platform Provisioning Strategy. This review is not another application-contract audit and is not a security assessment of a deployed environment.</w:t>
      </w:r>
    </w:p>
    <w:p>
      <w:pPr>
        <w:pStyle w:val="Normal"/>
        <w:rPr/>
      </w:pPr>
      <w:r>
        <w:rPr/>
        <w:t>Every prior chapter and appendix was reviewed against the user’s direction: describe the infrastructure, explain its native vendor-stack realizations and define the provisioning strategy. Material useful only for designing a custom provisioning application was removed from the main document. Architectural control intent was retained where it remained applicable.</w:t>
      </w:r>
    </w:p>
    <w:p>
      <w:pPr>
        <w:pStyle w:val="Normal"/>
        <w:rPr/>
      </w:pPr>
      <w:r>
        <w:rPr/>
        <w:t>The v1.1 source files and companion package were left unchanged. The old schemas, validator and API examples are not reissued, repaired, certified or made normative by v1.2. Previously identified defects in that software-oriented package must not be represented as fixed by removing them from this architecture document.</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2592"/>
        <w:gridCol w:w="7573"/>
      </w:tblGrid>
      <w:tr>
        <w:trPr>
          <w:tblHeader w:val="true"/>
        </w:trPr>
        <w:tc>
          <w:tcPr>
            <w:tcW w:w="259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boundary</w:t>
            </w:r>
          </w:p>
        </w:tc>
        <w:tc>
          <w:tcPr>
            <w:tcW w:w="757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w:t>
            </w:r>
          </w:p>
        </w:tc>
      </w:tr>
      <w:tr>
        <w:trPr>
          <w:cantSplit w:val="true"/>
        </w:trPr>
        <w:tc>
          <w:tcPr>
            <w:tcW w:w="259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core architecture</w:t>
            </w:r>
          </w:p>
        </w:tc>
        <w:tc>
          <w:tcPr>
            <w:tcW w:w="757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Tenant/WSD/domain meanings; zone/ZIP boundaries; management separation; fabric stability; provider services; compute/data protection; recovery and operations.</w:t>
            </w:r>
          </w:p>
        </w:tc>
      </w:tr>
      <w:tr>
        <w:trPr>
          <w:cantSplit w:val="true"/>
        </w:trPr>
        <w:tc>
          <w:tcPr>
            <w:tcW w:w="259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Expanded infrastructure content</w:t>
            </w:r>
          </w:p>
        </w:tc>
        <w:tc>
          <w:tcPr>
            <w:tcW w:w="757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Target/physical/tenant/packet-path views; R1–R3 handoff designs; per-stack components and traffic; commissioning and provisioning ownership.</w:t>
            </w:r>
          </w:p>
        </w:tc>
      </w:tr>
      <w:tr>
        <w:trPr>
          <w:cantSplit w:val="true"/>
        </w:trPr>
        <w:tc>
          <w:tcPr>
            <w:tcW w:w="259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w:t>
            </w:r>
          </w:p>
        </w:tc>
        <w:tc>
          <w:tcPr>
            <w:tcW w:w="757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Typed schemas, HTTP/API routes, controller state fields, software compiler/saga mechanics, validators, HCL/repository examples, software record templates and audit-count appendices.</w:t>
            </w:r>
          </w:p>
        </w:tc>
      </w:tr>
      <w:tr>
        <w:trPr>
          <w:cantSplit w:val="true"/>
        </w:trPr>
        <w:tc>
          <w:tcPr>
            <w:tcW w:w="259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Not silently discarded</w:t>
            </w:r>
          </w:p>
        </w:tc>
        <w:tc>
          <w:tcPr>
            <w:tcW w:w="757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Infrastructure safety, least privilege, actual-state checks, data-aware deletion, evidence/authorization distinction and relevant operational responsibilities.</w:t>
            </w:r>
          </w:p>
        </w:tc>
      </w:tr>
      <w:tr>
        <w:trPr>
          <w:cantSplit w:val="true"/>
        </w:trPr>
        <w:tc>
          <w:tcPr>
            <w:tcW w:w="259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Design additions identified</w:t>
            </w:r>
          </w:p>
        </w:tc>
        <w:tc>
          <w:tcPr>
            <w:tcW w:w="757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R1–R3 pattern labels, ML2/OVN illustrative backend, topology diagrams and worked resource demand are explicit reference-design synthesis or illustrative inputs.</w:t>
            </w:r>
          </w:p>
        </w:tc>
      </w:tr>
    </w:tbl>
    <w:p>
      <w:pPr>
        <w:pStyle w:val="Normal"/>
        <w:spacing w:lineRule="exact" w:line="20" w:before="0" w:after="80"/>
        <w:rPr/>
      </w:pPr>
      <w:r>
        <w:rPr/>
      </w:r>
    </w:p>
    <w:p>
      <w:pPr>
        <w:pStyle w:val="Frontheading"/>
        <w:rPr/>
      </w:pPr>
      <w:r>
        <w:rPr/>
        <w:t>Review basis</w:t>
      </w:r>
    </w:p>
    <w:p>
      <w:pPr>
        <w:pStyle w:val="Normal"/>
        <w:rPr/>
      </w:pPr>
      <w:r>
        <w:rPr/>
        <w:t>Supplied Portable_Multi_Tenant_Secure_Hosting_Handbook_v1_1.docx and its source catalogues. The prior audit informs the distinction between software-contract and infrastructure concerns. Primary-source checks are identified in Appendix B of the main document.</w:t>
      </w:r>
    </w:p>
    <w:p>
      <w:pPr>
        <w:pStyle w:val="Heading1"/>
        <w:rPr/>
      </w:pPr>
      <w:r>
        <w:rPr/>
        <w:t>1. Chapter-by-chapter content disposition</w:t>
      </w:r>
    </w:p>
    <w:p>
      <w:pPr>
        <w:pStyle w:val="Heading2"/>
        <w:rPr/>
      </w:pPr>
      <w:r>
        <w:rPr/>
        <w:t>Prior chapters 1–10</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 Purpose, scope and release boundaries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Rewritten; v1.2 1</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Scope now describes infrastructure and provisioning, not a typed service application.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 Normative language, invariants and authority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v1.2 3,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Architecture decisions and acceptance replace repeated normative/catalogue machinery.</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 Standards hierarchy and the 2026 baseline</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focused; v1.2 3; Appendix B</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Applicable source hierarchy remains; detailed catalogue migration mechanics are not main narrative.</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 Categorization and policy profiles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reframed; v1.2 3, 9,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Security and service requirements remain independent; typed profile objects are not mandated.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 Threat model and trust boundaries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Integrated; v1.2 3–14, 23,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Threat and failure responses appear at the actual infrastructure boundaries.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6. Canonical model and service planes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Rewritten; v1.2 2, 9</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Target components and domain meanings replace a canonical application object model.</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7. Tenant Namespace, entitlements and ownership</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reframed; v1.2 9, 21</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Administrative ownership, entitlement and lifecycle remain; serialization details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8. WSD intent and lifecycle responsibility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reframed; v1.2 9, 21, 24</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WSD is a bounded hosting environment, not primarily a controller object.</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9. Security Domains and site/platform instances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9, 15–18</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Logical authority and site/platform realization remain distinct.</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10. Zone classes, external domains and adjacency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clarified; v1.2 10</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External authority retained; HRZ eligibility caveat made explicit for portable cloud scope.</w:t>
            </w:r>
          </w:p>
        </w:tc>
      </w:tr>
    </w:tbl>
    <w:p>
      <w:pPr>
        <w:pStyle w:val="Normal"/>
        <w:spacing w:lineRule="exact" w:line="20" w:before="0" w:after="80"/>
        <w:rPr/>
      </w:pPr>
      <w:r>
        <w:rPr/>
      </w:r>
    </w:p>
    <w:p>
      <w:pPr>
        <w:pStyle w:val="Heading2"/>
        <w:rPr/>
      </w:pPr>
      <w:r>
        <w:rPr/>
        <w:t>Prior chapters 11–21</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11. ZIP architecture and joint boundary authority</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10–12</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ZIP authority, physical/logical enforcement and alternatives are grounded in packet paths.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12. MZ, OOB and privileged management access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expanded; v1.2 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MZ, OOB, native administration and tenant guest access are distinct.</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13. Platform overlays and enforcement ownership</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5, 11, 15–18</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Overlay ownership is tied to actual native routing and attachment designs.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14. Route Authority and safe forwarding compilation</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v1.2 5, 11</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Route authority is an infrastructure responsibility, not a required custom compiler application.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15. IPAM, DNS and DHCP as one lifecycle</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v1.2 5, 8, 12, 20–23</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Authoritative allocation and DNS/DHCP lifecycle retained; API transaction details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16. IPv6 and alternate-path control</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clarified; v1.2 12,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Address-family completeness retained without relying on the inconsistent old schema.</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17. Shared services and explicit Service Bindings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8, 12</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Service placement, initiation direction and administration paths are explicit.</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18. Public ingress, controlled egress and external exposure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expanded; v1.2 10–12, 21</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Ingress/egress is explained as a network/service path and activation responsibility.</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19. Microsegmentation, labels and workload attachment</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9, 12, 15–17</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Same-host isolation and protected selectors are placed in the native stack designs.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20. Provider-internal Edge Attachment contract</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Rewritten; v1.2 11, 15–18</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Physical/logical handoff patterns replace a field-level EdgeAttachment contract.</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21. Multi-site domains and recovery connectivity</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4, 14</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Site-local dependencies, replication, recovery and fencing shown as infrastructure.</w:t>
            </w:r>
          </w:p>
        </w:tc>
      </w:tr>
    </w:tbl>
    <w:p>
      <w:pPr>
        <w:pStyle w:val="Normal"/>
        <w:spacing w:lineRule="exact" w:line="20" w:before="0" w:after="80"/>
        <w:rPr/>
      </w:pPr>
      <w:r>
        <w:rPr/>
      </w:r>
    </w:p>
    <w:p>
      <w:pPr>
        <w:pStyle w:val="Heading2"/>
        <w:rPr/>
      </w:pPr>
      <w:r>
        <w:rPr/>
        <w:t>Prior chapters 22–31</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22. Compute, hypervisor security and co-residency</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clarified; v1.2 7, 15–17</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Per-layer sharing and actual host-pool boundaries retained.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23. Storage, data services and copy lineage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focused; v1.2 7, 13, 18</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Storage access, performance, copy/retention and exit retained without a storage object schema.</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24. Identity, privileged access and service identities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6, 8, 13</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Human, service and automation authority are shown at consumption/management boundaries.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25. Cryptography, KMS, certificates and crypto agility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focused; v1.2 13</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Key custody, encryption and loss/recovery remain; software profile details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26. Images, configuration baselines and endpoint protection</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7, 19, 21,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Approved images and configuration ownership remain; build application internals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27. Backup, retention and isolated restore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8, 13, 14, 23</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Backup data/control paths, independent protection and isolated restore retained.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28. Availability and recovery service profiles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3, 14,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SLO/RTO/RPO remain measured service requirements; no arbitrary default claims.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29. Placement, data location and sovereign optionality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13–14, 18,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Placement, permitted locations, support paths and exit are infrastructure constraints.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30. Service catalogue, quotas and capacity on demand</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1, 19, 21,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Capacity-on-demand and inventory distinctions remain; catalogue application design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31. Application responsibilities and end-to-end service readiness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Reduced to interface; v1.2 1, 13, 21,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Application design removed; guest/data-owner handover and acceptance responsibilities retained.</w:t>
            </w:r>
          </w:p>
        </w:tc>
      </w:tr>
    </w:tbl>
    <w:p>
      <w:pPr>
        <w:pStyle w:val="Normal"/>
        <w:spacing w:lineRule="exact" w:line="20" w:before="0" w:after="80"/>
        <w:rPr/>
      </w:pPr>
      <w:r>
        <w:rPr/>
      </w:r>
    </w:p>
    <w:p>
      <w:pPr>
        <w:pStyle w:val="Heading2"/>
        <w:rPr/>
      </w:pPr>
      <w:r>
        <w:rPr/>
        <w:t>Prior chapters 32–38</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32. Physical fabric foundation and commissioning</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expanded; v1.2 4–5, 20</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Physical topology and ordered commissioning made central.</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33. EVPN/VXLAN, multihoming and border engineering</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expanded; v1.2 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Underlay, EVPN, route imports, multihoming and border ownership retained.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34. Portability dimensions and platform qualification</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reframed; v1.2 18,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Outcome equivalence and qualification retained; capability-object state machine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35. Nutanix implementation profile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Expanded; v1.2 15, 22</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Nutanix components, traffic, ownership, sequence and implementation limits added.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36. VMware and NSX implementation profile</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Expanded; v1.2 16, 22</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VMware/NSX native path, upstream isolation and separate provisioning scopes added.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37. OpenStack implementation profile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Expanded; v1.2 17, 22</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OpenStack backend, project/router/port authority and foundation/provider distinction added.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38. Bare metal, containers and future platforms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Scope reduced; v1.2 11, 18,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Fabric-routed physical extension retained. Detailed container platform design deferred to its own qualified profile.</w:t>
            </w:r>
          </w:p>
        </w:tc>
      </w:tr>
    </w:tbl>
    <w:p>
      <w:pPr>
        <w:pStyle w:val="Normal"/>
        <w:spacing w:lineRule="exact" w:line="20" w:before="0" w:after="80"/>
        <w:rPr/>
      </w:pPr>
      <w:r>
        <w:rPr/>
      </w:r>
    </w:p>
    <w:p>
      <w:pPr>
        <w:pStyle w:val="Heading2"/>
        <w:rPr/>
      </w:pPr>
      <w:r>
        <w:rPr/>
        <w:t>Prior chapters 39–46</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39. Canonical API, object ownership and status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 v1.2 1, 18, 22</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HTTP/API/schema/status/concurrency design is not the infrastructure architecture; common service needs remain.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40. Admission, Flow Intention and policy compilation</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v1.2 10–12, 21–22</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Allowed flows, effective policy and approval remain; compiler implementation is not prescribed.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41. Zero-touch provisioning and reconciliation workflow</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Rewritten; v1.2 19–23</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Infrastructure dependency and lifecycle sequence replaces custom controller workflow.</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42. Terraform roots, adapters and reproducible inputs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Reduced / reframed; v1.2 19, 22</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Actual provider scopes and ownership retained; HCL examples and repository tree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43. State boundaries, cross-state transactions and partial failure</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Reduced / reframed; v1.2 22–23</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Separate authority/state, handoffs and partial-operation safety retained; software saga design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44. CI/CD, signed plans and supply-chain integrity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Reduced / reframed; v1.2 19, 22–23,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Trusted changes and supply-chain responsibilities retained; detailed pipeline/signature implementation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45. Secrets and automation credentials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Reduced / integrated; v1.2 6, 13, 22</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Credential/state protection retained at architectural level; ephemeral syntax examples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46. Drift, emergency overrides and desired-state convergence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reframed; v1.2 23,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Actual-state comparison and incident precedence retained; controller object lifecycle excluded.</w:t>
            </w:r>
          </w:p>
        </w:tc>
      </w:tr>
    </w:tbl>
    <w:p>
      <w:pPr>
        <w:pStyle w:val="Normal"/>
        <w:spacing w:lineRule="exact" w:line="20" w:before="0" w:after="80"/>
        <w:rPr/>
      </w:pPr>
      <w:r>
        <w:rPr/>
      </w:r>
    </w:p>
    <w:p>
      <w:pPr>
        <w:pStyle w:val="Heading2"/>
        <w:rPr/>
      </w:pPr>
      <w:r>
        <w:rPr/>
        <w:t>Prior chapters 47–57</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47. Assurance profiles and isolation decisions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v1.2 3, 7,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Explicit sharing and dedication decisions replace descriptive software profile levels.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48. Conformance framework and test execution</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Condensed to acceptance; v1.2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Required verification outcomes retained; 80 procedural test specifications are outside the main narrative.</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49. Evidence, controls and authorization records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Reduced to assurance boundary; v1.2 25–26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Attributable evidence and separate authorization remain; evidence application schema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50. Logging, telemetry and time integrity</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8, 12,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Telemetry placement, attribution, protection and operational dependencies retained.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51. Capacity, performance and capacity-on-demand operations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4–5, 19,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Capacity and procurement/consumption differences tied to foundation and service lifecycle.</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52. High availability and dependency failure behavior</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14, 23,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Dependency failure behaviour tied to infrastructure; no implicit permit fallback.</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53. Recovery, bootstrap and failback runbooks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v1.2 14, 20, 23</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Recovery dependency order retained; detailed operator record/runbook fields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54. Vulnerability, patch and support lifecycle</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19–20, 23, 25</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Native lifecycle, supported inventory and controlled upgrades retained.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55. Incident response and scoped containment</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23,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Scoped containment and evidence preservation retained; incident application object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56. Lifecycle, retirement and secure disposal</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13, 23</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Data-aware infrastructure retirement retained; software finalizer details removed.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57. Migration, portability and exit rehearsal</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integrated; v1.2 14, 18, 23–24</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Rebuild/data-transfer/exit boundaries retained without pretending Terraform migrates data.</w:t>
            </w:r>
          </w:p>
        </w:tc>
      </w:tr>
    </w:tbl>
    <w:p>
      <w:pPr>
        <w:pStyle w:val="Normal"/>
        <w:spacing w:lineRule="exact" w:line="20" w:before="0" w:after="80"/>
        <w:rPr/>
      </w:pPr>
      <w:r>
        <w:rPr/>
      </w:r>
    </w:p>
    <w:p>
      <w:pPr>
        <w:pStyle w:val="Heading2"/>
        <w:rPr/>
      </w:pPr>
      <w:r>
        <w:rPr/>
        <w:t>Prior chapters 58–62</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312"/>
        <w:gridCol w:w="2807"/>
        <w:gridCol w:w="4047"/>
      </w:tblGrid>
      <w:tr>
        <w:trPr>
          <w:tblHeader w:val="true"/>
        </w:trPr>
        <w:tc>
          <w:tcPr>
            <w:tcW w:w="3312"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source chapter</w:t>
            </w:r>
          </w:p>
        </w:tc>
        <w:tc>
          <w:tcPr>
            <w:tcW w:w="280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Disposition / destination</w:t>
            </w:r>
          </w:p>
        </w:tc>
        <w:tc>
          <w:tcPr>
            <w:tcW w:w="4047"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decision</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58. Operating model and separation of duties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 refocused; v1.2 19, 25</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Infrastructure and service accountability remain; custom-controller operating team not prescribed.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59. Change, exceptions and risk decisions</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Retained / integrated; v1.2 3, 23,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Change/risk authority retained; exception serialization/state machine excluded.</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60. Architecture review and onboarding gates</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Rewritten; v1.2 20–21,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Commissioning, tenant/WSD and activation gates are concrete infrastructure stages.</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61. Delivery roadmap and reference implementation</w:t>
            </w:r>
          </w:p>
        </w:tc>
        <w:tc>
          <w:tcPr>
            <w:tcW w:w="280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Rewritten; v1.2 20, 24, 26</w:t>
            </w:r>
          </w:p>
        </w:tc>
        <w:tc>
          <w:tcPr>
            <w:tcW w:w="4047"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First-platform then multi-platform delivery, without custom application prerequisite.</w:t>
            </w:r>
          </w:p>
        </w:tc>
      </w:tr>
      <w:tr>
        <w:trPr>
          <w:cantSplit w:val="true"/>
        </w:trPr>
        <w:tc>
          <w:tcPr>
            <w:tcW w:w="3312"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62. Architecture acceptance and document release</w:t>
            </w:r>
          </w:p>
        </w:tc>
        <w:tc>
          <w:tcPr>
            <w:tcW w:w="280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Rewritten; v1.2 26</w:t>
            </w:r>
          </w:p>
        </w:tc>
        <w:tc>
          <w:tcPr>
            <w:tcW w:w="4047"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Architectural and operational acceptance replaces document/contract completeness claims.</w:t>
            </w:r>
          </w:p>
        </w:tc>
      </w:tr>
    </w:tbl>
    <w:p>
      <w:pPr>
        <w:pStyle w:val="Normal"/>
        <w:spacing w:lineRule="exact" w:line="20" w:before="0" w:after="80"/>
        <w:rPr/>
      </w:pPr>
      <w:r>
        <w:rPr/>
      </w:r>
    </w:p>
    <w:p>
      <w:pPr>
        <w:pStyle w:val="Heading1"/>
        <w:rPr/>
      </w:pPr>
      <w:r>
        <w:rPr/>
        <w:t>2. Appendix disposition</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3139"/>
        <w:gridCol w:w="1901"/>
        <w:gridCol w:w="5126"/>
      </w:tblGrid>
      <w:tr>
        <w:trPr>
          <w:tblHeader w:val="true"/>
        </w:trPr>
        <w:tc>
          <w:tcPr>
            <w:tcW w:w="3139"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v1.1 appendix</w:t>
            </w:r>
          </w:p>
        </w:tc>
        <w:tc>
          <w:tcPr>
            <w:tcW w:w="1901"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5126"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Reason and replacement</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 — Canonical object contract/API surface</w:t>
            </w:r>
          </w:p>
        </w:tc>
        <w:tc>
          <w:tcPr>
            <w:tcW w:w="1901"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w:t>
            </w:r>
          </w:p>
        </w:tc>
        <w:tc>
          <w:tcPr>
            <w:tcW w:w="5126"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No API routes, object dictionary or schema definitions in the architecture document.</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B — Worked requests/Terraform pattern</w:t>
            </w:r>
          </w:p>
        </w:tc>
        <w:tc>
          <w:tcPr>
            <w:tcW w:w="1901"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Replaced</w:t>
            </w:r>
          </w:p>
        </w:tc>
        <w:tc>
          <w:tcPr>
            <w:tcW w:w="5126"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 24 is an infrastructure deployment walkthrough; HCL and serialized requests removed.</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 — Normative requirement index</w:t>
            </w:r>
          </w:p>
        </w:tc>
        <w:tc>
          <w:tcPr>
            <w:tcW w:w="1901"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w:t>
            </w:r>
          </w:p>
        </w:tc>
        <w:tc>
          <w:tcPr>
            <w:tcW w:w="5126"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Prior identifiers are dispositioned in this review; not reissued as a 194-item v1.2 normative catalogue.</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D — Conformance test catalogue</w:t>
            </w:r>
          </w:p>
        </w:tc>
        <w:tc>
          <w:tcPr>
            <w:tcW w:w="1901"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Separated</w:t>
            </w:r>
          </w:p>
        </w:tc>
        <w:tc>
          <w:tcPr>
            <w:tcW w:w="5126"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 26 states architecture acceptance. Historical 80-test specification is not reissued or marked executed.</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E — Control-family crosswalk</w:t>
            </w:r>
          </w:p>
        </w:tc>
        <w:tc>
          <w:tcPr>
            <w:tcW w:w="1901"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w:t>
            </w:r>
          </w:p>
        </w:tc>
        <w:tc>
          <w:tcPr>
            <w:tcW w:w="5126"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Control ownership/assessment boundary retained. Incomplete family counts are not carried forward.</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F — Proposed local numeric defaults</w:t>
            </w:r>
          </w:p>
        </w:tc>
        <w:tc>
          <w:tcPr>
            <w:tcW w:w="1901"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Removed</w:t>
            </w:r>
          </w:p>
        </w:tc>
        <w:tc>
          <w:tcPr>
            <w:tcW w:w="5126"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No arbitrary timing, retention, reserve or service-target defaults are promoted into the reference design.</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G — Operational record templates</w:t>
            </w:r>
          </w:p>
        </w:tc>
        <w:tc>
          <w:tcPr>
            <w:tcW w:w="1901"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w:t>
            </w:r>
          </w:p>
        </w:tc>
        <w:tc>
          <w:tcPr>
            <w:tcW w:w="5126"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Operational responsibilities remain; record formats belong to selected management systems.</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H — Sources</w:t>
            </w:r>
          </w:p>
        </w:tc>
        <w:tc>
          <w:tcPr>
            <w:tcW w:w="1901"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Replaced / focused</w:t>
            </w:r>
          </w:p>
        </w:tc>
        <w:tc>
          <w:tcPr>
            <w:tcW w:w="5126"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Appendix B includes the source baseline and primary technical references used in this revision.</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 — Glossary</w:t>
            </w:r>
          </w:p>
        </w:tc>
        <w:tc>
          <w:tcPr>
            <w:tcW w:w="1901"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Replaced / focused</w:t>
            </w:r>
          </w:p>
        </w:tc>
        <w:tc>
          <w:tcPr>
            <w:tcW w:w="5126"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Appendix A retains infrastructure terminology; software-specific vocabulary removed.</w:t>
            </w:r>
          </w:p>
        </w:tc>
      </w:tr>
      <w:tr>
        <w:trPr>
          <w:cantSplit w:val="true"/>
        </w:trPr>
        <w:tc>
          <w:tcPr>
            <w:tcW w:w="3139"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J — Audit/release machinery</w:t>
            </w:r>
          </w:p>
        </w:tc>
        <w:tc>
          <w:tcPr>
            <w:tcW w:w="1901"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Removed from main</w:t>
            </w:r>
          </w:p>
        </w:tc>
        <w:tc>
          <w:tcPr>
            <w:tcW w:w="5126"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Review provenance is here, not repeated as architecture content or new completion claims.</w:t>
            </w:r>
          </w:p>
        </w:tc>
      </w:tr>
    </w:tbl>
    <w:p>
      <w:pPr>
        <w:pStyle w:val="Normal"/>
        <w:spacing w:lineRule="exact" w:line="20" w:before="0" w:after="80"/>
        <w:rPr/>
      </w:pPr>
      <w:r>
        <w:rPr/>
      </w:r>
    </w:p>
    <w:p>
      <w:pPr>
        <w:pStyle w:val="Heading1"/>
        <w:rPr/>
      </w:pPr>
      <w:r>
        <w:rPr/>
        <w:t>3. Prior requirement-identifier disposition</w:t>
      </w:r>
    </w:p>
    <w:p>
      <w:pPr>
        <w:pStyle w:val="Normal"/>
        <w:rPr/>
      </w:pPr>
      <w:r>
        <w:rPr/>
        <w:t>The following index accounts for every one of the 194 source requirement identifiers. It does not claim that their exact normative wording is reproduced. Requirements were consolidated into architectural decisions, component descriptions, provisioning responsibilities and acceptance outcomes. Each entry identifies its treatment and destination. “Retained intent” preserves the relevant infrastructure concern, not every field-level software prescription.</w:t>
      </w:r>
    </w:p>
    <w:p>
      <w:pPr>
        <w:pStyle w:val="Heading2"/>
        <w:rPr/>
      </w:pPr>
      <w:r>
        <w:rPr/>
        <w:t>Requirements originating in v1.1 chapters 1–10</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ARCH-001, ARCH-002, ARCH-003, ARCH-004, SCOPE-001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INV-001, INV-002, INV-003, INV-004, INV-005, INV-006, INV-007, REF-001, REF-002, AUTH-001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DOC-001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Removed from main</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Editorial record</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STD-001, STD-002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 Appendix B</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CAT-002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3, 9, 25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CAT-001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3, 9, 21</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THR-001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3–14, 23,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MODEL-002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2, 9</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MODEL-001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9, 21–23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TEN-001, TEN-002, TEN-003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9, 21</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WSD-001, WSD-002, WSD-003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9, 21, 24</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SDI-001, SDI-002, SDI-003, SDI-004</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9, 15–18</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ZONE-001, ZONE-002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10</w:t>
            </w:r>
          </w:p>
        </w:tc>
      </w:tr>
    </w:tbl>
    <w:p>
      <w:pPr>
        <w:pStyle w:val="Normal"/>
        <w:spacing w:lineRule="exact" w:line="20" w:before="0" w:after="80"/>
        <w:rPr/>
      </w:pPr>
      <w:r>
        <w:rPr/>
      </w:r>
    </w:p>
    <w:p>
      <w:pPr>
        <w:pStyle w:val="Heading2"/>
        <w:rPr/>
      </w:pPr>
      <w:r>
        <w:rPr/>
        <w:t>Requirements originating in v1.1 chapters 11–21</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ZIP-001, ZIP-002, ZIP-003, ZIP-004, ZIP-005, ZIP-006, ZIP-007</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10–12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MGT-001, MGT-002, MGT-003, MGT-004, MGT-005</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OVL-001, OVL-002, OVL-003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 11, 15–18</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RTE-001, RTE-002, RTE-003, RTE-004</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5, 11</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IPAM-001, IPAM-002, IPAM-003, IPAM-004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5, 8, 12, 20–23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IPV6-001, IPV6-002, IPV6-003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12, 26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SVC-001, SVC-002, SVC-003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8, 12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ING-001, ING-002, EGR-001, EGR-002, EXP-001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10–12, 21</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MICRO-001, MICRO-002, MICRO-003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9, 12, 15–17</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EDGE-001, EDGE-002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11, 15–18</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SITE-001, SITE-002, SITE-003, SITE-004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4, 14</w:t>
            </w:r>
          </w:p>
        </w:tc>
      </w:tr>
    </w:tbl>
    <w:p>
      <w:pPr>
        <w:pStyle w:val="Normal"/>
        <w:spacing w:lineRule="exact" w:line="20" w:before="0" w:after="80"/>
        <w:rPr/>
      </w:pPr>
      <w:r>
        <w:rPr/>
      </w:r>
    </w:p>
    <w:p>
      <w:pPr>
        <w:pStyle w:val="Heading2"/>
        <w:rPr/>
      </w:pPr>
      <w:r>
        <w:rPr/>
        <w:t>Requirements originating in v1.1 chapters 22–31</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CMP-001, CMP-002, CMP-003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7, 15–17</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STO-001, STO-002, STO-003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7, 13, 18</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IAM-001, IAM-002, IAM-003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6, 8, 13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CRY-001, CRY-002, CRY-003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IMG-001, IMG-002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7, 19, 21, 25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BKP-001, BKP-002, BKP-003, BKP-004</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8, 13, 14, 23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REL-001, REL-002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3, 14, 25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PLACE-001, PLACE-002, PLACE-003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13–14, 18,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SVCM-001, SVCM-002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1, 19, 21, 25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RESP-001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1, 13, 21, 25</w:t>
            </w:r>
          </w:p>
        </w:tc>
      </w:tr>
    </w:tbl>
    <w:p>
      <w:pPr>
        <w:pStyle w:val="Normal"/>
        <w:spacing w:lineRule="exact" w:line="20" w:before="0" w:after="80"/>
        <w:rPr/>
      </w:pPr>
      <w:r>
        <w:rPr/>
      </w:r>
    </w:p>
    <w:p>
      <w:pPr>
        <w:pStyle w:val="Heading2"/>
        <w:rPr/>
      </w:pPr>
      <w:r>
        <w:rPr/>
        <w:t>Requirements originating in v1.1 chapters 32–38</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FAB-001, FAB-002, FAB-003, FAB-004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4–5, 20</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EVPN-001, EVPN-002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PORT-001, PORT-002, PORT-003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18, 26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QUAL-001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15–18,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NUT-001, NUT-002, NUT-003, NUT-004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15, 22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NSX-001, NSX-002, NSX-003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16, 22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OS-001, OS-002, OS-003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17, 22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FUT-001, FUT-002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Scope reduced</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11, 18, 26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FUT-003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Scope reduced</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11, 18, 26</w:t>
            </w:r>
          </w:p>
        </w:tc>
      </w:tr>
    </w:tbl>
    <w:p>
      <w:pPr>
        <w:pStyle w:val="Normal"/>
        <w:spacing w:lineRule="exact" w:line="20" w:before="0" w:after="80"/>
        <w:rPr/>
      </w:pPr>
      <w:r>
        <w:rPr/>
      </w:r>
    </w:p>
    <w:p>
      <w:pPr>
        <w:pStyle w:val="Heading2"/>
        <w:rPr/>
      </w:pPr>
      <w:r>
        <w:rPr/>
        <w:t>Requirements originating in v1.1 chapters 39–46</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API-002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1, 18, 22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API-001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Implementation specification only</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1, 18, 22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API-003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Implementation specification only</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 21–23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POL-001, POL-002, FLOW-001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10–12, 21–22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AUTO-001, AUTO-002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19–23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AUTO-003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22–23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TF-001, TF-002, TF-003, TF-005</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19, 22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TF-004</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Implementation specification only</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STATE-001, STATE-002, STATE-003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22–23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CICD-001, SUP-001</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19, 22–23,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CICD-002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22–23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SEC-001, SEC-002, SEC-003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6, 13, 22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SEC-004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6, 13, 22</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DRIFT-001, DRIFT-002, DRIFT-003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23, 25</w:t>
            </w:r>
          </w:p>
        </w:tc>
      </w:tr>
    </w:tbl>
    <w:p>
      <w:pPr>
        <w:pStyle w:val="Normal"/>
        <w:spacing w:lineRule="exact" w:line="20" w:before="0" w:after="80"/>
        <w:rPr/>
      </w:pPr>
      <w:r>
        <w:rPr/>
      </w:r>
    </w:p>
    <w:p>
      <w:pPr>
        <w:pStyle w:val="Heading2"/>
        <w:rPr/>
      </w:pPr>
      <w:r>
        <w:rPr/>
        <w:t>Requirements originating in v1.1 chapters 47–57</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ASSUR-001, ASSUR-002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3, 7, 26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ASSUR-003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7, 25–26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TEST-001, TEST-002, TEST-004</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TEST-003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EVID-001, EVID-003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25–26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EVID-002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reduced</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25–26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OBS-001, OBS-002, OBS-003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8, 12, 25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CAP-001, CAP-002, CAP-003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4–5, 19,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FAIL-001, FAIL-002, FAIL-003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14, 23, 25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REC-001, REC-002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14, 20, 23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VULN-001, VULN-002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19–20, 23,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IR-001, IR-002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23, 25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LIFE-001, LIFE-002, LIFE-003</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13, 23</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MIG-001, MIG-002, MIG-003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14, 18, 23–24</w:t>
            </w:r>
          </w:p>
        </w:tc>
      </w:tr>
    </w:tbl>
    <w:p>
      <w:pPr>
        <w:pStyle w:val="Normal"/>
        <w:spacing w:lineRule="exact" w:line="20" w:before="0" w:after="80"/>
        <w:rPr/>
      </w:pPr>
      <w:r>
        <w:rPr/>
      </w:r>
    </w:p>
    <w:p>
      <w:pPr>
        <w:pStyle w:val="Heading2"/>
        <w:rPr/>
      </w:pPr>
      <w:r>
        <w:rPr/>
        <w:t>Requirements originating in v1.1 chapters 58–62</w:t>
      </w:r>
    </w:p>
    <w:tbl>
      <w:tblPr>
        <w:tblW w:w="10166"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5183"/>
        <w:gridCol w:w="2808"/>
        <w:gridCol w:w="2175"/>
      </w:tblGrid>
      <w:tr>
        <w:trPr>
          <w:tblHeader w:val="true"/>
        </w:trPr>
        <w:tc>
          <w:tcPr>
            <w:tcW w:w="5183"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Source requirement IDs</w:t>
            </w:r>
          </w:p>
        </w:tc>
        <w:tc>
          <w:tcPr>
            <w:tcW w:w="280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Treatment</w:t>
            </w:r>
          </w:p>
        </w:tc>
        <w:tc>
          <w:tcPr>
            <w:tcW w:w="217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v1.2 destination</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OPS-001, OPS-002</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Consolidated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19, 25</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EXC-001, EXC-002, EXC-003</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3, 23, 26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ONB-001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20–21,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DEL-001, DEL-002</w:t>
            </w:r>
          </w:p>
        </w:tc>
        <w:tc>
          <w:tcPr>
            <w:tcW w:w="280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20, 24, 26</w:t>
            </w:r>
          </w:p>
        </w:tc>
      </w:tr>
      <w:tr>
        <w:trPr>
          <w:cantSplit w:val="true"/>
        </w:trPr>
        <w:tc>
          <w:tcPr>
            <w:tcW w:w="5183"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ACPT-001</w:t>
            </w:r>
          </w:p>
        </w:tc>
        <w:tc>
          <w:tcPr>
            <w:tcW w:w="280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Reframed / retained intent</w:t>
            </w:r>
          </w:p>
        </w:tc>
        <w:tc>
          <w:tcPr>
            <w:tcW w:w="217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26</w:t>
            </w:r>
          </w:p>
        </w:tc>
      </w:tr>
    </w:tbl>
    <w:p>
      <w:pPr>
        <w:pStyle w:val="Normal"/>
        <w:spacing w:lineRule="exact" w:line="20" w:before="0" w:after="80"/>
        <w:rPr/>
      </w:pPr>
      <w:r>
        <w:rPr/>
      </w:r>
    </w:p>
    <w:p>
      <w:pPr>
        <w:pStyle w:val="Heading1"/>
        <w:rPr/>
      </w:pPr>
      <w:r>
        <w:rPr/>
        <w:t>4. Architectural review and scope checks</w:t>
      </w:r>
    </w:p>
    <w:tbl>
      <w:tblPr>
        <w:tblW w:w="10167" w:type="dxa"/>
        <w:jc w:val="center"/>
        <w:tblInd w:w="0" w:type="dxa"/>
        <w:tblLayout w:type="fixed"/>
        <w:tblCellMar>
          <w:top w:w="65" w:type="dxa"/>
          <w:start w:w="80" w:type="dxa"/>
          <w:bottom w:w="65" w:type="dxa"/>
          <w:end w:w="80" w:type="dxa"/>
        </w:tblCellMar>
        <w:tblLook w:val="04a0" w:noHBand="0" w:noVBand="1" w:firstColumn="1" w:lastRow="0" w:lastColumn="0" w:firstRow="1"/>
      </w:tblPr>
      <w:tblGrid>
        <w:gridCol w:w="2188"/>
        <w:gridCol w:w="1944"/>
        <w:gridCol w:w="6035"/>
      </w:tblGrid>
      <w:tr>
        <w:trPr>
          <w:tblHeader w:val="true"/>
        </w:trPr>
        <w:tc>
          <w:tcPr>
            <w:tcW w:w="2188"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Review concern</w:t>
            </w:r>
          </w:p>
        </w:tc>
        <w:tc>
          <w:tcPr>
            <w:tcW w:w="1944"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Location</w:t>
            </w:r>
          </w:p>
        </w:tc>
        <w:tc>
          <w:tcPr>
            <w:tcW w:w="6035" w:type="dxa"/>
            <w:tcBorders>
              <w:top w:val="single" w:sz="4" w:space="0" w:color="D8E2E7"/>
              <w:start w:val="single" w:sz="4" w:space="0" w:color="D8E2E7"/>
              <w:bottom w:val="single" w:sz="4" w:space="0" w:color="D8E2E7"/>
              <w:end w:val="single" w:sz="4" w:space="0" w:color="D8E2E7"/>
            </w:tcBorders>
            <w:shd w:fill="193D55"/>
          </w:tcPr>
          <w:p>
            <w:pPr>
              <w:pStyle w:val="Tableheader"/>
              <w:keepNext w:val="true"/>
              <w:spacing w:before="20" w:after="40"/>
              <w:rPr/>
            </w:pPr>
            <w:r>
              <w:rPr/>
              <w:t>Result of editorial review</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Target design</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Chapters 2 and 4–8</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Components, physical dependencies and provider-service roles are described before provisioning tools.</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Tenant and security topology</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Chapters 9–12</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Tenant authority, zone instances, R1–R3 paths, forwarding and enforcement remain distinct.</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Native realization</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Chapters 15–18</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All three stacks have physical/logical organization, packet paths, provisioning stages and implementation conditions.</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Provisioning sequence</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Chapters 19–23</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Commissioning, platform establishment, tenant enablement, WSD resources and ongoing change are separated.</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Actual tool scope</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Chapters 19 and 22</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Terraform is retained across native stacks; installers, lifecycle, guest configuration, data transfer and shared-service mechanisms are named separately.</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No custom application prerequisite</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Chapters 1, 18 and 26</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No new API/controller/database framework is required to adopt the architecture.</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Security intent retained</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Chapters 3, 6–14, 21–26</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Removal of software details does not create an exception to isolation, safe activation, retention, recovery or authorization.</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Incomplete external facts not invented</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Chapters 15–18 and 26</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Exact supported releases, site values, licenses, topology limits and actual qualification evidence remain implementation decisions.</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Protocol and eligibility clarification</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Chapters 8, 10 and 12</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DNS includes TCP/UDP needs; HRZ is not automatically cloud-eligible; IPv6-only is not coupled to a fictional IPv4 allocation.</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Reference walkthrough</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Chapter 24</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Illustrative resource demand is clearly labelled, arithmetically checked and not an application availability guarantee.</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Source and design distinction</w:t>
            </w:r>
          </w:p>
        </w:tc>
        <w:tc>
          <w:tcPr>
            <w:tcW w:w="1944"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Appendix B</w:t>
            </w:r>
          </w:p>
        </w:tc>
        <w:tc>
          <w:tcPr>
            <w:tcW w:w="6035" w:type="dxa"/>
            <w:tcBorders>
              <w:top w:val="single" w:sz="4" w:space="0" w:color="D8E2E7"/>
              <w:start w:val="single" w:sz="4" w:space="0" w:color="D8E2E7"/>
              <w:bottom w:val="single" w:sz="4" w:space="0" w:color="D8E2E7"/>
              <w:end w:val="single" w:sz="4" w:space="0" w:color="D8E2E7"/>
            </w:tcBorders>
          </w:tcPr>
          <w:p>
            <w:pPr>
              <w:pStyle w:val="Tabletext"/>
              <w:widowControl/>
              <w:bidi w:val="0"/>
              <w:spacing w:lineRule="auto" w:line="250" w:before="20" w:after="40"/>
              <w:jc w:val="start"/>
              <w:rPr/>
            </w:pPr>
            <w:r>
              <w:rPr/>
              <w:t>Retained B1 source, primary-source checks and new reference-design synthesis are distinguished.</w:t>
            </w:r>
          </w:p>
        </w:tc>
      </w:tr>
      <w:tr>
        <w:trPr>
          <w:cantSplit w:val="true"/>
        </w:trPr>
        <w:tc>
          <w:tcPr>
            <w:tcW w:w="2188"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Historical package status</w:t>
            </w:r>
          </w:p>
        </w:tc>
        <w:tc>
          <w:tcPr>
            <w:tcW w:w="1944"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This review</w:t>
            </w:r>
          </w:p>
        </w:tc>
        <w:tc>
          <w:tcPr>
            <w:tcW w:w="6035" w:type="dxa"/>
            <w:tcBorders>
              <w:top w:val="single" w:sz="4" w:space="0" w:color="D8E2E7"/>
              <w:start w:val="single" w:sz="4" w:space="0" w:color="D8E2E7"/>
              <w:bottom w:val="single" w:sz="4" w:space="0" w:color="D8E2E7"/>
              <w:end w:val="single" w:sz="4" w:space="0" w:color="D8E2E7"/>
            </w:tcBorders>
            <w:shd w:fill="F4F7F9"/>
          </w:tcPr>
          <w:p>
            <w:pPr>
              <w:pStyle w:val="Tabletext"/>
              <w:widowControl/>
              <w:bidi w:val="0"/>
              <w:spacing w:lineRule="auto" w:line="250" w:before="20" w:after="40"/>
              <w:jc w:val="start"/>
              <w:rPr/>
            </w:pPr>
            <w:r>
              <w:rPr/>
              <w:t>Old schemas and validator are unchanged and not reissued as complete or fixed.</w:t>
            </w:r>
          </w:p>
        </w:tc>
      </w:tr>
    </w:tbl>
    <w:p>
      <w:pPr>
        <w:pStyle w:val="Normal"/>
        <w:spacing w:lineRule="exact" w:line="20" w:before="0" w:after="80"/>
        <w:rPr/>
      </w:pPr>
      <w:r>
        <w:rPr/>
      </w:r>
    </w:p>
    <w:p>
      <w:pPr>
        <w:pStyle w:val="Normal"/>
        <w:rPr/>
      </w:pPr>
      <w:r>
        <w:rPr/>
        <w:t>The review above checks document direction and architectural coverage. Publishing/structural checks and rendered-page review are performed on the final deliverables. They do not establish live platform conformance, control effectiveness or formal accessibility certification.</w:t>
      </w:r>
    </w:p>
    <w:p>
      <w:pPr>
        <w:pStyle w:val="Heading1"/>
        <w:rPr/>
      </w:pPr>
      <w:r>
        <w:rPr/>
        <w:t>5. Remaining implementation boundaries</w:t>
      </w:r>
    </w:p>
    <w:p>
      <w:pPr>
        <w:pStyle w:val="Normal"/>
        <w:rPr/>
      </w:pPr>
      <w:r>
        <w:rPr/>
        <w:t>The reference architecture does not invent an installed environment. Before deployment, the responsible teams must complete the actual site topology, supported product/provider combination, precise handoff and routing details, resource placement, service objectives, identities/keys/protection endpoints, operation coverage and selected-control assessment. Main chapter 26 assigns each decision an owner and output.</w:t>
      </w:r>
    </w:p>
    <w:p>
      <w:pPr>
        <w:pStyle w:val="Normal"/>
        <w:widowControl/>
        <w:bidi w:val="0"/>
        <w:spacing w:lineRule="auto" w:line="259" w:before="0" w:after="120"/>
        <w:jc w:val="start"/>
        <w:rPr/>
      </w:pPr>
      <w:r>
        <w:rPr/>
        <w:t>The appropriate next technical deliverable is an implementation design for the selected first platform, derived from this reference architecture. A separate automation specification may define schemas, modules or orchestration internals when a concrete delivery system needs them; those details are not prerequisites to understanding this architecture.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360" w:top="979" w:footer="360"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166" w:leader="none"/>
      </w:tabs>
      <w:spacing w:before="0" w:after="200"/>
      <w:rPr/>
    </w:pPr>
    <w:r>
      <w:rPr/>
      <w:t>Draft v1.2 | Content review and disposition</w:t>
      <w:tab/>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0"/>
      <w:rPr/>
    </w:pPr>
    <w:r>
      <w:rPr/>
      <w:t>PORTABLE SECURE HOSTING | CONTENT REVIEW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Calibri" w:hAnsi="Calibri" w:eastAsia="Calibri" w:cs=""/>
      <w:b w:val="false"/>
      <w:color w:val="22323B"/>
      <w:kern w:val="0"/>
      <w:sz w:val="21"/>
      <w:szCs w:val="22"/>
      <w:lang w:val="en-CA"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280" w:after="200"/>
      <w:outlineLvl w:val="0"/>
    </w:pPr>
    <w:rPr>
      <w:rFonts w:ascii="Calibri" w:hAnsi="Calibri" w:eastAsia="ＭＳ ゴシック" w:cs="" w:asciiTheme="majorHAnsi" w:cstheme="majorBidi" w:eastAsiaTheme="majorEastAsia" w:hAnsiTheme="majorHAnsi"/>
      <w:b/>
      <w:bCs/>
      <w:color w:val="193D55"/>
      <w:sz w:val="40"/>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93D55"/>
      <w:sz w:val="27"/>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customStyle="1">
    <w:name w:val="Hyperlink"/>
    <w:rPr>
      <w:color w:val="286674"/>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keepNext w:val="true"/>
      <w:spacing w:lineRule="auto" w:line="240" w:before="0" w:after="100"/>
    </w:pPr>
    <w:rPr>
      <w:rFonts w:ascii="Calibri" w:hAnsi="Calibri" w:eastAsia="Calibri"/>
      <w:b w:val="false"/>
      <w:bCs/>
      <w:color w:val="546773"/>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93D55"/>
      <w:spacing w:val="5"/>
      <w:kern w:val="2"/>
      <w:sz w:val="6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286674"/>
      <w:spacing w:val="15"/>
      <w:sz w:val="3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heading" w:customStyle="1">
    <w:name w:val="Front heading"/>
    <w:qFormat/>
    <w:pPr>
      <w:keepNext w:val="true"/>
      <w:widowControl/>
      <w:bidi w:val="0"/>
      <w:spacing w:lineRule="auto" w:line="276" w:before="160" w:after="200"/>
      <w:jc w:val="start"/>
    </w:pPr>
    <w:rPr>
      <w:rFonts w:ascii="Calibri" w:hAnsi="Calibri" w:eastAsia="Calibri" w:cs=""/>
      <w:b/>
      <w:color w:val="193D55"/>
      <w:kern w:val="0"/>
      <w:sz w:val="36"/>
      <w:szCs w:val="22"/>
      <w:lang w:val="en-US" w:eastAsia="en-US" w:bidi="ar-SA"/>
    </w:rPr>
  </w:style>
  <w:style w:type="paragraph" w:styleId="Small" w:customStyle="1">
    <w:name w:val="Small"/>
    <w:qFormat/>
    <w:pPr>
      <w:widowControl/>
      <w:bidi w:val="0"/>
      <w:spacing w:lineRule="auto" w:line="276" w:before="0" w:after="200"/>
      <w:jc w:val="start"/>
    </w:pPr>
    <w:rPr>
      <w:rFonts w:ascii="Calibri" w:hAnsi="Calibri" w:eastAsia="Calibri" w:cs=""/>
      <w:b w:val="false"/>
      <w:color w:val="546773"/>
      <w:kern w:val="0"/>
      <w:sz w:val="18"/>
      <w:szCs w:val="22"/>
      <w:lang w:val="en-US" w:eastAsia="en-US" w:bidi="ar-SA"/>
    </w:rPr>
  </w:style>
  <w:style w:type="paragraph" w:styleId="Tabletext" w:customStyle="1">
    <w:name w:val="Table text"/>
    <w:qFormat/>
    <w:pPr>
      <w:widowControl/>
      <w:bidi w:val="0"/>
      <w:spacing w:lineRule="auto" w:line="250" w:before="20" w:after="40"/>
      <w:jc w:val="start"/>
    </w:pPr>
    <w:rPr>
      <w:rFonts w:ascii="Calibri" w:hAnsi="Calibri" w:eastAsia="Calibri" w:cs=""/>
      <w:b w:val="false"/>
      <w:color w:val="22323B"/>
      <w:kern w:val="0"/>
      <w:sz w:val="19"/>
      <w:szCs w:val="22"/>
      <w:lang w:val="en-US" w:eastAsia="en-US" w:bidi="ar-SA"/>
    </w:rPr>
  </w:style>
  <w:style w:type="paragraph" w:styleId="Tableheader" w:customStyle="1">
    <w:name w:val="Table header"/>
    <w:qFormat/>
    <w:pPr>
      <w:widowControl/>
      <w:bidi w:val="0"/>
      <w:spacing w:lineRule="auto" w:line="250" w:before="20" w:after="40"/>
      <w:jc w:val="start"/>
    </w:pPr>
    <w:rPr>
      <w:rFonts w:ascii="Calibri" w:hAnsi="Calibri" w:eastAsia="Calibri" w:cs=""/>
      <w:b/>
      <w:color w:val="FFFFFF"/>
      <w:kern w:val="0"/>
      <w:sz w:val="19"/>
      <w:szCs w:val="22"/>
      <w:lang w:val="en-US" w:eastAsia="en-US" w:bidi="ar-SA"/>
    </w:rPr>
  </w:style>
  <w:style w:type="paragraph" w:styleId="Sourcetitle" w:customStyle="1">
    <w:name w:val="Source title"/>
    <w:qFormat/>
    <w:pPr>
      <w:keepNext w:val="true"/>
      <w:widowControl/>
      <w:bidi w:val="0"/>
      <w:spacing w:lineRule="auto" w:line="276" w:before="160" w:after="60"/>
      <w:jc w:val="start"/>
    </w:pPr>
    <w:rPr>
      <w:rFonts w:ascii="Calibri" w:hAnsi="Calibri" w:eastAsia="Calibri" w:cs=""/>
      <w:b/>
      <w:color w:val="193D55"/>
      <w:kern w:val="0"/>
      <w:sz w:val="21"/>
      <w:szCs w:val="22"/>
      <w:lang w:val="en-US" w:eastAsia="en-US" w:bidi="ar-SA"/>
    </w:rPr>
  </w:style>
  <w:style w:type="paragraph" w:styleId="Sourcetext" w:customStyle="1">
    <w:name w:val="Source text"/>
    <w:qFormat/>
    <w:pPr>
      <w:widowControl/>
      <w:bidi w:val="0"/>
      <w:spacing w:lineRule="auto" w:line="276" w:before="0" w:after="100"/>
      <w:jc w:val="start"/>
    </w:pPr>
    <w:rPr>
      <w:rFonts w:ascii="Calibri" w:hAnsi="Calibri" w:eastAsia="Calibri" w:cs=""/>
      <w:b w:val="false"/>
      <w:color w:val="22323B"/>
      <w:kern w:val="0"/>
      <w:sz w:val="19"/>
      <w:szCs w:val="22"/>
      <w:lang w:val="en-US" w:eastAsia="en-US" w:bidi="ar-SA"/>
    </w:rPr>
  </w:style>
  <w:style w:type="paragraph" w:styleId="TOC1" w:customStyle="1">
    <w:name w:val="toc 1"/>
    <w:pPr>
      <w:widowControl/>
      <w:bidi w:val="0"/>
      <w:spacing w:lineRule="auto" w:line="252" w:before="0" w:after="80"/>
      <w:jc w:val="start"/>
    </w:pPr>
    <w:rPr>
      <w:rFonts w:ascii="Calibri" w:hAnsi="Calibri" w:eastAsia="Calibri" w:cs=""/>
      <w:b w:val="false"/>
      <w:color w:val="22323B"/>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11</Pages>
  <Words>3184</Words>
  <Characters>20661</Characters>
  <CharactersWithSpaces>23208</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keywords>multi-tenant hosting reference architecture Nutanix VMware OpenStack provisioning</cp:keywords>
  <dc:language>en-US</dc:language>
  <cp:lastModifiedBy/>
  <dcterms:modified xsi:type="dcterms:W3CDTF">2026-09-16T19:55:43Z</dcterms:modified>
  <cp:revision>2</cp:revision>
  <dc:subject>Infrastructure architecture, vendor-stack realization and provisioning strategy</dc:subject>
  <dc:title>Portable Secure Hosting v1.2 — Content Review and Disposition</dc:title>
</cp:coreProperties>
</file>

<file path=docProps/custom.xml><?xml version="1.0" encoding="utf-8"?>
<Properties xmlns="http://schemas.openxmlformats.org/officeDocument/2006/custom-properties" xmlns:vt="http://schemas.openxmlformats.org/officeDocument/2006/docPropsVTypes"/>
</file>