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mall"/>
        <w:spacing w:before="440" w:after="60"/>
        <w:rPr/>
      </w:pPr>
      <w:r>
        <w:rPr>
          <w:color w:val="176C70"/>
        </w:rPr>
        <w:t>ARCHITECTURE STANDARD + ENGINEERING HANDBOOK</w:t>
      </w:r>
    </w:p>
    <w:p>
      <w:pPr>
        <w:pStyle w:val="Title"/>
        <w:rPr/>
      </w:pPr>
      <w:r>
        <w:rPr/>
        <w:t>Portable</w:t>
        <w:br/>
        <w:t>Multi-Tenant</w:t>
        <w:br/>
        <w:t>Secure Hosting</w:t>
      </w:r>
    </w:p>
    <w:p>
      <w:pPr>
        <w:pStyle w:val="Subtitle"/>
        <w:rPr/>
      </w:pPr>
      <w:r>
        <w:rPr/>
        <w:t>Complete architecture baseline</w:t>
        <w:br/>
        <w:t>and zero-touch service contract</w:t>
      </w:r>
    </w:p>
    <w:p>
      <w:pPr>
        <w:pStyle w:val="Small"/>
        <w:rPr/>
      </w:pPr>
      <w:r>
        <w:rPr/>
        <w:t>Draft v1.1  |  16 September 2026</w:t>
      </w:r>
    </w:p>
    <w:p>
      <w:pPr>
        <w:pStyle w:val="FrontHeading"/>
        <w:spacing w:before="480" w:after="140"/>
        <w:rPr/>
      </w:pPr>
      <w:r>
        <w:rPr/>
        <w:t>Security outcomes that survive platform change.</w:t>
      </w:r>
    </w:p>
    <w:p>
      <w:pPr>
        <w:pStyle w:val="BodyText"/>
        <w:rPr/>
      </w:pPr>
      <w:r>
        <w:rPr/>
        <w:t>A vendor-neutral model for workload intent, controlled trust transitions, protected hosting services, scoped automation, measured recovery and attributable evidence.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3197"/>
        <w:gridCol w:w="3180"/>
        <w:gridCol w:w="3199"/>
      </w:tblGrid>
      <w:tr>
        <w:trPr>
          <w:tblHeader w:val="true"/>
          <w:cantSplit w:val="true"/>
        </w:trPr>
        <w:tc>
          <w:tcPr>
            <w:tcW w:w="319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62 chapters</w:t>
            </w:r>
          </w:p>
        </w:tc>
        <w:tc>
          <w:tcPr>
            <w:tcW w:w="31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194 requirements</w:t>
            </w:r>
          </w:p>
        </w:tc>
        <w:tc>
          <w:tcPr>
            <w:tcW w:w="3199"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80 conformance procedures</w:t>
            </w:r>
          </w:p>
        </w:tc>
      </w:tr>
      <w:tr>
        <w:trPr>
          <w:cantSplit w:val="true"/>
        </w:trPr>
        <w:tc>
          <w:tcPr>
            <w:tcW w:w="319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Seven architecture parts</w:t>
            </w:r>
          </w:p>
        </w:tc>
        <w:tc>
          <w:tcPr>
            <w:tcW w:w="318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All 99 original IDs mapped</w:t>
            </w:r>
          </w:p>
        </w:tc>
        <w:tc>
          <w:tcPr>
            <w:tcW w:w="3199"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33 typed contract objects</w:t>
            </w:r>
          </w:p>
        </w:tc>
      </w:tr>
    </w:tbl>
    <w:p>
      <w:pPr>
        <w:pStyle w:val="Small"/>
        <w:spacing w:before="360" w:after="60"/>
        <w:rPr/>
      </w:pPr>
      <w:r>
        <w:rPr/>
        <w:t>DOCUMENT BASELINE COMPLETE • IMPLEMENTATION QUALIFICATION SEPARATE</w:t>
      </w:r>
    </w:p>
    <w:p>
      <w:pPr>
        <w:pStyle w:val="Small"/>
        <w:rPr/>
      </w:pPr>
      <w:r>
        <w:rPr/>
        <w:t>This release defines and validates the reference documentation and contract package. Live platform qualification, tailored control assessment, site parameters and formal authorization remain implementation responsibilities. Candidate examples and unexecuted tests are explicitly identified.</w:t>
      </w:r>
    </w:p>
    <w:p>
      <w:pPr>
        <w:pStyle w:val="Normal"/>
        <w:rPr/>
      </w:pPr>
      <w:r>
        <w:rPr/>
      </w:r>
      <w:r>
        <w:br w:type="page"/>
      </w:r>
    </w:p>
    <w:p>
      <w:pPr>
        <w:pStyle w:val="FrontHeading"/>
        <w:spacing w:before="0" w:after="140"/>
        <w:rPr/>
      </w:pPr>
      <w:r>
        <w:rPr/>
        <w:t>Document control and how to use this release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087"/>
        <w:gridCol w:w="7488"/>
      </w:tblGrid>
      <w:tr>
        <w:trPr>
          <w:tblHeader w:val="true"/>
          <w:cantSplit w:val="true"/>
        </w:trPr>
        <w:tc>
          <w:tcPr>
            <w:tcW w:w="208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Field</w:t>
            </w:r>
          </w:p>
        </w:tc>
        <w:tc>
          <w:tcPr>
            <w:tcW w:w="748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Release record</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Title / version</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Portable Multi-Tenant Secure Hosting Handbook / Draft v1.1</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Status</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Completed reference-architecture baseline for adoption, qualification and authorization workflows</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Source baseline</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Uploaded Draft v1.0, 43 pages; all original sections and 99 requirement IDs accounted for</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Audience</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Architecture, security assessment, network/platform/storage/identity engineering, automation, operations and service/data owners</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Normative authority</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SHALL/SHOULD/MAY identify this proposed handbook baseline; adoption and higher-authority applicability are separate decisions</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Research baseline</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Primary references reviewed 16 September 2026; important 2026 control-catalogue and cryptography updates recorded</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Companion package</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Closed schemas, examples, generated requirements/tests/sources, audit/migration records, offline validator and editable diagrams</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Release limits</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No actual infrastructure conformance execution, provider certification, production approval or named site values are asserted</w:t>
            </w:r>
          </w:p>
        </w:tc>
      </w:tr>
    </w:tbl>
    <w:p>
      <w:pPr>
        <w:pStyle w:val="Heading3"/>
        <w:rPr/>
      </w:pPr>
      <w:r>
        <w:rPr/>
        <w:t>Reading paths</w:t>
      </w:r>
    </w:p>
    <w:p>
      <w:pPr>
        <w:pStyle w:val="BodyText"/>
        <w:rPr/>
      </w:pPr>
      <w:r>
        <w:rPr/>
        <w:t>Architecture and security reviewers: Parts I–III, sections 34 and 47–49, and Appendices C/E/J. Implementers: Parts II–V and the typed schema package. Operators: sections 27–30 and Parts VI–VII. All roles use the generated requirement/test links rather than a manually curated subset.</w:t>
      </w:r>
    </w:p>
    <w:p>
      <w:pPr>
        <w:pStyle w:val="Heading3"/>
        <w:rPr/>
      </w:pPr>
      <w:r>
        <w:rPr/>
        <w:t>Revision provenance</w:t>
      </w:r>
    </w:p>
    <w:p>
      <w:pPr>
        <w:pStyle w:val="BodyText"/>
        <w:rPr/>
      </w:pPr>
      <w:r>
        <w:rPr/>
        <w:t>The original WSD, SDI, ZIP, service-binding, route-authority and stable-fabric thesis is retained. Research-backed corrections and locally proposed extensions are identified by source references and the migration/audit registers. Numerical examples are not presented as government-mandated thresholds. The exact revised text for every original requirement is included in the companion migration catalogue. [</w:t>
      </w:r>
      <w:hyperlink w:anchor="S00">
        <w:r>
          <w:rPr>
            <w:rStyle w:val="Hyperlink"/>
          </w:rPr>
          <w:t>S00</w:t>
        </w:r>
      </w:hyperlink>
      <w:r>
        <w:rPr/>
        <w:t>]</w:t>
      </w:r>
    </w:p>
    <w:p>
      <w:pPr>
        <w:pStyle w:val="Heading3"/>
        <w:rPr/>
      </w:pPr>
      <w:r>
        <w:rPr/>
        <w:t>Navigation</w:t>
      </w:r>
    </w:p>
    <w:p>
      <w:pPr>
        <w:pStyle w:val="BodyText"/>
        <w:rPr/>
      </w:pPr>
      <w:r>
        <w:rPr/>
        <w:t>The contents below are a populated Word TOC field. Headings, figure numbers, bookmarks and source links remain editable. After later edits, update fields in Word and save before distributing a new reading copy. Appendix C indexes every normative requirement to its defining chapter, owner, test and source basis.</w:t>
      </w:r>
    </w:p>
    <w:p>
      <w:pPr>
        <w:pStyle w:val="Normal"/>
        <w:rPr/>
      </w:pPr>
      <w:r>
        <w:rPr/>
      </w:r>
      <w:r>
        <w:br w:type="page"/>
      </w:r>
    </w:p>
    <w:p>
      <w:pPr>
        <w:pStyle w:val="FrontHeading"/>
        <w:spacing w:before="0" w:after="140"/>
        <w:rPr/>
      </w:pPr>
      <w:r>
        <w:rPr/>
        <w:t>Contents</w:t>
      </w:r>
    </w:p>
    <w:sdt>
      <w:sdtPr>
        <w:docPartObj>
          <w:docPartGallery w:val="Table of Contents"/>
          <w:docPartUnique w:val="true"/>
        </w:docPartObj>
      </w:sdtPr>
      <w:sdtContent>
        <w:p>
          <w:pPr>
            <w:pStyle w:val="TOC1"/>
            <w:tabs>
              <w:tab w:val="clear" w:pos="720"/>
              <w:tab w:val="right" w:pos="957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3285_1645000677">
            <w:r>
              <w:rPr>
                <w:webHidden/>
                <w:rStyle w:val="IndexLink"/>
              </w:rPr>
              <w:t>Part I — Foundations and governance context</w:t>
              <w:tab/>
              <w:t>5</w:t>
            </w:r>
          </w:hyperlink>
        </w:p>
        <w:p>
          <w:pPr>
            <w:pStyle w:val="TOC2"/>
            <w:tabs>
              <w:tab w:val="clear" w:pos="720"/>
              <w:tab w:val="right" w:pos="9575" w:leader="dot"/>
            </w:tabs>
            <w:rPr/>
          </w:pPr>
          <w:hyperlink w:anchor="__RefHeading___Toc13287_1645000677">
            <w:r>
              <w:rPr>
                <w:webHidden/>
                <w:rStyle w:val="IndexLink"/>
              </w:rPr>
              <w:t>1. Purpose, scope and release boundaries</w:t>
              <w:tab/>
              <w:t>5</w:t>
            </w:r>
          </w:hyperlink>
        </w:p>
        <w:p>
          <w:pPr>
            <w:pStyle w:val="TOC2"/>
            <w:tabs>
              <w:tab w:val="clear" w:pos="720"/>
              <w:tab w:val="right" w:pos="9575" w:leader="dot"/>
            </w:tabs>
            <w:rPr/>
          </w:pPr>
          <w:hyperlink w:anchor="__RefHeading___Toc13289_1645000677">
            <w:r>
              <w:rPr>
                <w:webHidden/>
                <w:rStyle w:val="IndexLink"/>
              </w:rPr>
              <w:t>2. Normative language, invariants and authority</w:t>
              <w:tab/>
              <w:t>5</w:t>
            </w:r>
          </w:hyperlink>
        </w:p>
        <w:p>
          <w:pPr>
            <w:pStyle w:val="TOC2"/>
            <w:tabs>
              <w:tab w:val="clear" w:pos="720"/>
              <w:tab w:val="right" w:pos="9575" w:leader="dot"/>
            </w:tabs>
            <w:rPr/>
          </w:pPr>
          <w:hyperlink w:anchor="__RefHeading___Toc13291_1645000677">
            <w:r>
              <w:rPr>
                <w:webHidden/>
                <w:rStyle w:val="IndexLink"/>
              </w:rPr>
              <w:t>3. Standards hierarchy and the 2026 baseline</w:t>
              <w:tab/>
              <w:t>6</w:t>
            </w:r>
          </w:hyperlink>
        </w:p>
        <w:p>
          <w:pPr>
            <w:pStyle w:val="TOC2"/>
            <w:tabs>
              <w:tab w:val="clear" w:pos="720"/>
              <w:tab w:val="right" w:pos="9575" w:leader="dot"/>
            </w:tabs>
            <w:rPr/>
          </w:pPr>
          <w:hyperlink w:anchor="__RefHeading___Toc13293_1645000677">
            <w:r>
              <w:rPr>
                <w:webHidden/>
                <w:rStyle w:val="IndexLink"/>
              </w:rPr>
              <w:t>4. Categorization and policy profiles</w:t>
              <w:tab/>
              <w:t>7</w:t>
            </w:r>
          </w:hyperlink>
        </w:p>
        <w:p>
          <w:pPr>
            <w:pStyle w:val="TOC2"/>
            <w:tabs>
              <w:tab w:val="clear" w:pos="720"/>
              <w:tab w:val="right" w:pos="9575" w:leader="dot"/>
            </w:tabs>
            <w:rPr/>
          </w:pPr>
          <w:hyperlink w:anchor="__RefHeading___Toc13295_1645000677">
            <w:r>
              <w:rPr>
                <w:webHidden/>
                <w:rStyle w:val="IndexLink"/>
              </w:rPr>
              <w:t>5. Threat model and trust boundaries</w:t>
              <w:tab/>
              <w:t>8</w:t>
            </w:r>
          </w:hyperlink>
        </w:p>
        <w:p>
          <w:pPr>
            <w:pStyle w:val="TOC2"/>
            <w:tabs>
              <w:tab w:val="clear" w:pos="720"/>
              <w:tab w:val="right" w:pos="9575" w:leader="dot"/>
            </w:tabs>
            <w:rPr/>
          </w:pPr>
          <w:hyperlink w:anchor="__RefHeading___Toc13297_1645000677">
            <w:r>
              <w:rPr>
                <w:webHidden/>
                <w:rStyle w:val="IndexLink"/>
              </w:rPr>
              <w:t>6. Canonical model and service planes</w:t>
              <w:tab/>
              <w:t>9</w:t>
            </w:r>
          </w:hyperlink>
        </w:p>
        <w:p>
          <w:pPr>
            <w:pStyle w:val="TOC1"/>
            <w:tabs>
              <w:tab w:val="clear" w:pos="720"/>
              <w:tab w:val="right" w:pos="9575" w:leader="dot"/>
            </w:tabs>
            <w:rPr/>
          </w:pPr>
          <w:hyperlink w:anchor="__RefHeading___Toc13299_1645000677">
            <w:r>
              <w:rPr>
                <w:webHidden/>
                <w:rStyle w:val="IndexLink"/>
              </w:rPr>
              <w:t>Part II — Portable security architecture</w:t>
              <w:tab/>
              <w:t>10</w:t>
            </w:r>
          </w:hyperlink>
        </w:p>
        <w:p>
          <w:pPr>
            <w:pStyle w:val="TOC2"/>
            <w:tabs>
              <w:tab w:val="clear" w:pos="720"/>
              <w:tab w:val="right" w:pos="9575" w:leader="dot"/>
            </w:tabs>
            <w:rPr/>
          </w:pPr>
          <w:hyperlink w:anchor="__RefHeading___Toc13301_1645000677">
            <w:r>
              <w:rPr>
                <w:webHidden/>
                <w:rStyle w:val="IndexLink"/>
              </w:rPr>
              <w:t>7. Tenant Namespace, entitlements and ownership</w:t>
              <w:tab/>
              <w:t>10</w:t>
            </w:r>
          </w:hyperlink>
        </w:p>
        <w:p>
          <w:pPr>
            <w:pStyle w:val="TOC2"/>
            <w:tabs>
              <w:tab w:val="clear" w:pos="720"/>
              <w:tab w:val="right" w:pos="9575" w:leader="dot"/>
            </w:tabs>
            <w:rPr/>
          </w:pPr>
          <w:hyperlink w:anchor="__RefHeading___Toc13303_1645000677">
            <w:r>
              <w:rPr>
                <w:webHidden/>
                <w:rStyle w:val="IndexLink"/>
              </w:rPr>
              <w:t>8. WSD intent and lifecycle responsibility</w:t>
              <w:tab/>
              <w:t>10</w:t>
            </w:r>
          </w:hyperlink>
        </w:p>
        <w:p>
          <w:pPr>
            <w:pStyle w:val="TOC2"/>
            <w:tabs>
              <w:tab w:val="clear" w:pos="720"/>
              <w:tab w:val="right" w:pos="9575" w:leader="dot"/>
            </w:tabs>
            <w:rPr/>
          </w:pPr>
          <w:hyperlink w:anchor="__RefHeading___Toc13305_1645000677">
            <w:r>
              <w:rPr>
                <w:webHidden/>
                <w:rStyle w:val="IndexLink"/>
              </w:rPr>
              <w:t>9. Security Domains and site/platform instances</w:t>
              <w:tab/>
              <w:t>11</w:t>
            </w:r>
          </w:hyperlink>
        </w:p>
        <w:p>
          <w:pPr>
            <w:pStyle w:val="TOC2"/>
            <w:tabs>
              <w:tab w:val="clear" w:pos="720"/>
              <w:tab w:val="right" w:pos="9575" w:leader="dot"/>
            </w:tabs>
            <w:rPr/>
          </w:pPr>
          <w:hyperlink w:anchor="__RefHeading___Toc13307_1645000677">
            <w:r>
              <w:rPr>
                <w:webHidden/>
                <w:rStyle w:val="IndexLink"/>
              </w:rPr>
              <w:t>10. Zone classes, external domains and adjacency</w:t>
              <w:tab/>
              <w:t>11</w:t>
            </w:r>
          </w:hyperlink>
        </w:p>
        <w:p>
          <w:pPr>
            <w:pStyle w:val="TOC2"/>
            <w:tabs>
              <w:tab w:val="clear" w:pos="720"/>
              <w:tab w:val="right" w:pos="9575" w:leader="dot"/>
            </w:tabs>
            <w:rPr/>
          </w:pPr>
          <w:hyperlink w:anchor="__RefHeading___Toc13309_1645000677">
            <w:r>
              <w:rPr>
                <w:webHidden/>
                <w:rStyle w:val="IndexLink"/>
              </w:rPr>
              <w:t>11. ZIP architecture and joint boundary authority</w:t>
              <w:tab/>
              <w:t>12</w:t>
            </w:r>
          </w:hyperlink>
        </w:p>
        <w:p>
          <w:pPr>
            <w:pStyle w:val="TOC2"/>
            <w:tabs>
              <w:tab w:val="clear" w:pos="720"/>
              <w:tab w:val="right" w:pos="9575" w:leader="dot"/>
            </w:tabs>
            <w:rPr/>
          </w:pPr>
          <w:hyperlink w:anchor="__RefHeading___Toc13311_1645000677">
            <w:r>
              <w:rPr>
                <w:webHidden/>
                <w:rStyle w:val="IndexLink"/>
              </w:rPr>
              <w:t>12. MZ, OOB and privileged management access</w:t>
              <w:tab/>
              <w:t>14</w:t>
            </w:r>
          </w:hyperlink>
        </w:p>
        <w:p>
          <w:pPr>
            <w:pStyle w:val="TOC2"/>
            <w:tabs>
              <w:tab w:val="clear" w:pos="720"/>
              <w:tab w:val="right" w:pos="9575" w:leader="dot"/>
            </w:tabs>
            <w:rPr/>
          </w:pPr>
          <w:hyperlink w:anchor="__RefHeading___Toc13313_1645000677">
            <w:r>
              <w:rPr>
                <w:webHidden/>
                <w:rStyle w:val="IndexLink"/>
              </w:rPr>
              <w:t>13. Platform overlays and enforcement ownership</w:t>
              <w:tab/>
              <w:t>14</w:t>
            </w:r>
          </w:hyperlink>
        </w:p>
        <w:p>
          <w:pPr>
            <w:pStyle w:val="TOC2"/>
            <w:tabs>
              <w:tab w:val="clear" w:pos="720"/>
              <w:tab w:val="right" w:pos="9575" w:leader="dot"/>
            </w:tabs>
            <w:rPr/>
          </w:pPr>
          <w:hyperlink w:anchor="__RefHeading___Toc13315_1645000677">
            <w:r>
              <w:rPr>
                <w:webHidden/>
                <w:rStyle w:val="IndexLink"/>
              </w:rPr>
              <w:t>14. Route Authority and safe forwarding compilation</w:t>
              <w:tab/>
              <w:t>15</w:t>
            </w:r>
          </w:hyperlink>
        </w:p>
        <w:p>
          <w:pPr>
            <w:pStyle w:val="TOC2"/>
            <w:tabs>
              <w:tab w:val="clear" w:pos="720"/>
              <w:tab w:val="right" w:pos="9575" w:leader="dot"/>
            </w:tabs>
            <w:rPr/>
          </w:pPr>
          <w:hyperlink w:anchor="__RefHeading___Toc13317_1645000677">
            <w:r>
              <w:rPr>
                <w:webHidden/>
                <w:rStyle w:val="IndexLink"/>
              </w:rPr>
              <w:t>15. IPAM, DNS and DHCP as one lifecycle</w:t>
              <w:tab/>
              <w:t>16</w:t>
            </w:r>
          </w:hyperlink>
        </w:p>
        <w:p>
          <w:pPr>
            <w:pStyle w:val="TOC2"/>
            <w:tabs>
              <w:tab w:val="clear" w:pos="720"/>
              <w:tab w:val="right" w:pos="9575" w:leader="dot"/>
            </w:tabs>
            <w:rPr/>
          </w:pPr>
          <w:hyperlink w:anchor="__RefHeading___Toc13319_1645000677">
            <w:r>
              <w:rPr>
                <w:webHidden/>
                <w:rStyle w:val="IndexLink"/>
              </w:rPr>
              <w:t>16. IPv6 and alternate-path control</w:t>
              <w:tab/>
              <w:t>16</w:t>
            </w:r>
          </w:hyperlink>
        </w:p>
        <w:p>
          <w:pPr>
            <w:pStyle w:val="TOC2"/>
            <w:tabs>
              <w:tab w:val="clear" w:pos="720"/>
              <w:tab w:val="right" w:pos="9575" w:leader="dot"/>
            </w:tabs>
            <w:rPr/>
          </w:pPr>
          <w:hyperlink w:anchor="__RefHeading___Toc13321_1645000677">
            <w:r>
              <w:rPr>
                <w:webHidden/>
                <w:rStyle w:val="IndexLink"/>
              </w:rPr>
              <w:t>17. Shared services and explicit Service Bindings</w:t>
              <w:tab/>
              <w:t>17</w:t>
            </w:r>
          </w:hyperlink>
        </w:p>
        <w:p>
          <w:pPr>
            <w:pStyle w:val="TOC2"/>
            <w:tabs>
              <w:tab w:val="clear" w:pos="720"/>
              <w:tab w:val="right" w:pos="9575" w:leader="dot"/>
            </w:tabs>
            <w:rPr/>
          </w:pPr>
          <w:hyperlink w:anchor="__RefHeading___Toc13323_1645000677">
            <w:r>
              <w:rPr>
                <w:webHidden/>
                <w:rStyle w:val="IndexLink"/>
              </w:rPr>
              <w:t>18. Public ingress, controlled egress and external exposure</w:t>
              <w:tab/>
              <w:t>18</w:t>
            </w:r>
          </w:hyperlink>
        </w:p>
        <w:p>
          <w:pPr>
            <w:pStyle w:val="TOC2"/>
            <w:tabs>
              <w:tab w:val="clear" w:pos="720"/>
              <w:tab w:val="right" w:pos="9575" w:leader="dot"/>
            </w:tabs>
            <w:rPr/>
          </w:pPr>
          <w:hyperlink w:anchor="__RefHeading___Toc13325_1645000677">
            <w:r>
              <w:rPr>
                <w:webHidden/>
                <w:rStyle w:val="IndexLink"/>
              </w:rPr>
              <w:t>19. Microsegmentation, labels and workload attachment</w:t>
              <w:tab/>
              <w:t>18</w:t>
            </w:r>
          </w:hyperlink>
        </w:p>
        <w:p>
          <w:pPr>
            <w:pStyle w:val="TOC2"/>
            <w:tabs>
              <w:tab w:val="clear" w:pos="720"/>
              <w:tab w:val="right" w:pos="9575" w:leader="dot"/>
            </w:tabs>
            <w:rPr/>
          </w:pPr>
          <w:hyperlink w:anchor="__RefHeading___Toc13327_1645000677">
            <w:r>
              <w:rPr>
                <w:webHidden/>
                <w:rStyle w:val="IndexLink"/>
              </w:rPr>
              <w:t>20. Provider-internal Edge Attachment contract</w:t>
              <w:tab/>
              <w:t>19</w:t>
            </w:r>
          </w:hyperlink>
        </w:p>
        <w:p>
          <w:pPr>
            <w:pStyle w:val="TOC2"/>
            <w:tabs>
              <w:tab w:val="clear" w:pos="720"/>
              <w:tab w:val="right" w:pos="9575" w:leader="dot"/>
            </w:tabs>
            <w:rPr/>
          </w:pPr>
          <w:hyperlink w:anchor="__RefHeading___Toc13329_1645000677">
            <w:r>
              <w:rPr>
                <w:webHidden/>
                <w:rStyle w:val="IndexLink"/>
              </w:rPr>
              <w:t>21. Multi-site domains and recovery connectivity</w:t>
              <w:tab/>
              <w:t>20</w:t>
            </w:r>
          </w:hyperlink>
        </w:p>
        <w:p>
          <w:pPr>
            <w:pStyle w:val="TOC1"/>
            <w:tabs>
              <w:tab w:val="clear" w:pos="720"/>
              <w:tab w:val="right" w:pos="9575" w:leader="dot"/>
            </w:tabs>
            <w:rPr/>
          </w:pPr>
          <w:hyperlink w:anchor="__RefHeading___Toc13331_1645000677">
            <w:r>
              <w:rPr>
                <w:webHidden/>
                <w:rStyle w:val="IndexLink"/>
              </w:rPr>
              <w:t>Part III — Portable hosting services</w:t>
              <w:tab/>
              <w:t>21</w:t>
            </w:r>
          </w:hyperlink>
        </w:p>
        <w:p>
          <w:pPr>
            <w:pStyle w:val="TOC2"/>
            <w:tabs>
              <w:tab w:val="clear" w:pos="720"/>
              <w:tab w:val="right" w:pos="9575" w:leader="dot"/>
            </w:tabs>
            <w:rPr/>
          </w:pPr>
          <w:hyperlink w:anchor="__RefHeading___Toc13333_1645000677">
            <w:r>
              <w:rPr>
                <w:webHidden/>
                <w:rStyle w:val="IndexLink"/>
              </w:rPr>
              <w:t>22. Compute, hypervisor security and co-residency</w:t>
              <w:tab/>
              <w:t>21</w:t>
            </w:r>
          </w:hyperlink>
        </w:p>
        <w:p>
          <w:pPr>
            <w:pStyle w:val="TOC2"/>
            <w:tabs>
              <w:tab w:val="clear" w:pos="720"/>
              <w:tab w:val="right" w:pos="9575" w:leader="dot"/>
            </w:tabs>
            <w:rPr/>
          </w:pPr>
          <w:hyperlink w:anchor="__RefHeading___Toc13335_1645000677">
            <w:r>
              <w:rPr>
                <w:webHidden/>
                <w:rStyle w:val="IndexLink"/>
              </w:rPr>
              <w:t>23. Storage, data services and copy lineage</w:t>
              <w:tab/>
              <w:t>22</w:t>
            </w:r>
          </w:hyperlink>
        </w:p>
        <w:p>
          <w:pPr>
            <w:pStyle w:val="TOC2"/>
            <w:tabs>
              <w:tab w:val="clear" w:pos="720"/>
              <w:tab w:val="right" w:pos="9575" w:leader="dot"/>
            </w:tabs>
            <w:rPr/>
          </w:pPr>
          <w:hyperlink w:anchor="__RefHeading___Toc13337_1645000677">
            <w:r>
              <w:rPr>
                <w:webHidden/>
                <w:rStyle w:val="IndexLink"/>
              </w:rPr>
              <w:t>24. Identity, privileged access and service identities</w:t>
              <w:tab/>
              <w:t>22</w:t>
            </w:r>
          </w:hyperlink>
        </w:p>
        <w:p>
          <w:pPr>
            <w:pStyle w:val="TOC2"/>
            <w:tabs>
              <w:tab w:val="clear" w:pos="720"/>
              <w:tab w:val="right" w:pos="9575" w:leader="dot"/>
            </w:tabs>
            <w:rPr/>
          </w:pPr>
          <w:hyperlink w:anchor="__RefHeading___Toc13339_1645000677">
            <w:r>
              <w:rPr>
                <w:webHidden/>
                <w:rStyle w:val="IndexLink"/>
              </w:rPr>
              <w:t>25. Cryptography, KMS, certificates and crypto agility</w:t>
              <w:tab/>
              <w:t>23</w:t>
            </w:r>
          </w:hyperlink>
        </w:p>
        <w:p>
          <w:pPr>
            <w:pStyle w:val="TOC2"/>
            <w:tabs>
              <w:tab w:val="clear" w:pos="720"/>
              <w:tab w:val="right" w:pos="9575" w:leader="dot"/>
            </w:tabs>
            <w:rPr/>
          </w:pPr>
          <w:hyperlink w:anchor="__RefHeading___Toc13341_1645000677">
            <w:r>
              <w:rPr>
                <w:webHidden/>
                <w:rStyle w:val="IndexLink"/>
              </w:rPr>
              <w:t>26. Images, configuration baselines and endpoint protection</w:t>
              <w:tab/>
              <w:t>24</w:t>
            </w:r>
          </w:hyperlink>
        </w:p>
        <w:p>
          <w:pPr>
            <w:pStyle w:val="TOC2"/>
            <w:tabs>
              <w:tab w:val="clear" w:pos="720"/>
              <w:tab w:val="right" w:pos="9575" w:leader="dot"/>
            </w:tabs>
            <w:rPr/>
          </w:pPr>
          <w:hyperlink w:anchor="__RefHeading___Toc13343_1645000677">
            <w:r>
              <w:rPr>
                <w:webHidden/>
                <w:rStyle w:val="IndexLink"/>
              </w:rPr>
              <w:t>27. Backup, retention and isolated restore</w:t>
              <w:tab/>
              <w:t>24</w:t>
            </w:r>
          </w:hyperlink>
        </w:p>
        <w:p>
          <w:pPr>
            <w:pStyle w:val="TOC2"/>
            <w:tabs>
              <w:tab w:val="clear" w:pos="720"/>
              <w:tab w:val="right" w:pos="9575" w:leader="dot"/>
            </w:tabs>
            <w:rPr/>
          </w:pPr>
          <w:hyperlink w:anchor="__RefHeading___Toc13345_1645000677">
            <w:r>
              <w:rPr>
                <w:webHidden/>
                <w:rStyle w:val="IndexLink"/>
              </w:rPr>
              <w:t>28. Availability and recovery service profiles</w:t>
              <w:tab/>
              <w:t>25</w:t>
            </w:r>
          </w:hyperlink>
        </w:p>
        <w:p>
          <w:pPr>
            <w:pStyle w:val="TOC2"/>
            <w:tabs>
              <w:tab w:val="clear" w:pos="720"/>
              <w:tab w:val="right" w:pos="9575" w:leader="dot"/>
            </w:tabs>
            <w:rPr/>
          </w:pPr>
          <w:hyperlink w:anchor="__RefHeading___Toc13347_1645000677">
            <w:r>
              <w:rPr>
                <w:webHidden/>
                <w:rStyle w:val="IndexLink"/>
              </w:rPr>
              <w:t>29. Placement, data location and sovereign optionality</w:t>
              <w:tab/>
              <w:t>26</w:t>
            </w:r>
          </w:hyperlink>
        </w:p>
        <w:p>
          <w:pPr>
            <w:pStyle w:val="TOC2"/>
            <w:tabs>
              <w:tab w:val="clear" w:pos="720"/>
              <w:tab w:val="right" w:pos="9575" w:leader="dot"/>
            </w:tabs>
            <w:rPr/>
          </w:pPr>
          <w:hyperlink w:anchor="__RefHeading___Toc13349_1645000677">
            <w:r>
              <w:rPr>
                <w:webHidden/>
                <w:rStyle w:val="IndexLink"/>
              </w:rPr>
              <w:t>30. Service catalogue, quotas and capacity on demand</w:t>
              <w:tab/>
              <w:t>26</w:t>
            </w:r>
          </w:hyperlink>
        </w:p>
        <w:p>
          <w:pPr>
            <w:pStyle w:val="TOC2"/>
            <w:tabs>
              <w:tab w:val="clear" w:pos="720"/>
              <w:tab w:val="right" w:pos="9575" w:leader="dot"/>
            </w:tabs>
            <w:rPr/>
          </w:pPr>
          <w:hyperlink w:anchor="__RefHeading___Toc13351_1645000677">
            <w:r>
              <w:rPr>
                <w:webHidden/>
                <w:rStyle w:val="IndexLink"/>
              </w:rPr>
              <w:t>31. Application responsibilities and end-to-end service readiness</w:t>
              <w:tab/>
              <w:t>27</w:t>
            </w:r>
          </w:hyperlink>
        </w:p>
        <w:p>
          <w:pPr>
            <w:pStyle w:val="TOC1"/>
            <w:tabs>
              <w:tab w:val="clear" w:pos="720"/>
              <w:tab w:val="right" w:pos="9575" w:leader="dot"/>
            </w:tabs>
            <w:rPr/>
          </w:pPr>
          <w:hyperlink w:anchor="__RefHeading___Toc13353_1645000677">
            <w:r>
              <w:rPr>
                <w:webHidden/>
                <w:rStyle w:val="IndexLink"/>
              </w:rPr>
              <w:t>Part IV — Infrastructure and platform realization</w:t>
              <w:tab/>
              <w:t>28</w:t>
            </w:r>
          </w:hyperlink>
        </w:p>
        <w:p>
          <w:pPr>
            <w:pStyle w:val="TOC2"/>
            <w:tabs>
              <w:tab w:val="clear" w:pos="720"/>
              <w:tab w:val="right" w:pos="9575" w:leader="dot"/>
            </w:tabs>
            <w:rPr/>
          </w:pPr>
          <w:hyperlink w:anchor="__RefHeading___Toc13355_1645000677">
            <w:r>
              <w:rPr>
                <w:webHidden/>
                <w:rStyle w:val="IndexLink"/>
              </w:rPr>
              <w:t>32. Physical fabric foundation and commissioning</w:t>
              <w:tab/>
              <w:t>28</w:t>
            </w:r>
          </w:hyperlink>
        </w:p>
        <w:p>
          <w:pPr>
            <w:pStyle w:val="TOC2"/>
            <w:tabs>
              <w:tab w:val="clear" w:pos="720"/>
              <w:tab w:val="right" w:pos="9575" w:leader="dot"/>
            </w:tabs>
            <w:rPr/>
          </w:pPr>
          <w:hyperlink w:anchor="__RefHeading___Toc13357_1645000677">
            <w:r>
              <w:rPr>
                <w:webHidden/>
                <w:rStyle w:val="IndexLink"/>
              </w:rPr>
              <w:t>33. EVPN/VXLAN, multihoming and border engineering</w:t>
              <w:tab/>
              <w:t>29</w:t>
            </w:r>
          </w:hyperlink>
        </w:p>
        <w:p>
          <w:pPr>
            <w:pStyle w:val="TOC2"/>
            <w:tabs>
              <w:tab w:val="clear" w:pos="720"/>
              <w:tab w:val="right" w:pos="9575" w:leader="dot"/>
            </w:tabs>
            <w:rPr/>
          </w:pPr>
          <w:hyperlink w:anchor="__RefHeading___Toc13359_1645000677">
            <w:r>
              <w:rPr>
                <w:webHidden/>
                <w:rStyle w:val="IndexLink"/>
              </w:rPr>
              <w:t>34. Portability dimensions and platform qualification</w:t>
              <w:tab/>
              <w:t>30</w:t>
            </w:r>
          </w:hyperlink>
        </w:p>
        <w:p>
          <w:pPr>
            <w:pStyle w:val="TOC2"/>
            <w:tabs>
              <w:tab w:val="clear" w:pos="720"/>
              <w:tab w:val="right" w:pos="9575" w:leader="dot"/>
            </w:tabs>
            <w:rPr/>
          </w:pPr>
          <w:hyperlink w:anchor="__RefHeading___Toc13361_1645000677">
            <w:r>
              <w:rPr>
                <w:webHidden/>
                <w:rStyle w:val="IndexLink"/>
              </w:rPr>
              <w:t>35. Nutanix implementation profile</w:t>
              <w:tab/>
              <w:t>31</w:t>
            </w:r>
          </w:hyperlink>
        </w:p>
        <w:p>
          <w:pPr>
            <w:pStyle w:val="TOC2"/>
            <w:tabs>
              <w:tab w:val="clear" w:pos="720"/>
              <w:tab w:val="right" w:pos="9575" w:leader="dot"/>
            </w:tabs>
            <w:rPr/>
          </w:pPr>
          <w:hyperlink w:anchor="__RefHeading___Toc13363_1645000677">
            <w:r>
              <w:rPr>
                <w:webHidden/>
                <w:rStyle w:val="IndexLink"/>
              </w:rPr>
              <w:t>36. VMware and NSX implementation profile</w:t>
              <w:tab/>
              <w:t>32</w:t>
            </w:r>
          </w:hyperlink>
        </w:p>
        <w:p>
          <w:pPr>
            <w:pStyle w:val="TOC2"/>
            <w:tabs>
              <w:tab w:val="clear" w:pos="720"/>
              <w:tab w:val="right" w:pos="9575" w:leader="dot"/>
            </w:tabs>
            <w:rPr/>
          </w:pPr>
          <w:hyperlink w:anchor="__RefHeading___Toc13365_1645000677">
            <w:r>
              <w:rPr>
                <w:webHidden/>
                <w:rStyle w:val="IndexLink"/>
              </w:rPr>
              <w:t>37. OpenStack implementation profile</w:t>
              <w:tab/>
              <w:t>33</w:t>
            </w:r>
          </w:hyperlink>
        </w:p>
        <w:p>
          <w:pPr>
            <w:pStyle w:val="TOC2"/>
            <w:tabs>
              <w:tab w:val="clear" w:pos="720"/>
              <w:tab w:val="right" w:pos="9575" w:leader="dot"/>
            </w:tabs>
            <w:rPr/>
          </w:pPr>
          <w:hyperlink w:anchor="__RefHeading___Toc13367_1645000677">
            <w:r>
              <w:rPr>
                <w:webHidden/>
                <w:rStyle w:val="IndexLink"/>
              </w:rPr>
              <w:t>38. Bare metal, containers and future platforms</w:t>
              <w:tab/>
              <w:t>34</w:t>
            </w:r>
          </w:hyperlink>
        </w:p>
        <w:p>
          <w:pPr>
            <w:pStyle w:val="TOC1"/>
            <w:tabs>
              <w:tab w:val="clear" w:pos="720"/>
              <w:tab w:val="right" w:pos="9575" w:leader="dot"/>
            </w:tabs>
            <w:rPr/>
          </w:pPr>
          <w:hyperlink w:anchor="__RefHeading___Toc13369_1645000677">
            <w:r>
              <w:rPr>
                <w:webHidden/>
                <w:rStyle w:val="IndexLink"/>
              </w:rPr>
              <w:t>Part V — Service control plane and automation</w:t>
              <w:tab/>
              <w:t>35</w:t>
            </w:r>
          </w:hyperlink>
        </w:p>
        <w:p>
          <w:pPr>
            <w:pStyle w:val="TOC2"/>
            <w:tabs>
              <w:tab w:val="clear" w:pos="720"/>
              <w:tab w:val="right" w:pos="9575" w:leader="dot"/>
            </w:tabs>
            <w:rPr/>
          </w:pPr>
          <w:hyperlink w:anchor="__RefHeading___Toc13371_1645000677">
            <w:r>
              <w:rPr>
                <w:webHidden/>
                <w:rStyle w:val="IndexLink"/>
              </w:rPr>
              <w:t>39. Canonical API, object ownership and status</w:t>
              <w:tab/>
              <w:t>35</w:t>
            </w:r>
          </w:hyperlink>
        </w:p>
        <w:p>
          <w:pPr>
            <w:pStyle w:val="TOC2"/>
            <w:tabs>
              <w:tab w:val="clear" w:pos="720"/>
              <w:tab w:val="right" w:pos="9575" w:leader="dot"/>
            </w:tabs>
            <w:rPr/>
          </w:pPr>
          <w:hyperlink w:anchor="__RefHeading___Toc13373_1645000677">
            <w:r>
              <w:rPr>
                <w:webHidden/>
                <w:rStyle w:val="IndexLink"/>
              </w:rPr>
              <w:t>40. Admission, Flow Intention and policy compilation</w:t>
              <w:tab/>
              <w:t>35</w:t>
            </w:r>
          </w:hyperlink>
        </w:p>
        <w:p>
          <w:pPr>
            <w:pStyle w:val="TOC2"/>
            <w:tabs>
              <w:tab w:val="clear" w:pos="720"/>
              <w:tab w:val="right" w:pos="9575" w:leader="dot"/>
            </w:tabs>
            <w:rPr/>
          </w:pPr>
          <w:hyperlink w:anchor="__RefHeading___Toc13375_1645000677">
            <w:r>
              <w:rPr>
                <w:webHidden/>
                <w:rStyle w:val="IndexLink"/>
              </w:rPr>
              <w:t>41. Zero-touch provisioning and reconciliation workflow</w:t>
              <w:tab/>
              <w:t>36</w:t>
            </w:r>
          </w:hyperlink>
        </w:p>
        <w:p>
          <w:pPr>
            <w:pStyle w:val="TOC2"/>
            <w:tabs>
              <w:tab w:val="clear" w:pos="720"/>
              <w:tab w:val="right" w:pos="9575" w:leader="dot"/>
            </w:tabs>
            <w:rPr/>
          </w:pPr>
          <w:hyperlink w:anchor="__RefHeading___Toc13377_1645000677">
            <w:r>
              <w:rPr>
                <w:webHidden/>
                <w:rStyle w:val="IndexLink"/>
              </w:rPr>
              <w:t>42. Terraform roots, adapters and reproducible inputs</w:t>
              <w:tab/>
              <w:t>38</w:t>
            </w:r>
          </w:hyperlink>
        </w:p>
        <w:p>
          <w:pPr>
            <w:pStyle w:val="TOC2"/>
            <w:tabs>
              <w:tab w:val="clear" w:pos="720"/>
              <w:tab w:val="right" w:pos="9575" w:leader="dot"/>
            </w:tabs>
            <w:rPr/>
          </w:pPr>
          <w:hyperlink w:anchor="__RefHeading___Toc13379_1645000677">
            <w:r>
              <w:rPr>
                <w:webHidden/>
                <w:rStyle w:val="IndexLink"/>
              </w:rPr>
              <w:t>43. State boundaries, cross-state transactions and partial failure</w:t>
              <w:tab/>
              <w:t>39</w:t>
            </w:r>
          </w:hyperlink>
        </w:p>
        <w:p>
          <w:pPr>
            <w:pStyle w:val="TOC2"/>
            <w:tabs>
              <w:tab w:val="clear" w:pos="720"/>
              <w:tab w:val="right" w:pos="9575" w:leader="dot"/>
            </w:tabs>
            <w:rPr/>
          </w:pPr>
          <w:hyperlink w:anchor="__RefHeading___Toc13381_1645000677">
            <w:r>
              <w:rPr>
                <w:webHidden/>
                <w:rStyle w:val="IndexLink"/>
              </w:rPr>
              <w:t>44. CI/CD, signed plans and supply-chain integrity</w:t>
              <w:tab/>
              <w:t>39</w:t>
            </w:r>
          </w:hyperlink>
        </w:p>
        <w:p>
          <w:pPr>
            <w:pStyle w:val="TOC2"/>
            <w:tabs>
              <w:tab w:val="clear" w:pos="720"/>
              <w:tab w:val="right" w:pos="9575" w:leader="dot"/>
            </w:tabs>
            <w:rPr/>
          </w:pPr>
          <w:hyperlink w:anchor="__RefHeading___Toc13383_1645000677">
            <w:r>
              <w:rPr>
                <w:webHidden/>
                <w:rStyle w:val="IndexLink"/>
              </w:rPr>
              <w:t>45. Secrets and automation credentials</w:t>
              <w:tab/>
              <w:t>40</w:t>
            </w:r>
          </w:hyperlink>
        </w:p>
        <w:p>
          <w:pPr>
            <w:pStyle w:val="TOC2"/>
            <w:tabs>
              <w:tab w:val="clear" w:pos="720"/>
              <w:tab w:val="right" w:pos="9575" w:leader="dot"/>
            </w:tabs>
            <w:rPr/>
          </w:pPr>
          <w:hyperlink w:anchor="__RefHeading___Toc13385_1645000677">
            <w:r>
              <w:rPr>
                <w:webHidden/>
                <w:rStyle w:val="IndexLink"/>
              </w:rPr>
              <w:t>46. Drift, emergency overrides and desired-state convergence</w:t>
              <w:tab/>
              <w:t>41</w:t>
            </w:r>
          </w:hyperlink>
        </w:p>
        <w:p>
          <w:pPr>
            <w:pStyle w:val="TOC1"/>
            <w:tabs>
              <w:tab w:val="clear" w:pos="720"/>
              <w:tab w:val="right" w:pos="9575" w:leader="dot"/>
            </w:tabs>
            <w:rPr/>
          </w:pPr>
          <w:hyperlink w:anchor="__RefHeading___Toc13387_1645000677">
            <w:r>
              <w:rPr>
                <w:webHidden/>
                <w:rStyle w:val="IndexLink"/>
              </w:rPr>
              <w:t>Part VI — Assurance and operations</w:t>
              <w:tab/>
              <w:t>42</w:t>
            </w:r>
          </w:hyperlink>
        </w:p>
        <w:p>
          <w:pPr>
            <w:pStyle w:val="TOC2"/>
            <w:tabs>
              <w:tab w:val="clear" w:pos="720"/>
              <w:tab w:val="right" w:pos="9575" w:leader="dot"/>
            </w:tabs>
            <w:rPr/>
          </w:pPr>
          <w:hyperlink w:anchor="__RefHeading___Toc13389_1645000677">
            <w:r>
              <w:rPr>
                <w:webHidden/>
                <w:rStyle w:val="IndexLink"/>
              </w:rPr>
              <w:t>47. Assurance profiles and isolation decisions</w:t>
              <w:tab/>
              <w:t>42</w:t>
            </w:r>
          </w:hyperlink>
        </w:p>
        <w:p>
          <w:pPr>
            <w:pStyle w:val="TOC2"/>
            <w:tabs>
              <w:tab w:val="clear" w:pos="720"/>
              <w:tab w:val="right" w:pos="9575" w:leader="dot"/>
            </w:tabs>
            <w:rPr/>
          </w:pPr>
          <w:hyperlink w:anchor="__RefHeading___Toc13391_1645000677">
            <w:r>
              <w:rPr>
                <w:webHidden/>
                <w:rStyle w:val="IndexLink"/>
              </w:rPr>
              <w:t>48. Conformance framework and test execution</w:t>
              <w:tab/>
              <w:t>43</w:t>
            </w:r>
          </w:hyperlink>
        </w:p>
        <w:p>
          <w:pPr>
            <w:pStyle w:val="TOC2"/>
            <w:tabs>
              <w:tab w:val="clear" w:pos="720"/>
              <w:tab w:val="right" w:pos="9575" w:leader="dot"/>
            </w:tabs>
            <w:rPr/>
          </w:pPr>
          <w:hyperlink w:anchor="__RefHeading___Toc13393_1645000677">
            <w:r>
              <w:rPr>
                <w:webHidden/>
                <w:rStyle w:val="IndexLink"/>
              </w:rPr>
              <w:t>49. Evidence, controls and authorization records</w:t>
              <w:tab/>
              <w:t>44</w:t>
            </w:r>
          </w:hyperlink>
        </w:p>
        <w:p>
          <w:pPr>
            <w:pStyle w:val="TOC2"/>
            <w:tabs>
              <w:tab w:val="clear" w:pos="720"/>
              <w:tab w:val="right" w:pos="9575" w:leader="dot"/>
            </w:tabs>
            <w:rPr/>
          </w:pPr>
          <w:hyperlink w:anchor="__RefHeading___Toc13395_1645000677">
            <w:r>
              <w:rPr>
                <w:webHidden/>
                <w:rStyle w:val="IndexLink"/>
              </w:rPr>
              <w:t>50. Logging, telemetry and time integrity</w:t>
              <w:tab/>
              <w:t>45</w:t>
            </w:r>
          </w:hyperlink>
        </w:p>
        <w:p>
          <w:pPr>
            <w:pStyle w:val="TOC2"/>
            <w:tabs>
              <w:tab w:val="clear" w:pos="720"/>
              <w:tab w:val="right" w:pos="9575" w:leader="dot"/>
            </w:tabs>
            <w:rPr/>
          </w:pPr>
          <w:hyperlink w:anchor="__RefHeading___Toc13397_1645000677">
            <w:r>
              <w:rPr>
                <w:webHidden/>
                <w:rStyle w:val="IndexLink"/>
              </w:rPr>
              <w:t>51. Capacity, performance and capacity-on-demand operations</w:t>
              <w:tab/>
              <w:t>46</w:t>
            </w:r>
          </w:hyperlink>
        </w:p>
        <w:p>
          <w:pPr>
            <w:pStyle w:val="TOC2"/>
            <w:tabs>
              <w:tab w:val="clear" w:pos="720"/>
              <w:tab w:val="right" w:pos="9575" w:leader="dot"/>
            </w:tabs>
            <w:rPr/>
          </w:pPr>
          <w:hyperlink w:anchor="__RefHeading___Toc13399_1645000677">
            <w:r>
              <w:rPr>
                <w:webHidden/>
                <w:rStyle w:val="IndexLink"/>
              </w:rPr>
              <w:t>52. High availability and dependency failure behavior</w:t>
              <w:tab/>
              <w:t>46</w:t>
            </w:r>
          </w:hyperlink>
        </w:p>
        <w:p>
          <w:pPr>
            <w:pStyle w:val="TOC2"/>
            <w:tabs>
              <w:tab w:val="clear" w:pos="720"/>
              <w:tab w:val="right" w:pos="9575" w:leader="dot"/>
            </w:tabs>
            <w:rPr/>
          </w:pPr>
          <w:hyperlink w:anchor="__RefHeading___Toc13401_1645000677">
            <w:r>
              <w:rPr>
                <w:webHidden/>
                <w:rStyle w:val="IndexLink"/>
              </w:rPr>
              <w:t>53. Recovery, bootstrap and failback runbooks</w:t>
              <w:tab/>
              <w:t>47</w:t>
            </w:r>
          </w:hyperlink>
        </w:p>
        <w:p>
          <w:pPr>
            <w:pStyle w:val="TOC2"/>
            <w:tabs>
              <w:tab w:val="clear" w:pos="720"/>
              <w:tab w:val="right" w:pos="9575" w:leader="dot"/>
            </w:tabs>
            <w:rPr/>
          </w:pPr>
          <w:hyperlink w:anchor="__RefHeading___Toc13403_1645000677">
            <w:r>
              <w:rPr>
                <w:webHidden/>
                <w:rStyle w:val="IndexLink"/>
              </w:rPr>
              <w:t>54. Vulnerability, patch and support lifecycle</w:t>
              <w:tab/>
              <w:t>48</w:t>
            </w:r>
          </w:hyperlink>
        </w:p>
        <w:p>
          <w:pPr>
            <w:pStyle w:val="TOC2"/>
            <w:tabs>
              <w:tab w:val="clear" w:pos="720"/>
              <w:tab w:val="right" w:pos="9575" w:leader="dot"/>
            </w:tabs>
            <w:rPr/>
          </w:pPr>
          <w:hyperlink w:anchor="__RefHeading___Toc13405_1645000677">
            <w:r>
              <w:rPr>
                <w:webHidden/>
                <w:rStyle w:val="IndexLink"/>
              </w:rPr>
              <w:t>55. Incident response and scoped containment</w:t>
              <w:tab/>
              <w:t>49</w:t>
            </w:r>
          </w:hyperlink>
        </w:p>
        <w:p>
          <w:pPr>
            <w:pStyle w:val="TOC2"/>
            <w:tabs>
              <w:tab w:val="clear" w:pos="720"/>
              <w:tab w:val="right" w:pos="9575" w:leader="dot"/>
            </w:tabs>
            <w:rPr/>
          </w:pPr>
          <w:hyperlink w:anchor="__RefHeading___Toc13407_1645000677">
            <w:r>
              <w:rPr>
                <w:webHidden/>
                <w:rStyle w:val="IndexLink"/>
              </w:rPr>
              <w:t>56. Lifecycle, retirement and secure disposal</w:t>
              <w:tab/>
              <w:t>49</w:t>
            </w:r>
          </w:hyperlink>
        </w:p>
        <w:p>
          <w:pPr>
            <w:pStyle w:val="TOC2"/>
            <w:tabs>
              <w:tab w:val="clear" w:pos="720"/>
              <w:tab w:val="right" w:pos="9575" w:leader="dot"/>
            </w:tabs>
            <w:rPr/>
          </w:pPr>
          <w:hyperlink w:anchor="__RefHeading___Toc13409_1645000677">
            <w:r>
              <w:rPr>
                <w:webHidden/>
                <w:rStyle w:val="IndexLink"/>
              </w:rPr>
              <w:t>57. Migration, portability and exit rehearsal</w:t>
              <w:tab/>
              <w:t>50</w:t>
            </w:r>
          </w:hyperlink>
        </w:p>
        <w:p>
          <w:pPr>
            <w:pStyle w:val="TOC1"/>
            <w:tabs>
              <w:tab w:val="clear" w:pos="720"/>
              <w:tab w:val="right" w:pos="9575" w:leader="dot"/>
            </w:tabs>
            <w:rPr/>
          </w:pPr>
          <w:hyperlink w:anchor="__RefHeading___Toc13411_1645000677">
            <w:r>
              <w:rPr>
                <w:webHidden/>
                <w:rStyle w:val="IndexLink"/>
              </w:rPr>
              <w:t>Part VII — Governance and delivery</w:t>
              <w:tab/>
              <w:t>52</w:t>
            </w:r>
          </w:hyperlink>
        </w:p>
        <w:p>
          <w:pPr>
            <w:pStyle w:val="TOC2"/>
            <w:tabs>
              <w:tab w:val="clear" w:pos="720"/>
              <w:tab w:val="right" w:pos="9575" w:leader="dot"/>
            </w:tabs>
            <w:rPr/>
          </w:pPr>
          <w:hyperlink w:anchor="__RefHeading___Toc13413_1645000677">
            <w:r>
              <w:rPr>
                <w:webHidden/>
                <w:rStyle w:val="IndexLink"/>
              </w:rPr>
              <w:t>58. Operating model and separation of duties</w:t>
              <w:tab/>
              <w:t>52</w:t>
            </w:r>
          </w:hyperlink>
        </w:p>
        <w:p>
          <w:pPr>
            <w:pStyle w:val="TOC2"/>
            <w:tabs>
              <w:tab w:val="clear" w:pos="720"/>
              <w:tab w:val="right" w:pos="9575" w:leader="dot"/>
            </w:tabs>
            <w:rPr/>
          </w:pPr>
          <w:hyperlink w:anchor="__RefHeading___Toc13415_1645000677">
            <w:r>
              <w:rPr>
                <w:webHidden/>
                <w:rStyle w:val="IndexLink"/>
              </w:rPr>
              <w:t>59. Change, exceptions and risk decisions</w:t>
              <w:tab/>
              <w:t>52</w:t>
            </w:r>
          </w:hyperlink>
        </w:p>
        <w:p>
          <w:pPr>
            <w:pStyle w:val="TOC2"/>
            <w:tabs>
              <w:tab w:val="clear" w:pos="720"/>
              <w:tab w:val="right" w:pos="9575" w:leader="dot"/>
            </w:tabs>
            <w:rPr/>
          </w:pPr>
          <w:hyperlink w:anchor="__RefHeading___Toc13417_1645000677">
            <w:r>
              <w:rPr>
                <w:webHidden/>
                <w:rStyle w:val="IndexLink"/>
              </w:rPr>
              <w:t>60. Architecture review and onboarding gates</w:t>
              <w:tab/>
              <w:t>53</w:t>
            </w:r>
          </w:hyperlink>
        </w:p>
        <w:p>
          <w:pPr>
            <w:pStyle w:val="TOC2"/>
            <w:tabs>
              <w:tab w:val="clear" w:pos="720"/>
              <w:tab w:val="right" w:pos="9575" w:leader="dot"/>
            </w:tabs>
            <w:rPr/>
          </w:pPr>
          <w:hyperlink w:anchor="__RefHeading___Toc13419_1645000677">
            <w:r>
              <w:rPr>
                <w:webHidden/>
                <w:rStyle w:val="IndexLink"/>
              </w:rPr>
              <w:t>61. Delivery roadmap and reference implementation</w:t>
              <w:tab/>
              <w:t>54</w:t>
            </w:r>
          </w:hyperlink>
        </w:p>
        <w:p>
          <w:pPr>
            <w:pStyle w:val="TOC2"/>
            <w:tabs>
              <w:tab w:val="clear" w:pos="720"/>
              <w:tab w:val="right" w:pos="9575" w:leader="dot"/>
            </w:tabs>
            <w:rPr/>
          </w:pPr>
          <w:hyperlink w:anchor="__RefHeading___Toc13421_1645000677">
            <w:r>
              <w:rPr>
                <w:webHidden/>
                <w:rStyle w:val="IndexLink"/>
              </w:rPr>
              <w:t>62. Architecture acceptance and document release</w:t>
              <w:tab/>
              <w:t>55</w:t>
            </w:r>
          </w:hyperlink>
        </w:p>
        <w:p>
          <w:pPr>
            <w:pStyle w:val="TOC1"/>
            <w:tabs>
              <w:tab w:val="clear" w:pos="720"/>
              <w:tab w:val="right" w:pos="9575" w:leader="dot"/>
            </w:tabs>
            <w:rPr/>
          </w:pPr>
          <w:hyperlink w:anchor="__RefHeading___Toc13423_1645000677">
            <w:r>
              <w:rPr>
                <w:webHidden/>
                <w:rStyle w:val="IndexLink"/>
              </w:rPr>
              <w:t>Appendix A — Canonical object contract and API surface</w:t>
              <w:tab/>
              <w:t>57</w:t>
            </w:r>
          </w:hyperlink>
        </w:p>
        <w:p>
          <w:pPr>
            <w:pStyle w:val="TOC2"/>
            <w:tabs>
              <w:tab w:val="clear" w:pos="720"/>
              <w:tab w:val="right" w:pos="9575" w:leader="dot"/>
            </w:tabs>
            <w:rPr/>
          </w:pPr>
          <w:hyperlink w:anchor="__RefHeading___Toc13425_1645000677">
            <w:r>
              <w:rPr>
                <w:webHidden/>
                <w:rStyle w:val="IndexLink"/>
              </w:rPr>
              <w:t>Object definitions</w:t>
              <w:tab/>
              <w:t>57</w:t>
            </w:r>
          </w:hyperlink>
        </w:p>
        <w:p>
          <w:pPr>
            <w:pStyle w:val="TOC1"/>
            <w:tabs>
              <w:tab w:val="clear" w:pos="720"/>
              <w:tab w:val="right" w:pos="9575" w:leader="dot"/>
            </w:tabs>
            <w:rPr/>
          </w:pPr>
          <w:hyperlink w:anchor="__RefHeading___Toc13427_1645000677">
            <w:r>
              <w:rPr>
                <w:webHidden/>
                <w:rStyle w:val="IndexLink"/>
              </w:rPr>
              <w:t>Appendix B — Worked requests and Terraform execution boundary</w:t>
              <w:tab/>
              <w:t>62</w:t>
            </w:r>
          </w:hyperlink>
        </w:p>
        <w:p>
          <w:pPr>
            <w:pStyle w:val="TOC2"/>
            <w:tabs>
              <w:tab w:val="clear" w:pos="720"/>
              <w:tab w:val="right" w:pos="9575" w:leader="dot"/>
            </w:tabs>
            <w:rPr/>
          </w:pPr>
          <w:hyperlink w:anchor="__RefHeading___Toc13429_1645000677">
            <w:r>
              <w:rPr>
                <w:webHidden/>
                <w:rStyle w:val="IndexLink"/>
              </w:rPr>
              <w:t>Reference examples and migration</w:t>
              <w:tab/>
              <w:t>62</w:t>
            </w:r>
          </w:hyperlink>
        </w:p>
        <w:p>
          <w:pPr>
            <w:pStyle w:val="TOC1"/>
            <w:tabs>
              <w:tab w:val="clear" w:pos="720"/>
              <w:tab w:val="right" w:pos="9575" w:leader="dot"/>
            </w:tabs>
            <w:rPr/>
          </w:pPr>
          <w:hyperlink w:anchor="__RefHeading___Toc13431_1645000677">
            <w:r>
              <w:rPr>
                <w:webHidden/>
                <w:rStyle w:val="IndexLink"/>
              </w:rPr>
              <w:t>Appendix C — Complete normative requirement and verification index</w:t>
              <w:tab/>
              <w:t>65</w:t>
            </w:r>
          </w:hyperlink>
        </w:p>
        <w:p>
          <w:pPr>
            <w:pStyle w:val="TOC2"/>
            <w:tabs>
              <w:tab w:val="clear" w:pos="720"/>
              <w:tab w:val="right" w:pos="9575" w:leader="dot"/>
            </w:tabs>
            <w:rPr/>
          </w:pPr>
          <w:hyperlink w:anchor="__RefHeading___Toc13433_1645000677">
            <w:r>
              <w:rPr>
                <w:webHidden/>
                <w:rStyle w:val="IndexLink"/>
              </w:rPr>
              <w:t>Generated requirement index</w:t>
              <w:tab/>
              <w:t>65</w:t>
            </w:r>
          </w:hyperlink>
        </w:p>
        <w:p>
          <w:pPr>
            <w:pStyle w:val="TOC1"/>
            <w:tabs>
              <w:tab w:val="clear" w:pos="720"/>
              <w:tab w:val="right" w:pos="9575" w:leader="dot"/>
            </w:tabs>
            <w:rPr/>
          </w:pPr>
          <w:hyperlink w:anchor="__RefHeading___Toc13435_1645000677">
            <w:r>
              <w:rPr>
                <w:webHidden/>
                <w:rStyle w:val="IndexLink"/>
              </w:rPr>
              <w:t>Appendix D — Conformance test catalogue</w:t>
              <w:tab/>
              <w:t>75</w:t>
            </w:r>
          </w:hyperlink>
        </w:p>
        <w:p>
          <w:pPr>
            <w:pStyle w:val="TOC1"/>
            <w:tabs>
              <w:tab w:val="clear" w:pos="720"/>
              <w:tab w:val="right" w:pos="9575" w:leader="dot"/>
            </w:tabs>
            <w:rPr/>
          </w:pPr>
          <w:hyperlink w:anchor="__RefHeading___Toc13437_1645000677">
            <w:r>
              <w:rPr>
                <w:webHidden/>
                <w:rStyle w:val="IndexLink"/>
              </w:rPr>
              <w:t>Appendix E — Source/control traceability and responsibility</w:t>
              <w:tab/>
              <w:t>91</w:t>
            </w:r>
          </w:hyperlink>
        </w:p>
        <w:p>
          <w:pPr>
            <w:pStyle w:val="TOC2"/>
            <w:tabs>
              <w:tab w:val="clear" w:pos="720"/>
              <w:tab w:val="right" w:pos="9575" w:leader="dot"/>
            </w:tabs>
            <w:rPr/>
          </w:pPr>
          <w:hyperlink w:anchor="__RefHeading___Toc13439_1645000677">
            <w:r>
              <w:rPr>
                <w:webHidden/>
                <w:rStyle w:val="IndexLink"/>
              </w:rPr>
              <w:t>Tailoring and assessment</w:t>
              <w:tab/>
              <w:t>91</w:t>
            </w:r>
          </w:hyperlink>
        </w:p>
        <w:p>
          <w:pPr>
            <w:pStyle w:val="TOC1"/>
            <w:tabs>
              <w:tab w:val="clear" w:pos="720"/>
              <w:tab w:val="right" w:pos="9575" w:leader="dot"/>
            </w:tabs>
            <w:rPr/>
          </w:pPr>
          <w:hyperlink w:anchor="__RefHeading___Toc13441_1645000677">
            <w:r>
              <w:rPr>
                <w:webHidden/>
                <w:rStyle w:val="IndexLink"/>
              </w:rPr>
              <w:t>Appendix F — Proposed local engineering parameters</w:t>
              <w:tab/>
              <w:t>93</w:t>
            </w:r>
          </w:hyperlink>
        </w:p>
        <w:p>
          <w:pPr>
            <w:pStyle w:val="TOC2"/>
            <w:tabs>
              <w:tab w:val="clear" w:pos="720"/>
              <w:tab w:val="right" w:pos="9575" w:leader="dot"/>
            </w:tabs>
            <w:rPr/>
          </w:pPr>
          <w:hyperlink w:anchor="__RefHeading___Toc13443_1645000677">
            <w:r>
              <w:rPr>
                <w:webHidden/>
                <w:rStyle w:val="IndexLink"/>
              </w:rPr>
              <w:t>Reference parameter set</w:t>
              <w:tab/>
              <w:t>93</w:t>
            </w:r>
          </w:hyperlink>
        </w:p>
        <w:p>
          <w:pPr>
            <w:pStyle w:val="TOC1"/>
            <w:tabs>
              <w:tab w:val="clear" w:pos="720"/>
              <w:tab w:val="right" w:pos="9575" w:leader="dot"/>
            </w:tabs>
            <w:rPr/>
          </w:pPr>
          <w:hyperlink w:anchor="__RefHeading___Toc13445_1645000677">
            <w:r>
              <w:rPr>
                <w:webHidden/>
                <w:rStyle w:val="IndexLink"/>
              </w:rPr>
              <w:t>Appendix G — Operational records and decision templates</w:t>
              <w:tab/>
              <w:t>94</w:t>
            </w:r>
          </w:hyperlink>
        </w:p>
        <w:p>
          <w:pPr>
            <w:pStyle w:val="TOC2"/>
            <w:tabs>
              <w:tab w:val="clear" w:pos="720"/>
              <w:tab w:val="right" w:pos="9575" w:leader="dot"/>
            </w:tabs>
            <w:rPr/>
          </w:pPr>
          <w:hyperlink w:anchor="__RefHeading___Toc13447_1645000677">
            <w:r>
              <w:rPr>
                <w:webHidden/>
                <w:rStyle w:val="IndexLink"/>
              </w:rPr>
              <w:t>Operational templates</w:t>
              <w:tab/>
              <w:t>94</w:t>
            </w:r>
          </w:hyperlink>
        </w:p>
        <w:p>
          <w:pPr>
            <w:pStyle w:val="TOC1"/>
            <w:tabs>
              <w:tab w:val="clear" w:pos="720"/>
              <w:tab w:val="right" w:pos="9575" w:leader="dot"/>
            </w:tabs>
            <w:rPr/>
          </w:pPr>
          <w:hyperlink w:anchor="__RefHeading___Toc13449_1645000677">
            <w:r>
              <w:rPr>
                <w:webHidden/>
                <w:rStyle w:val="IndexLink"/>
              </w:rPr>
              <w:t>Appendix H — Primary sources and implementation references</w:t>
              <w:tab/>
              <w:t>95</w:t>
            </w:r>
          </w:hyperlink>
        </w:p>
        <w:p>
          <w:pPr>
            <w:pStyle w:val="TOC1"/>
            <w:tabs>
              <w:tab w:val="clear" w:pos="720"/>
              <w:tab w:val="right" w:pos="9575" w:leader="dot"/>
            </w:tabs>
            <w:rPr/>
          </w:pPr>
          <w:hyperlink w:anchor="__RefHeading___Toc13451_1645000677">
            <w:r>
              <w:rPr>
                <w:webHidden/>
                <w:rStyle w:val="IndexLink"/>
              </w:rPr>
              <w:t>Appendix I — Glossary</w:t>
              <w:tab/>
              <w:t>99</w:t>
            </w:r>
          </w:hyperlink>
        </w:p>
        <w:p>
          <w:pPr>
            <w:pStyle w:val="TOC1"/>
            <w:tabs>
              <w:tab w:val="clear" w:pos="720"/>
              <w:tab w:val="right" w:pos="9575" w:leader="dot"/>
            </w:tabs>
            <w:rPr/>
          </w:pPr>
          <w:hyperlink w:anchor="__RefHeading___Toc13453_1645000677">
            <w:r>
              <w:rPr>
                <w:webHidden/>
                <w:rStyle w:val="IndexLink"/>
              </w:rPr>
              <w:t>Appendix J — Audit closure, migration and release checks</w:t>
              <w:tab/>
              <w:t>102</w:t>
            </w:r>
          </w:hyperlink>
        </w:p>
        <w:p>
          <w:pPr>
            <w:pStyle w:val="TOC2"/>
            <w:tabs>
              <w:tab w:val="clear" w:pos="720"/>
              <w:tab w:val="right" w:pos="9575" w:leader="dot"/>
            </w:tabs>
            <w:rPr/>
          </w:pPr>
          <w:hyperlink w:anchor="__RefHeading___Toc13455_1645000677">
            <w:r>
              <w:rPr>
                <w:webHidden/>
                <w:rStyle w:val="IndexLink"/>
              </w:rPr>
              <w:t>Audit and migration registers</w:t>
              <w:tab/>
              <w:t>102</w:t>
            </w:r>
          </w:hyperlink>
          <w:r>
            <w:rPr>
              <w:rStyle w:val="IndexLink"/>
            </w:rPr>
            <w:fldChar w:fldCharType="end"/>
          </w:r>
        </w:p>
      </w:sdtContent>
    </w:sdt>
    <w:p>
      <w:pPr>
        <w:pStyle w:val="Normal"/>
        <w:widowControl/>
        <w:bidi w:val="0"/>
        <w:spacing w:lineRule="auto" w:line="276" w:before="0" w:after="100"/>
        <w:jc w:val="start"/>
        <w:rPr>
          <w:rFonts w:ascii="Carlito" w:hAnsi="Carlito"/>
          <w:color w:val="22323D"/>
          <w:sz w:val="21"/>
        </w:rPr>
      </w:pPr>
      <w:r>
        <w:rPr>
          <w:color w:val="22323D"/>
          <w:sz w:val="21"/>
        </w:rPr>
      </w:r>
      <w:r>
        <w:br w:type="page"/>
      </w:r>
    </w:p>
    <w:p>
      <w:pPr>
        <w:pStyle w:val="Heading1"/>
        <w:spacing w:before="0" w:after="180"/>
        <w:rPr/>
      </w:pPr>
      <w:bookmarkStart w:id="0" w:name="__RefHeading___Toc13285_1645000677"/>
      <w:bookmarkStart w:id="1" w:name="part_1"/>
      <w:bookmarkEnd w:id="0"/>
      <w:r>
        <w:rPr/>
        <w:t>Part I — Foundations and governance context</w:t>
      </w:r>
      <w:bookmarkEnd w:id="1"/>
    </w:p>
    <w:p>
      <w:pPr>
        <w:pStyle w:val="Heading2"/>
        <w:numPr>
          <w:ilvl w:val="0"/>
          <w:numId w:val="7"/>
        </w:numPr>
        <w:rPr/>
      </w:pPr>
      <w:bookmarkStart w:id="2" w:name="__RefHeading___Toc13287_1645000677"/>
      <w:bookmarkStart w:id="3" w:name="sec_1"/>
      <w:bookmarkEnd w:id="2"/>
      <w:r>
        <w:rPr/>
        <w:t>Purpose, scope and release boundaries</w:t>
      </w:r>
      <w:bookmarkEnd w:id="3"/>
    </w:p>
    <w:p>
      <w:pPr>
        <w:pStyle w:val="BodyText"/>
        <w:rPr/>
      </w:pPr>
      <w:r>
        <w:rPr/>
        <w:t>This handbook specifies a reusable, secure-by-default hosting service across Nutanix, VMware/NSX, OpenStack and separately qualified physical or container platforms. It preserves the uploaded baseline’s Tenant Namespace, Workload Security Domain (WSD), Security Domain Instance, Flow Intention, Service Binding, Exposure and ZIP concepts while adding the hosting and operating controls needed around them. It deliberately uses neutral labels rather than inherited departmental or site-specific VRF names. [</w:t>
      </w:r>
      <w:hyperlink w:anchor="S00">
        <w:r>
          <w:rPr>
            <w:rStyle w:val="Hyperlink"/>
          </w:rPr>
          <w:t>S00</w:t>
        </w:r>
      </w:hyperlink>
      <w:r>
        <w:rPr/>
        <w:t>, sections 1 and 4]</w:t>
      </w:r>
    </w:p>
    <w:p>
      <w:pPr>
        <w:pStyle w:val="BodyText"/>
        <w:rPr/>
      </w:pPr>
      <w:r>
        <w:rPr/>
        <w:t>Version 1.1 is a completed reference-architecture document baseline for review and implementation. It is not a claim that a live environment has passed conformance, that a provider combination is certified, or that an authorizing official has approved a system. The companion package contains validated document/contract artefacts and conformance specifications; it is not a deployed service controller or a set of production platform adapters.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4607"/>
        <w:gridCol w:w="4968"/>
      </w:tblGrid>
      <w:tr>
        <w:trPr>
          <w:tblHeader w:val="true"/>
          <w:cantSplit w:val="true"/>
        </w:trPr>
        <w:tc>
          <w:tcPr>
            <w:tcW w:w="460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Included</w:t>
            </w:r>
          </w:p>
        </w:tc>
        <w:tc>
          <w:tcPr>
            <w:tcW w:w="496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Implementation-specific deliverables still required</w:t>
            </w:r>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 network, compute, storage, identity, cryptography, reliability, lifecycle and evidence semantics</w:t>
            </w:r>
          </w:p>
        </w:tc>
        <w:tc>
          <w:tcPr>
            <w:tcW w:w="49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Site inventory, physical design, exact product releases, licenses, supported hardware and measured scale limits</w:t>
            </w:r>
          </w:p>
        </w:tc>
      </w:tr>
      <w:tr>
        <w:trPr>
          <w:cantSplit w:val="true"/>
        </w:trPr>
        <w:tc>
          <w:tcPr>
            <w:tcW w:w="460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Portable contract and authority boundaries; three target platform profiles</w:t>
            </w:r>
          </w:p>
        </w:tc>
        <w:tc>
          <w:tcPr>
            <w:tcW w:w="496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Qualified native adapters, deployment credentials, operational ownership and approved platform capability records</w:t>
            </w:r>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Normative requirements, control-family crosswalk, test procedures and audit closure</w:t>
            </w:r>
          </w:p>
        </w:tc>
        <w:tc>
          <w:tcPr>
            <w:tcW w:w="49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System categorization, tailored control selection, threat/risk analysis, independent assessment and formal authorization</w:t>
            </w:r>
          </w:p>
        </w:tc>
      </w:tr>
    </w:tbl>
    <w:p>
      <w:pPr>
        <w:pStyle w:val="BodyText"/>
        <w:rPr/>
      </w:pPr>
      <w:r>
        <w:rPr/>
        <w:t>The initial service envelope is Unclassified, Protected A and Protected B information with separately assessed integrity and availability impact. Protected C and classified operation require an additional authorized architecture and are not silently enabled by selecting “dedicated” or HRZ. Application business logic, detailed rack cabling and commercial product selection remain outside this reference baseline, but their interfaces and acceptance evidence are specified. [</w:t>
      </w:r>
      <w:hyperlink w:anchor="S02">
        <w:r>
          <w:rPr>
            <w:rStyle w:val="Hyperlink"/>
          </w:rPr>
          <w:t>S02</w:t>
        </w:r>
      </w:hyperlink>
      <w:r>
        <w:rPr/>
        <w:t>, Overview]</w:t>
      </w:r>
    </w:p>
    <w:p>
      <w:pPr>
        <w:pStyle w:val="Requirement"/>
        <w:keepNext w:val="true"/>
        <w:rPr/>
      </w:pPr>
      <w:bookmarkStart w:id="4" w:name="req_ARCH_001"/>
      <w:bookmarkEnd w:id="4"/>
      <w:r>
        <w:rPr>
          <w:rStyle w:val="ReqID"/>
        </w:rPr>
        <w:t xml:space="preserve">ARCH-001  </w:t>
      </w:r>
      <w:r>
        <w:rPr/>
        <w:t>The hosting contract SHALL be vendor neutral and SHALL NOT require consumers to specify vendor-specific identifiers or topology objects.</w:t>
      </w:r>
    </w:p>
    <w:p>
      <w:pPr>
        <w:pStyle w:val="ReqMeta"/>
        <w:rPr/>
      </w:pPr>
      <w:r>
        <w:rPr/>
        <w:t xml:space="preserve">Architecture authority  |  Verify: </w:t>
      </w:r>
      <w:hyperlink w:anchor="test_CT_016">
        <w:r>
          <w:rPr>
            <w:rStyle w:val="Hyperlink"/>
          </w:rPr>
          <w:t>CT-016</w:t>
        </w:r>
      </w:hyperlink>
      <w:r>
        <w:rPr/>
        <w:t xml:space="preserve">, </w:t>
      </w:r>
      <w:hyperlink w:anchor="test_CT_017">
        <w:r>
          <w:rPr>
            <w:rStyle w:val="Hyperlink"/>
          </w:rPr>
          <w:t>CT-017</w:t>
        </w:r>
      </w:hyperlink>
      <w:r>
        <w:rPr/>
        <w:t xml:space="preserve">  |  Basis: </w:t>
      </w:r>
      <w:hyperlink w:anchor="S00">
        <w:r>
          <w:rPr>
            <w:rStyle w:val="Hyperlink"/>
          </w:rPr>
          <w:t>S00</w:t>
        </w:r>
      </w:hyperlink>
      <w:r>
        <w:rPr/>
        <w:t xml:space="preserve">  |  retained-v1.0</w:t>
      </w:r>
    </w:p>
    <w:p>
      <w:pPr>
        <w:pStyle w:val="Requirement"/>
        <w:keepNext w:val="true"/>
        <w:rPr/>
      </w:pPr>
      <w:bookmarkStart w:id="5" w:name="req_ARCH_002"/>
      <w:bookmarkEnd w:id="5"/>
      <w:r>
        <w:rPr>
          <w:rStyle w:val="ReqID"/>
        </w:rPr>
        <w:t xml:space="preserve">ARCH-002  </w:t>
      </w:r>
      <w:r>
        <w:rPr/>
        <w:t>Routine tenant and workload lifecycle operations SHOULD NOT require changes to physical leaf or spine configuration.</w:t>
      </w:r>
    </w:p>
    <w:p>
      <w:pPr>
        <w:pStyle w:val="ReqMeta"/>
        <w:rPr/>
      </w:pPr>
      <w:r>
        <w:rPr/>
        <w:t xml:space="preserve">Architecture authority  |  Verify: </w:t>
      </w:r>
      <w:hyperlink w:anchor="test_CT_071">
        <w:r>
          <w:rPr>
            <w:rStyle w:val="Hyperlink"/>
          </w:rPr>
          <w:t>CT-071</w:t>
        </w:r>
      </w:hyperlink>
      <w:r>
        <w:rPr/>
        <w:t xml:space="preserve">, </w:t>
      </w:r>
      <w:hyperlink w:anchor="test_CT_072">
        <w:r>
          <w:rPr>
            <w:rStyle w:val="Hyperlink"/>
          </w:rPr>
          <w:t>CT-072</w:t>
        </w:r>
      </w:hyperlink>
      <w:r>
        <w:rPr/>
        <w:t xml:space="preserve">  |  Basis: </w:t>
      </w:r>
      <w:hyperlink w:anchor="S00">
        <w:r>
          <w:rPr>
            <w:rStyle w:val="Hyperlink"/>
          </w:rPr>
          <w:t>S00</w:t>
        </w:r>
      </w:hyperlink>
      <w:r>
        <w:rPr/>
        <w:t xml:space="preserve">  |  retained-v1.0</w:t>
      </w:r>
    </w:p>
    <w:p>
      <w:pPr>
        <w:pStyle w:val="Requirement"/>
        <w:keepNext w:val="true"/>
        <w:rPr/>
      </w:pPr>
      <w:bookmarkStart w:id="6" w:name="req_ARCH_003"/>
      <w:bookmarkEnd w:id="6"/>
      <w:r>
        <w:rPr>
          <w:rStyle w:val="ReqID"/>
        </w:rPr>
        <w:t xml:space="preserve">ARCH-003  </w:t>
      </w:r>
      <w:r>
        <w:rPr/>
        <w:t>All inter-zone paths SHALL be explicit and SHALL traverse the applicable ZIP/security edge.</w:t>
      </w:r>
    </w:p>
    <w:p>
      <w:pPr>
        <w:pStyle w:val="ReqMeta"/>
        <w:rPr/>
      </w:pPr>
      <w:r>
        <w:rPr/>
        <w:t xml:space="preserve">Architecture authority  |  Verify: </w:t>
      </w:r>
      <w:hyperlink w:anchor="test_CT_003">
        <w:r>
          <w:rPr>
            <w:rStyle w:val="Hyperlink"/>
          </w:rPr>
          <w:t>CT-003</w:t>
        </w:r>
      </w:hyperlink>
      <w:r>
        <w:rPr/>
        <w:t xml:space="preserve">, </w:t>
      </w:r>
      <w:hyperlink w:anchor="test_CT_025">
        <w:r>
          <w:rPr>
            <w:rStyle w:val="Hyperlink"/>
          </w:rPr>
          <w:t>CT-025</w:t>
        </w:r>
      </w:hyperlink>
      <w:r>
        <w:rPr/>
        <w:t xml:space="preserve">  |  Basis: </w:t>
      </w:r>
      <w:hyperlink w:anchor="S00">
        <w:r>
          <w:rPr>
            <w:rStyle w:val="Hyperlink"/>
          </w:rPr>
          <w:t>S00</w:t>
        </w:r>
      </w:hyperlink>
      <w:r>
        <w:rPr/>
        <w:t xml:space="preserve"> / </w:t>
      </w:r>
      <w:hyperlink w:anchor="S01">
        <w:r>
          <w:rPr>
            <w:rStyle w:val="Hyperlink"/>
          </w:rPr>
          <w:t>S01</w:t>
        </w:r>
      </w:hyperlink>
      <w:r>
        <w:rPr/>
        <w:t xml:space="preserve"> / </w:t>
      </w:r>
      <w:hyperlink w:anchor="S02">
        <w:r>
          <w:rPr>
            <w:rStyle w:val="Hyperlink"/>
          </w:rPr>
          <w:t>S02</w:t>
        </w:r>
      </w:hyperlink>
      <w:r>
        <w:rPr/>
        <w:t xml:space="preserve">  |  retained-v1.0</w:t>
      </w:r>
    </w:p>
    <w:p>
      <w:pPr>
        <w:pStyle w:val="Requirement"/>
        <w:keepNext w:val="true"/>
        <w:rPr/>
      </w:pPr>
      <w:bookmarkStart w:id="7" w:name="req_ARCH_004"/>
      <w:bookmarkEnd w:id="7"/>
      <w:r>
        <w:rPr>
          <w:rStyle w:val="ReqID"/>
        </w:rPr>
        <w:t xml:space="preserve">ARCH-004  </w:t>
      </w:r>
      <w:r>
        <w:rPr/>
        <w:t>Management/OOB traffic SHALL be separated from tenant operational traffic and SHALL have independently controlled access paths.</w:t>
      </w:r>
    </w:p>
    <w:p>
      <w:pPr>
        <w:pStyle w:val="ReqMeta"/>
        <w:rPr/>
      </w:pPr>
      <w:r>
        <w:rPr/>
        <w:t xml:space="preserve">Architecture authority  |  Verify: </w:t>
      </w:r>
      <w:hyperlink w:anchor="test_CT_004">
        <w:r>
          <w:rPr>
            <w:rStyle w:val="Hyperlink"/>
          </w:rPr>
          <w:t>CT-004</w:t>
        </w:r>
      </w:hyperlink>
      <w:r>
        <w:rPr/>
        <w:t xml:space="preserve">, </w:t>
      </w:r>
      <w:hyperlink w:anchor="test_CT_026">
        <w:r>
          <w:rPr>
            <w:rStyle w:val="Hyperlink"/>
          </w:rPr>
          <w:t>CT-026</w:t>
        </w:r>
      </w:hyperlink>
      <w:r>
        <w:rPr/>
        <w:t xml:space="preserve">  |  Basis: </w:t>
      </w:r>
      <w:hyperlink w:anchor="S00">
        <w:r>
          <w:rPr>
            <w:rStyle w:val="Hyperlink"/>
          </w:rPr>
          <w:t>S00</w:t>
        </w:r>
      </w:hyperlink>
      <w:r>
        <w:rPr/>
        <w:t xml:space="preserve"> / </w:t>
      </w:r>
      <w:hyperlink w:anchor="S01">
        <w:r>
          <w:rPr>
            <w:rStyle w:val="Hyperlink"/>
          </w:rPr>
          <w:t>S01</w:t>
        </w:r>
      </w:hyperlink>
      <w:r>
        <w:rPr/>
        <w:t xml:space="preserve"> / </w:t>
      </w:r>
      <w:hyperlink w:anchor="S02">
        <w:r>
          <w:rPr>
            <w:rStyle w:val="Hyperlink"/>
          </w:rPr>
          <w:t>S02</w:t>
        </w:r>
      </w:hyperlink>
      <w:r>
        <w:rPr/>
        <w:t xml:space="preserve">  |  retained-v1.0</w:t>
      </w:r>
    </w:p>
    <w:p>
      <w:pPr>
        <w:pStyle w:val="Requirement"/>
        <w:keepNext w:val="true"/>
        <w:rPr/>
      </w:pPr>
      <w:bookmarkStart w:id="8" w:name="req_SCOPE_001"/>
      <w:bookmarkEnd w:id="8"/>
      <w:r>
        <w:rPr>
          <w:rStyle w:val="ReqID"/>
        </w:rPr>
        <w:t xml:space="preserve">SCOPE-001  </w:t>
      </w:r>
      <w:r>
        <w:rPr/>
        <w:t>Every implementation SHALL publish its offered service classes, supported information categories, excluded capabilities and required qualification evidence before accepting a production request.</w:t>
      </w:r>
    </w:p>
    <w:p>
      <w:pPr>
        <w:pStyle w:val="ReqMeta"/>
        <w:rPr/>
      </w:pPr>
      <w:r>
        <w:rPr/>
        <w:t xml:space="preserve">Architecture authority  |  Verify: </w:t>
      </w:r>
      <w:hyperlink w:anchor="test_CT_018">
        <w:r>
          <w:rPr>
            <w:rStyle w:val="Hyperlink"/>
          </w:rPr>
          <w:t>CT-018</w:t>
        </w:r>
      </w:hyperlink>
      <w:r>
        <w:rPr/>
        <w:t xml:space="preserve">, </w:t>
      </w:r>
      <w:hyperlink w:anchor="test_CT_062">
        <w:r>
          <w:rPr>
            <w:rStyle w:val="Hyperlink"/>
          </w:rPr>
          <w:t>CT-062</w:t>
        </w:r>
      </w:hyperlink>
      <w:r>
        <w:rPr/>
        <w:t xml:space="preserve">  |  Basis: </w:t>
      </w:r>
      <w:hyperlink w:anchor="S00">
        <w:r>
          <w:rPr>
            <w:rStyle w:val="Hyperlink"/>
          </w:rPr>
          <w:t>S00</w:t>
        </w:r>
      </w:hyperlink>
      <w:r>
        <w:rPr/>
        <w:t xml:space="preserve">  |  new-v1.1</w:t>
      </w:r>
    </w:p>
    <w:p>
      <w:pPr>
        <w:pStyle w:val="Heading2"/>
        <w:numPr>
          <w:ilvl w:val="0"/>
          <w:numId w:val="7"/>
        </w:numPr>
        <w:rPr/>
      </w:pPr>
      <w:bookmarkStart w:id="9" w:name="__RefHeading___Toc13289_1645000677"/>
      <w:bookmarkStart w:id="10" w:name="sec_2"/>
      <w:bookmarkEnd w:id="9"/>
      <w:r>
        <w:rPr/>
        <w:t>Normative language, invariants and authority</w:t>
      </w:r>
      <w:bookmarkEnd w:id="10"/>
    </w:p>
    <w:p>
      <w:pPr>
        <w:pStyle w:val="BodyText"/>
        <w:rPr/>
      </w:pPr>
      <w:r>
        <w:rPr/>
        <w:t>SHALL identifies a requirement of this proposed handbook baseline; SHOULD identifies a recommendation that needs a recorded rationale when not followed; MAY identifies an optional capability. These words do not transform a locally authored requirement into a quotation from a government source. The adopting authority determines the binding policy hierarchy and approves the baseline. Requirements are defined once, assigned stable IDs, and used to generate Appendix C and the machine-readable catalogue.</w:t>
      </w:r>
    </w:p>
    <w:p>
      <w:pPr>
        <w:pStyle w:val="BodyText"/>
        <w:rPr/>
      </w:pPr>
      <w:r>
        <w:rPr/>
        <w:t>Sources are separated into the user-provided baseline [</w:t>
      </w:r>
      <w:hyperlink w:anchor="S00">
        <w:r>
          <w:rPr>
            <w:rStyle w:val="Hyperlink"/>
          </w:rPr>
          <w:t>S00</w:t>
        </w:r>
      </w:hyperlink>
      <w:r>
        <w:rPr/>
        <w:t>], external guidance and standards [</w:t>
      </w:r>
      <w:hyperlink w:anchor="S01">
        <w:r>
          <w:rPr>
            <w:rStyle w:val="Hyperlink"/>
          </w:rPr>
          <w:t>S01</w:t>
        </w:r>
      </w:hyperlink>
      <w:r>
        <w:rPr/>
        <w:t>–</w:t>
      </w:r>
      <w:hyperlink w:anchor="S30">
        <w:r>
          <w:rPr>
            <w:rStyle w:val="Hyperlink"/>
          </w:rPr>
          <w:t>S30</w:t>
        </w:r>
      </w:hyperlink>
      <w:r>
        <w:rPr/>
        <w:t>], and explicit handbook design decisions. A source citation identifies context or the basis for a local translation. A control-family crosswalk is a selection aid, not proof that every enhancement or organization-defined parameter in a government control has been implemented. No unapproved exception changes a higher-authority obligation.</w:t>
      </w:r>
    </w:p>
    <w:p>
      <w:pPr>
        <w:pStyle w:val="Requirement"/>
        <w:keepNext w:val="true"/>
        <w:rPr/>
      </w:pPr>
      <w:bookmarkStart w:id="11" w:name="req_INV_001"/>
      <w:bookmarkEnd w:id="11"/>
      <w:r>
        <w:rPr>
          <w:rStyle w:val="ReqID"/>
        </w:rPr>
        <w:t xml:space="preserve">INV-001  </w:t>
      </w:r>
      <w:r>
        <w:rPr/>
        <w:t>Tenant identity, security-zone identity, workload lifecycle, and platform realization are separate concepts.</w:t>
      </w:r>
    </w:p>
    <w:p>
      <w:pPr>
        <w:pStyle w:val="ReqMeta"/>
        <w:rPr/>
      </w:pPr>
      <w:r>
        <w:rPr/>
        <w:t xml:space="preserve">Architecture authority  |  Verify: </w:t>
      </w:r>
      <w:hyperlink w:anchor="test_CT_016">
        <w:r>
          <w:rPr>
            <w:rStyle w:val="Hyperlink"/>
          </w:rPr>
          <w:t>CT-016</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retained-v1.0</w:t>
      </w:r>
    </w:p>
    <w:p>
      <w:pPr>
        <w:pStyle w:val="Requirement"/>
        <w:keepNext w:val="true"/>
        <w:rPr/>
      </w:pPr>
      <w:bookmarkStart w:id="12" w:name="req_INV_002"/>
      <w:bookmarkEnd w:id="12"/>
      <w:r>
        <w:rPr>
          <w:rStyle w:val="ReqID"/>
        </w:rPr>
        <w:t xml:space="preserve">INV-002  </w:t>
      </w:r>
      <w:r>
        <w:rPr/>
        <w:t>A VPC, VRF, Tier-1 gateway, or Neutron router is an implementation mechanism, not the enterprise definition of a security zone.</w:t>
      </w:r>
    </w:p>
    <w:p>
      <w:pPr>
        <w:pStyle w:val="ReqMeta"/>
        <w:rPr/>
      </w:pPr>
      <w:r>
        <w:rPr/>
        <w:t xml:space="preserve">Architecture authority  |  Verify: </w:t>
      </w:r>
      <w:hyperlink w:anchor="test_CT_025">
        <w:r>
          <w:rPr>
            <w:rStyle w:val="Hyperlink"/>
          </w:rPr>
          <w:t>CT-025</w:t>
        </w:r>
      </w:hyperlink>
      <w:r>
        <w:rPr/>
        <w:t xml:space="preserve">, </w:t>
      </w:r>
      <w:hyperlink w:anchor="test_CT_080">
        <w:r>
          <w:rPr>
            <w:rStyle w:val="Hyperlink"/>
          </w:rPr>
          <w:t>CT-080</w:t>
        </w:r>
      </w:hyperlink>
      <w:r>
        <w:rPr/>
        <w:t xml:space="preserve">  |  Basis: </w:t>
      </w:r>
      <w:hyperlink w:anchor="S00">
        <w:r>
          <w:rPr>
            <w:rStyle w:val="Hyperlink"/>
          </w:rPr>
          <w:t>S00</w:t>
        </w:r>
      </w:hyperlink>
      <w:r>
        <w:rPr/>
        <w:t xml:space="preserve">  |  retained-v1.0</w:t>
      </w:r>
    </w:p>
    <w:p>
      <w:pPr>
        <w:pStyle w:val="Requirement"/>
        <w:keepNext w:val="true"/>
        <w:rPr/>
      </w:pPr>
      <w:bookmarkStart w:id="13" w:name="req_INV_003"/>
      <w:bookmarkEnd w:id="13"/>
      <w:r>
        <w:rPr>
          <w:rStyle w:val="ReqID"/>
        </w:rPr>
        <w:t xml:space="preserve">INV-003  </w:t>
      </w:r>
      <w:r>
        <w:rPr/>
        <w:t>Routes are derived from authorized intent; workload owners do not provide arbitrary route tables, BGP peers, route targets, or prefix imports/exports.</w:t>
      </w:r>
    </w:p>
    <w:p>
      <w:pPr>
        <w:pStyle w:val="ReqMeta"/>
        <w:rPr/>
      </w:pPr>
      <w:r>
        <w:rPr/>
        <w:t xml:space="preserve">Architecture authority  |  Verify: </w:t>
      </w:r>
      <w:hyperlink w:anchor="test_CT_009">
        <w:r>
          <w:rPr>
            <w:rStyle w:val="Hyperlink"/>
          </w:rPr>
          <w:t>CT-009</w:t>
        </w:r>
      </w:hyperlink>
      <w:r>
        <w:rPr/>
        <w:t xml:space="preserve">, </w:t>
      </w:r>
      <w:hyperlink w:anchor="test_CT_033">
        <w:r>
          <w:rPr>
            <w:rStyle w:val="Hyperlink"/>
          </w:rPr>
          <w:t>CT-033</w:t>
        </w:r>
      </w:hyperlink>
      <w:r>
        <w:rPr/>
        <w:t xml:space="preserve">  |  Basis: </w:t>
      </w:r>
      <w:hyperlink w:anchor="S00">
        <w:r>
          <w:rPr>
            <w:rStyle w:val="Hyperlink"/>
          </w:rPr>
          <w:t>S00</w:t>
        </w:r>
      </w:hyperlink>
      <w:r>
        <w:rPr/>
        <w:t xml:space="preserve">  |  retained-v1.0</w:t>
      </w:r>
    </w:p>
    <w:p>
      <w:pPr>
        <w:pStyle w:val="Requirement"/>
        <w:keepNext w:val="true"/>
        <w:rPr/>
      </w:pPr>
      <w:bookmarkStart w:id="14" w:name="req_INV_004"/>
      <w:bookmarkEnd w:id="14"/>
      <w:r>
        <w:rPr>
          <w:rStyle w:val="ReqID"/>
        </w:rPr>
        <w:t xml:space="preserve">INV-004  </w:t>
      </w:r>
      <w:r>
        <w:rPr/>
        <w:t>Shared services are exposed through explicit service bindings; broad reachability to a common-services supernet is not the default.</w:t>
      </w:r>
    </w:p>
    <w:p>
      <w:pPr>
        <w:pStyle w:val="ReqMeta"/>
        <w:rPr/>
      </w:pPr>
      <w:r>
        <w:rPr/>
        <w:t xml:space="preserve">Architecture authority  |  Verify: </w:t>
      </w:r>
      <w:hyperlink w:anchor="test_CT_008">
        <w:r>
          <w:rPr>
            <w:rStyle w:val="Hyperlink"/>
          </w:rPr>
          <w:t>CT-008</w:t>
        </w:r>
      </w:hyperlink>
      <w:r>
        <w:rPr/>
        <w:t xml:space="preserve">  |  Basis: </w:t>
      </w:r>
      <w:hyperlink w:anchor="S00">
        <w:r>
          <w:rPr>
            <w:rStyle w:val="Hyperlink"/>
          </w:rPr>
          <w:t>S00</w:t>
        </w:r>
      </w:hyperlink>
      <w:r>
        <w:rPr/>
        <w:t xml:space="preserve">  |  retained-v1.0</w:t>
      </w:r>
    </w:p>
    <w:p>
      <w:pPr>
        <w:pStyle w:val="Requirement"/>
        <w:keepNext w:val="true"/>
        <w:rPr/>
      </w:pPr>
      <w:bookmarkStart w:id="15" w:name="req_INV_005"/>
      <w:bookmarkEnd w:id="15"/>
      <w:r>
        <w:rPr>
          <w:rStyle w:val="ReqID"/>
        </w:rPr>
        <w:t xml:space="preserve">INV-005  </w:t>
      </w:r>
      <w:r>
        <w:rPr/>
        <w:t>Portability means equivalent required outcomes and conformance, not identical topology.</w:t>
      </w:r>
    </w:p>
    <w:p>
      <w:pPr>
        <w:pStyle w:val="ReqMeta"/>
        <w:rPr/>
      </w:pPr>
      <w:r>
        <w:rPr/>
        <w:t xml:space="preserve">Architecture authority  |  Verify: </w:t>
      </w:r>
      <w:hyperlink w:anchor="test_CT_016">
        <w:r>
          <w:rPr>
            <w:rStyle w:val="Hyperlink"/>
          </w:rPr>
          <w:t>CT-016</w:t>
        </w:r>
      </w:hyperlink>
      <w:r>
        <w:rPr/>
        <w:t xml:space="preserve">, </w:t>
      </w:r>
      <w:hyperlink w:anchor="test_CT_060">
        <w:r>
          <w:rPr>
            <w:rStyle w:val="Hyperlink"/>
          </w:rPr>
          <w:t>CT-060</w:t>
        </w:r>
      </w:hyperlink>
      <w:r>
        <w:rPr/>
        <w:t xml:space="preserve">  |  Basis: </w:t>
      </w:r>
      <w:hyperlink w:anchor="S00">
        <w:r>
          <w:rPr>
            <w:rStyle w:val="Hyperlink"/>
          </w:rPr>
          <w:t>S00</w:t>
        </w:r>
      </w:hyperlink>
      <w:r>
        <w:rPr/>
        <w:t xml:space="preserve">  |  retained-v1.0</w:t>
      </w:r>
    </w:p>
    <w:p>
      <w:pPr>
        <w:pStyle w:val="Requirement"/>
        <w:keepNext w:val="true"/>
        <w:rPr/>
      </w:pPr>
      <w:bookmarkStart w:id="16" w:name="req_INV_006"/>
      <w:bookmarkEnd w:id="16"/>
      <w:r>
        <w:rPr>
          <w:rStyle w:val="ReqID"/>
        </w:rPr>
        <w:t xml:space="preserve">INV-006  </w:t>
      </w:r>
      <w:r>
        <w:rPr/>
        <w:t>A deployment is not Service Ready until realized state and security controls are verified.</w:t>
      </w:r>
    </w:p>
    <w:p>
      <w:pPr>
        <w:pStyle w:val="ReqMeta"/>
        <w:rPr/>
      </w:pPr>
      <w:r>
        <w:rPr/>
        <w:t xml:space="preserve">Architecture authority  |  Verify: </w:t>
      </w:r>
      <w:hyperlink w:anchor="test_CT_049">
        <w:r>
          <w:rPr>
            <w:rStyle w:val="Hyperlink"/>
          </w:rPr>
          <w:t>CT-049</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retained-v1.0</w:t>
      </w:r>
    </w:p>
    <w:p>
      <w:pPr>
        <w:pStyle w:val="Requirement"/>
        <w:keepNext w:val="true"/>
        <w:rPr/>
      </w:pPr>
      <w:bookmarkStart w:id="17" w:name="req_INV_007"/>
      <w:bookmarkEnd w:id="17"/>
      <w:r>
        <w:rPr>
          <w:rStyle w:val="ReqID"/>
        </w:rPr>
        <w:t xml:space="preserve">INV-007  </w:t>
      </w:r>
      <w:r>
        <w:rPr/>
        <w:t>Failure of an admission or control-plane dependency SHALL fail new changes closed; failure SHALL NOT silently create a security bypass.</w:t>
      </w:r>
    </w:p>
    <w:p>
      <w:pPr>
        <w:pStyle w:val="ReqMeta"/>
        <w:rPr/>
      </w:pPr>
      <w:r>
        <w:rPr/>
        <w:t xml:space="preserve">Architecture authority  |  Verify: </w:t>
      </w:r>
      <w:hyperlink w:anchor="test_CT_011">
        <w:r>
          <w:rPr>
            <w:rStyle w:val="Hyperlink"/>
          </w:rPr>
          <w:t>CT-011</w:t>
        </w:r>
      </w:hyperlink>
      <w:r>
        <w:rPr/>
        <w:t xml:space="preserve">, </w:t>
      </w:r>
      <w:hyperlink w:anchor="test_CT_045">
        <w:r>
          <w:rPr>
            <w:rStyle w:val="Hyperlink"/>
          </w:rPr>
          <w:t>CT-045</w:t>
        </w:r>
      </w:hyperlink>
      <w:r>
        <w:rPr/>
        <w:t xml:space="preserve">  |  Basis: </w:t>
      </w:r>
      <w:hyperlink w:anchor="S00">
        <w:r>
          <w:rPr>
            <w:rStyle w:val="Hyperlink"/>
          </w:rPr>
          <w:t>S00</w:t>
        </w:r>
      </w:hyperlink>
      <w:r>
        <w:rPr/>
        <w:t xml:space="preserve">  |  retained-v1.0</w:t>
      </w:r>
    </w:p>
    <w:p>
      <w:pPr>
        <w:pStyle w:val="Requirement"/>
        <w:keepNext w:val="true"/>
        <w:rPr/>
      </w:pPr>
      <w:bookmarkStart w:id="18" w:name="req_REF_001"/>
      <w:bookmarkEnd w:id="18"/>
      <w:r>
        <w:rPr>
          <w:rStyle w:val="ReqID"/>
        </w:rPr>
        <w:t xml:space="preserve">REF-001  </w:t>
      </w:r>
      <w:r>
        <w:rPr/>
        <w:t>The service contract SHALL remain stable when a supported platform is replaced, provided the replacement platform passes the required conformance profile.</w:t>
      </w:r>
    </w:p>
    <w:p>
      <w:pPr>
        <w:pStyle w:val="ReqMeta"/>
        <w:rPr/>
      </w:pPr>
      <w:r>
        <w:rPr/>
        <w:t xml:space="preserve">Architecture authority  |  Verify: </w:t>
      </w:r>
      <w:hyperlink w:anchor="test_CT_016">
        <w:r>
          <w:rPr>
            <w:rStyle w:val="Hyperlink"/>
          </w:rPr>
          <w:t>CT-016</w:t>
        </w:r>
      </w:hyperlink>
      <w:r>
        <w:rPr/>
        <w:t xml:space="preserve">, </w:t>
      </w:r>
      <w:hyperlink w:anchor="test_CT_060">
        <w:r>
          <w:rPr>
            <w:rStyle w:val="Hyperlink"/>
          </w:rPr>
          <w:t>CT-060</w:t>
        </w:r>
      </w:hyperlink>
      <w:r>
        <w:rPr/>
        <w:t xml:space="preserve">  |  Basis: </w:t>
      </w:r>
      <w:hyperlink w:anchor="S00">
        <w:r>
          <w:rPr>
            <w:rStyle w:val="Hyperlink"/>
          </w:rPr>
          <w:t>S00</w:t>
        </w:r>
      </w:hyperlink>
      <w:r>
        <w:rPr/>
        <w:t xml:space="preserve">  |  retained-v1.0</w:t>
      </w:r>
    </w:p>
    <w:p>
      <w:pPr>
        <w:pStyle w:val="Requirement"/>
        <w:keepNext w:val="true"/>
        <w:rPr/>
      </w:pPr>
      <w:bookmarkStart w:id="19" w:name="req_REF_002"/>
      <w:bookmarkEnd w:id="19"/>
      <w:r>
        <w:rPr>
          <w:rStyle w:val="ReqID"/>
        </w:rPr>
        <w:t xml:space="preserve">REF-002  </w:t>
      </w:r>
      <w:r>
        <w:rPr/>
        <w:t>Platform-specific extensions MAY be offered, but they SHALL be declared as capabilities and SHALL NOT redefine the portable core semantics.</w:t>
      </w:r>
    </w:p>
    <w:p>
      <w:pPr>
        <w:pStyle w:val="ReqMeta"/>
        <w:rPr/>
      </w:pPr>
      <w:r>
        <w:rPr/>
        <w:t xml:space="preserve">Architecture authority  |  Verify: </w:t>
      </w:r>
      <w:hyperlink w:anchor="test_CT_016">
        <w:r>
          <w:rPr>
            <w:rStyle w:val="Hyperlink"/>
          </w:rPr>
          <w:t>CT-016</w:t>
        </w:r>
      </w:hyperlink>
      <w:r>
        <w:rPr/>
        <w:t xml:space="preserve">, </w:t>
      </w:r>
      <w:hyperlink w:anchor="test_CT_018">
        <w:r>
          <w:rPr>
            <w:rStyle w:val="Hyperlink"/>
          </w:rPr>
          <w:t>CT-018</w:t>
        </w:r>
      </w:hyperlink>
      <w:r>
        <w:rPr/>
        <w:t xml:space="preserve">  |  Basis: </w:t>
      </w:r>
      <w:hyperlink w:anchor="S00">
        <w:r>
          <w:rPr>
            <w:rStyle w:val="Hyperlink"/>
          </w:rPr>
          <w:t>S00</w:t>
        </w:r>
      </w:hyperlink>
      <w:r>
        <w:rPr/>
        <w:t xml:space="preserve">  |  retained-v1.0</w:t>
      </w:r>
    </w:p>
    <w:p>
      <w:pPr>
        <w:pStyle w:val="Requirement"/>
        <w:keepNext w:val="true"/>
        <w:rPr/>
      </w:pPr>
      <w:bookmarkStart w:id="20" w:name="req_DOC_001"/>
      <w:bookmarkEnd w:id="20"/>
      <w:r>
        <w:rPr>
          <w:rStyle w:val="ReqID"/>
        </w:rPr>
        <w:t xml:space="preserve">DOC-001  </w:t>
      </w:r>
      <w:r>
        <w:rPr/>
        <w:t>Every normative requirement SHALL have a stable identifier, accountable owner, applicability, source basis, verification procedure and exception policy; generated catalogues SHALL contain every active requirement.</w:t>
      </w:r>
    </w:p>
    <w:p>
      <w:pPr>
        <w:pStyle w:val="ReqMeta"/>
        <w:rPr/>
      </w:pPr>
      <w:r>
        <w:rPr/>
        <w:t xml:space="preserve">Architecture authority  |  Verify: </w:t>
      </w:r>
      <w:hyperlink w:anchor="test_CT_075">
        <w:r>
          <w:rPr>
            <w:rStyle w:val="Hyperlink"/>
          </w:rPr>
          <w:t>CT-075</w:t>
        </w:r>
      </w:hyperlink>
      <w:r>
        <w:rPr/>
        <w:t xml:space="preserve">  |  Basis: </w:t>
      </w:r>
      <w:hyperlink w:anchor="S00">
        <w:r>
          <w:rPr>
            <w:rStyle w:val="Hyperlink"/>
          </w:rPr>
          <w:t>S00</w:t>
        </w:r>
      </w:hyperlink>
      <w:r>
        <w:rPr/>
        <w:t xml:space="preserve">  |  new-v1.1</w:t>
      </w:r>
    </w:p>
    <w:p>
      <w:pPr>
        <w:pStyle w:val="Requirement"/>
        <w:keepNext w:val="true"/>
        <w:rPr/>
      </w:pPr>
      <w:bookmarkStart w:id="21" w:name="req_AUTH_001"/>
      <w:bookmarkEnd w:id="21"/>
      <w:r>
        <w:rPr>
          <w:rStyle w:val="ReqID"/>
        </w:rPr>
        <w:t xml:space="preserve">AUTH-001  </w:t>
      </w:r>
      <w:r>
        <w:rPr/>
        <w:t>Technical conformance, service readiness and formal authorization SHALL be recorded as distinct states; an automated test result SHALL NOT create, renew or impersonate an authorization decision.</w:t>
      </w:r>
    </w:p>
    <w:p>
      <w:pPr>
        <w:pStyle w:val="ReqMeta"/>
        <w:rPr/>
      </w:pPr>
      <w:r>
        <w:rPr/>
        <w:t xml:space="preserve">Security authority  |  Verify: </w:t>
      </w:r>
      <w:hyperlink w:anchor="test_CT_049">
        <w:r>
          <w:rPr>
            <w:rStyle w:val="Hyperlink"/>
          </w:rPr>
          <w:t>CT-049</w:t>
        </w:r>
      </w:hyperlink>
      <w:r>
        <w:rPr/>
        <w:t xml:space="preserve">, </w:t>
      </w:r>
      <w:hyperlink w:anchor="test_CT_069">
        <w:r>
          <w:rPr>
            <w:rStyle w:val="Hyperlink"/>
          </w:rPr>
          <w:t>CT-069</w:t>
        </w:r>
      </w:hyperlink>
      <w:r>
        <w:rPr/>
        <w:t xml:space="preserve">  |  Basis: </w:t>
      </w:r>
      <w:hyperlink w:anchor="S04">
        <w:r>
          <w:rPr>
            <w:rStyle w:val="Hyperlink"/>
          </w:rPr>
          <w:t>S04</w:t>
        </w:r>
      </w:hyperlink>
      <w:r>
        <w:rPr/>
        <w:t xml:space="preserve"> / </w:t>
      </w:r>
      <w:hyperlink w:anchor="S05">
        <w:r>
          <w:rPr>
            <w:rStyle w:val="Hyperlink"/>
          </w:rPr>
          <w:t>S05</w:t>
        </w:r>
      </w:hyperlink>
      <w:r>
        <w:rPr/>
        <w:t xml:space="preserve">  |  new-v1.1</w:t>
      </w:r>
    </w:p>
    <w:p>
      <w:pPr>
        <w:pStyle w:val="Heading2"/>
        <w:numPr>
          <w:ilvl w:val="0"/>
          <w:numId w:val="7"/>
        </w:numPr>
        <w:rPr/>
      </w:pPr>
      <w:bookmarkStart w:id="22" w:name="__RefHeading___Toc13291_1645000677"/>
      <w:bookmarkStart w:id="23" w:name="sec_3"/>
      <w:bookmarkEnd w:id="22"/>
      <w:r>
        <w:rPr/>
        <w:t>Standards hierarchy and the 2026 baseline</w:t>
      </w:r>
      <w:bookmarkEnd w:id="23"/>
    </w:p>
    <w:p>
      <w:pPr>
        <w:pStyle w:val="BodyText"/>
        <w:rPr/>
      </w:pPr>
      <w:r>
        <w:rPr/>
        <w:t>The uploaded document used ITSG-33 and ITSP.80.022 as its principal references. This revision adds ITSP.80.023 for cloud/SDN zoning and records an important control-catalogue transition: ITSP.10.033 took effect on 31 March 2026 and explicitly supersedes ITSG-33 Annex 3A. This is not a claim that every publication or lifecycle activity labelled ITSG-33 has been withdrawn. Existing ISSIP artefacts need an explicit migration/crosswalk decision. [</w:t>
      </w:r>
      <w:hyperlink w:anchor="S00">
        <w:r>
          <w:rPr>
            <w:rStyle w:val="Hyperlink"/>
          </w:rPr>
          <w:t>S00</w:t>
        </w:r>
      </w:hyperlink>
      <w:r>
        <w:rPr/>
        <w:t xml:space="preserve">, section 3; </w:t>
      </w:r>
      <w:hyperlink w:anchor="S02">
        <w:r>
          <w:rPr>
            <w:rStyle w:val="Hyperlink"/>
          </w:rPr>
          <w:t>S02</w:t>
        </w:r>
      </w:hyperlink>
      <w:r>
        <w:rPr/>
        <w:t xml:space="preserve">, Introduction; </w:t>
      </w:r>
      <w:hyperlink w:anchor="S05">
        <w:r>
          <w:rPr>
            <w:rStyle w:val="Hyperlink"/>
          </w:rPr>
          <w:t>S05</w:t>
        </w:r>
      </w:hyperlink>
      <w:r>
        <w:rPr/>
        <w:t>, Foreword]</w:t>
      </w:r>
    </w:p>
    <w:p>
      <w:pPr>
        <w:pStyle w:val="BodyText"/>
        <w:rPr/>
      </w:pPr>
      <w:r>
        <w:rPr/>
        <w:t>The current cryptographic reference checked for this release is ITSP.40.111 version 5, effective 29 May 2026. The handbook therefore uses a versioned CryptographicProfile and algorithm inventory rather than embedding a permanent “RSA-2048/TLS-1.2” compliance shortcut. Product module validation, approved modes, operating environments and algorithm lifecycle all remain part of implementation evidence. [</w:t>
      </w:r>
      <w:hyperlink w:anchor="S10">
        <w:r>
          <w:rPr>
            <w:rStyle w:val="Hyperlink"/>
          </w:rPr>
          <w:t>S10</w:t>
        </w:r>
      </w:hyperlink>
      <w:r>
        <w:rPr/>
        <w:t>, Effective date and Introduction]</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3455"/>
        <w:gridCol w:w="6120"/>
      </w:tblGrid>
      <w:tr>
        <w:trPr>
          <w:tblHeader w:val="true"/>
          <w:cantSplit w:val="true"/>
        </w:trPr>
        <w:tc>
          <w:tcPr>
            <w:tcW w:w="345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Reference layer</w:t>
            </w:r>
          </w:p>
        </w:tc>
        <w:tc>
          <w:tcPr>
            <w:tcW w:w="612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Application rule</w:t>
            </w:r>
          </w:p>
        </w:tc>
      </w:tr>
      <w:tr>
        <w:trPr>
          <w:cantSplit w:val="true"/>
        </w:trPr>
        <w:tc>
          <w:tcPr>
            <w:tcW w:w="34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Applicable legislation, policy, directive and adopted configuration requirements</w:t>
            </w:r>
          </w:p>
        </w:tc>
        <w:tc>
          <w:tcPr>
            <w:tcW w:w="61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Determine organizational applicability with the responsible authority; a local exception cannot waive an obligation outside that authority.</w:t>
            </w:r>
          </w:p>
        </w:tc>
      </w:tr>
      <w:tr>
        <w:trPr>
          <w:cantSplit w:val="true"/>
        </w:trPr>
        <w:tc>
          <w:tcPr>
            <w:tcW w:w="34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System categorization, tailored profile and authorization conditions</w:t>
            </w:r>
          </w:p>
        </w:tc>
        <w:tc>
          <w:tcPr>
            <w:tcW w:w="61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Allocate each selected control to provider, tenant or shared implementation; record parameters and inherited evidence.</w:t>
            </w:r>
          </w:p>
        </w:tc>
      </w:tr>
      <w:tr>
        <w:trPr>
          <w:cantSplit w:val="true"/>
        </w:trPr>
        <w:tc>
          <w:tcPr>
            <w:tcW w:w="34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Cyber Centre zoning, virtualization, cryptography and lifecycle guidance</w:t>
            </w:r>
          </w:p>
        </w:tc>
        <w:tc>
          <w:tcPr>
            <w:tcW w:w="61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Use together, documenting tension between consolidation objectives and physical/zone separation recommendations.</w:t>
            </w:r>
          </w:p>
        </w:tc>
      </w:tr>
      <w:tr>
        <w:trPr>
          <w:cantSplit w:val="true"/>
        </w:trPr>
        <w:tc>
          <w:tcPr>
            <w:tcW w:w="34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This handbook and approved implementation profile</w:t>
            </w:r>
          </w:p>
        </w:tc>
        <w:tc>
          <w:tcPr>
            <w:tcW w:w="61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Define portable service semantics and measurable local requirements.</w:t>
            </w:r>
          </w:p>
        </w:tc>
      </w:tr>
      <w:tr>
        <w:trPr>
          <w:cantSplit w:val="true"/>
        </w:trPr>
        <w:tc>
          <w:tcPr>
            <w:tcW w:w="34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Vendor/API/provider documentation and protocol specifications</w:t>
            </w:r>
          </w:p>
        </w:tc>
        <w:tc>
          <w:tcPr>
            <w:tcW w:w="61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Validate the exact supported implementation; documentation is not certification or authorization.</w:t>
            </w:r>
          </w:p>
        </w:tc>
      </w:tr>
    </w:tbl>
    <w:p>
      <w:pPr>
        <w:pStyle w:val="BodyText"/>
        <w:rPr/>
      </w:pPr>
      <w:r>
        <w:rPr/>
        <w:t>ITSP.10.033 also changes the numbering of Canadian-specific 100-series controls/enhancements to 400-series identifiers. Do not mechanically join old and new catalogues using a numeric string. Retain source edition and original control identifier with every mapping. The PBMM profile remains a contextual source inherited from the original handbook; adoption requires a named profile version and an explicit reconciliation of any legacy catalogue references. [</w:t>
      </w:r>
      <w:hyperlink w:anchor="S05">
        <w:r>
          <w:rPr>
            <w:rStyle w:val="Hyperlink"/>
          </w:rPr>
          <w:t>S05</w:t>
        </w:r>
      </w:hyperlink>
      <w:r>
        <w:rPr/>
        <w:t xml:space="preserve">, Revision changes; </w:t>
      </w:r>
      <w:hyperlink w:anchor="S06">
        <w:r>
          <w:rPr>
            <w:rStyle w:val="Hyperlink"/>
          </w:rPr>
          <w:t>S06</w:t>
        </w:r>
      </w:hyperlink>
      <w:r>
        <w:rPr/>
        <w:t>]</w:t>
      </w:r>
    </w:p>
    <w:p>
      <w:pPr>
        <w:pStyle w:val="Requirement"/>
        <w:keepNext w:val="true"/>
        <w:rPr/>
      </w:pPr>
      <w:bookmarkStart w:id="24" w:name="req_STD_001"/>
      <w:bookmarkEnd w:id="24"/>
      <w:r>
        <w:rPr>
          <w:rStyle w:val="ReqID"/>
        </w:rPr>
        <w:t xml:space="preserve">STD-001  </w:t>
      </w:r>
      <w:r>
        <w:rPr/>
        <w:t>The standards register SHALL record edition, effective/review date, applicability, owner and supersession relationships; external changes SHALL trigger an impact review of affected profiles and evidence.</w:t>
      </w:r>
    </w:p>
    <w:p>
      <w:pPr>
        <w:pStyle w:val="ReqMeta"/>
        <w:rPr/>
      </w:pPr>
      <w:r>
        <w:rPr/>
        <w:t xml:space="preserve">Security authority  |  Verify: </w:t>
      </w:r>
      <w:hyperlink w:anchor="test_CT_062">
        <w:r>
          <w:rPr>
            <w:rStyle w:val="Hyperlink"/>
          </w:rPr>
          <w:t>CT-062</w:t>
        </w:r>
      </w:hyperlink>
      <w:r>
        <w:rPr/>
        <w:t xml:space="preserve">, </w:t>
      </w:r>
      <w:hyperlink w:anchor="test_CT_075">
        <w:r>
          <w:rPr>
            <w:rStyle w:val="Hyperlink"/>
          </w:rPr>
          <w:t>CT-075</w:t>
        </w:r>
      </w:hyperlink>
      <w:r>
        <w:rPr/>
        <w:t xml:space="preserve">  |  Basis: </w:t>
      </w:r>
      <w:hyperlink w:anchor="S01">
        <w:r>
          <w:rPr>
            <w:rStyle w:val="Hyperlink"/>
          </w:rPr>
          <w:t>S01</w:t>
        </w:r>
      </w:hyperlink>
      <w:r>
        <w:rPr/>
        <w:t xml:space="preserve"> / </w:t>
      </w:r>
      <w:hyperlink w:anchor="S02">
        <w:r>
          <w:rPr>
            <w:rStyle w:val="Hyperlink"/>
          </w:rPr>
          <w:t>S02</w:t>
        </w:r>
      </w:hyperlink>
      <w:r>
        <w:rPr/>
        <w:t xml:space="preserve"> / </w:t>
      </w:r>
      <w:hyperlink w:anchor="S05">
        <w:r>
          <w:rPr>
            <w:rStyle w:val="Hyperlink"/>
          </w:rPr>
          <w:t>S05</w:t>
        </w:r>
      </w:hyperlink>
      <w:r>
        <w:rPr/>
        <w:t xml:space="preserve"> / </w:t>
      </w:r>
      <w:hyperlink w:anchor="S10">
        <w:r>
          <w:rPr>
            <w:rStyle w:val="Hyperlink"/>
          </w:rPr>
          <w:t>S10</w:t>
        </w:r>
      </w:hyperlink>
      <w:r>
        <w:rPr/>
        <w:t xml:space="preserve">  |  new-v1.1</w:t>
      </w:r>
    </w:p>
    <w:p>
      <w:pPr>
        <w:pStyle w:val="Requirement"/>
        <w:keepNext w:val="true"/>
        <w:rPr/>
      </w:pPr>
      <w:bookmarkStart w:id="25" w:name="req_STD_002"/>
      <w:bookmarkEnd w:id="25"/>
      <w:r>
        <w:rPr>
          <w:rStyle w:val="ReqID"/>
        </w:rPr>
        <w:t xml:space="preserve">STD-002  </w:t>
      </w:r>
      <w:r>
        <w:rPr/>
        <w:t>Control mappings SHALL preserve source edition and identifier and SHALL distinguish direct source requirements, local translations and design decisions; a family-level crosswalk SHALL NOT be represented as a completed control assessment.</w:t>
      </w:r>
    </w:p>
    <w:p>
      <w:pPr>
        <w:pStyle w:val="ReqMeta"/>
        <w:rPr/>
      </w:pPr>
      <w:r>
        <w:rPr/>
        <w:t xml:space="preserve">Security authority  |  Verify: </w:t>
      </w:r>
      <w:hyperlink w:anchor="test_CT_062">
        <w:r>
          <w:rPr>
            <w:rStyle w:val="Hyperlink"/>
          </w:rPr>
          <w:t>CT-062</w:t>
        </w:r>
      </w:hyperlink>
      <w:r>
        <w:rPr/>
        <w:t xml:space="preserve">, </w:t>
      </w:r>
      <w:hyperlink w:anchor="test_CT_075">
        <w:r>
          <w:rPr>
            <w:rStyle w:val="Hyperlink"/>
          </w:rPr>
          <w:t>CT-075</w:t>
        </w:r>
      </w:hyperlink>
      <w:r>
        <w:rPr/>
        <w:t xml:space="preserve">  |  Basis: </w:t>
      </w:r>
      <w:hyperlink w:anchor="S05">
        <w:r>
          <w:rPr>
            <w:rStyle w:val="Hyperlink"/>
          </w:rPr>
          <w:t>S05</w:t>
        </w:r>
      </w:hyperlink>
      <w:r>
        <w:rPr/>
        <w:t xml:space="preserve">  |  new-v1.1</w:t>
      </w:r>
    </w:p>
    <w:p>
      <w:pPr>
        <w:pStyle w:val="Heading2"/>
        <w:numPr>
          <w:ilvl w:val="0"/>
          <w:numId w:val="7"/>
        </w:numPr>
        <w:rPr/>
      </w:pPr>
      <w:bookmarkStart w:id="26" w:name="__RefHeading___Toc13293_1645000677"/>
      <w:bookmarkStart w:id="27" w:name="sec_4"/>
      <w:bookmarkEnd w:id="26"/>
      <w:r>
        <w:rPr/>
        <w:t>Categorization and policy profiles</w:t>
      </w:r>
      <w:bookmarkEnd w:id="27"/>
    </w:p>
    <w:p>
      <w:pPr>
        <w:pStyle w:val="BodyText"/>
        <w:rPr/>
      </w:pPr>
      <w:r>
        <w:rPr/>
        <w:t>Confidentiality, integrity and availability are independent impact assessments. “Protected B” is not a network topology, and “Medium availability” in a security categorization is not a service uptime target. The request records the three category fields separately, selects a SecurityProfile for controls, selects an AssuranceProfile for isolation and evidence, and selects AvailabilityProfile and RecoveryProfile for service behavior. A profile reference is immutable by name/version and resolves to a controlled digest. [</w:t>
      </w:r>
      <w:hyperlink w:anchor="S00">
        <w:r>
          <w:rPr>
            <w:rStyle w:val="Hyperlink"/>
          </w:rPr>
          <w:t>S00</w:t>
        </w:r>
      </w:hyperlink>
      <w:r>
        <w:rPr/>
        <w:t xml:space="preserve">, sections 3 and 8; </w:t>
      </w:r>
      <w:hyperlink w:anchor="S06">
        <w:r>
          <w:rPr>
            <w:rStyle w:val="Hyperlink"/>
          </w:rPr>
          <w:t>S06</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160"/>
        <w:gridCol w:w="3816"/>
        <w:gridCol w:w="3600"/>
      </w:tblGrid>
      <w:tr>
        <w:trPr>
          <w:tblHeader w:val="true"/>
          <w:cantSplit w:val="true"/>
        </w:trPr>
        <w:tc>
          <w:tcPr>
            <w:tcW w:w="216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Object</w:t>
            </w:r>
          </w:p>
        </w:tc>
        <w:tc>
          <w:tcPr>
            <w:tcW w:w="3816"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Defines</w:t>
            </w:r>
          </w:p>
        </w:tc>
        <w:tc>
          <w:tcPr>
            <w:tcW w:w="360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Does not mean</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SecurityProfile</w:t>
            </w:r>
          </w:p>
        </w:tc>
        <w:tc>
          <w:tcPr>
            <w:tcW w:w="381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Applicable category envelope, control catalogue edition, control/parameter selection and obligations</w:t>
            </w:r>
          </w:p>
        </w:tc>
        <w:tc>
          <w:tcPr>
            <w:tcW w:w="360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Automatic authorization for all data of the same confidentiality label</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AssuranceProfile</w:t>
            </w:r>
          </w:p>
        </w:tc>
        <w:tc>
          <w:tcPr>
            <w:tcW w:w="381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Allowed sharing, enforcement strength and qualification/evidence depth</w:t>
            </w:r>
          </w:p>
        </w:tc>
        <w:tc>
          <w:tcPr>
            <w:tcW w:w="360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 replacement for formal Security Assurance Levels</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AvailabilityProfile</w:t>
            </w:r>
          </w:p>
        </w:tc>
        <w:tc>
          <w:tcPr>
            <w:tcW w:w="381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Measured service objective, failure tolerance and maintenance behavior</w:t>
            </w:r>
          </w:p>
        </w:tc>
        <w:tc>
          <w:tcPr>
            <w:tcW w:w="360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The “availability” impact category</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RecoveryProfile</w:t>
            </w:r>
          </w:p>
        </w:tc>
        <w:tc>
          <w:tcPr>
            <w:tcW w:w="381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Recovery scope, RTO, RPO, consistency, fencing and rehearsal</w:t>
            </w:r>
          </w:p>
        </w:tc>
        <w:tc>
          <w:tcPr>
            <w:tcW w:w="360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 guaranteed application recovery merely from replication</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PlacementProfile</w:t>
            </w:r>
          </w:p>
        </w:tc>
        <w:tc>
          <w:tcPr>
            <w:tcW w:w="381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Eligible sites, location/access restrictions, capacity and platform capabilities</w:t>
            </w:r>
          </w:p>
        </w:tc>
        <w:tc>
          <w:tcPr>
            <w:tcW w:w="360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Residency automatically resolving jurisdiction or control</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CryptographicProfile</w:t>
            </w:r>
          </w:p>
        </w:tc>
        <w:tc>
          <w:tcPr>
            <w:tcW w:w="381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Algorithms/modes, key custody, certificate lifecycle and crypto agility</w:t>
            </w:r>
          </w:p>
        </w:tc>
        <w:tc>
          <w:tcPr>
            <w:tcW w:w="360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 product logo or unchecked encryption flag</w:t>
            </w:r>
          </w:p>
        </w:tc>
      </w:tr>
    </w:tbl>
    <w:p>
      <w:pPr>
        <w:pStyle w:val="BodyText"/>
        <w:rPr/>
      </w:pPr>
      <w:r>
        <w:rPr/>
        <w:t>Profile definitions are provider/security-authority controlled. Consumers can select entitled profiles, not edit their mandatory controls. Requested optional features may strengthen requirements; they cannot reduce a mandatory minimum. A request with contradictory requirements is rejected with a specific explanation rather than placed on a weaker profile. The reference defaults in Appendix F are proposed service-design values, not government-mandated time limits or a claim of measured capability.</w:t>
      </w:r>
    </w:p>
    <w:p>
      <w:pPr>
        <w:pStyle w:val="Requirement"/>
        <w:keepNext w:val="true"/>
        <w:rPr/>
      </w:pPr>
      <w:bookmarkStart w:id="28" w:name="req_CAT_001"/>
      <w:bookmarkEnd w:id="28"/>
      <w:r>
        <w:rPr>
          <w:rStyle w:val="ReqID"/>
        </w:rPr>
        <w:t xml:space="preserve">CAT-001  </w:t>
      </w:r>
      <w:r>
        <w:rPr/>
        <w:t>Each WSD SHALL record confidentiality, integrity and availability separately and SHALL reference the exact adopted SecurityProfile, AssuranceProfile, AvailabilityProfile, RecoveryProfile and PlacementProfile.</w:t>
      </w:r>
    </w:p>
    <w:p>
      <w:pPr>
        <w:pStyle w:val="ReqMeta"/>
        <w:rPr/>
      </w:pPr>
      <w:r>
        <w:rPr/>
        <w:t xml:space="preserve">Security authority  |  Verify: </w:t>
      </w:r>
      <w:hyperlink w:anchor="test_CT_017">
        <w:r>
          <w:rPr>
            <w:rStyle w:val="Hyperlink"/>
          </w:rPr>
          <w:t>CT-017</w:t>
        </w:r>
      </w:hyperlink>
      <w:r>
        <w:rPr/>
        <w:t xml:space="preserve">, </w:t>
      </w:r>
      <w:hyperlink w:anchor="test_CT_062">
        <w:r>
          <w:rPr>
            <w:rStyle w:val="Hyperlink"/>
          </w:rPr>
          <w:t>CT-062</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w:t>
      </w:r>
      <w:hyperlink w:anchor="S05">
        <w:r>
          <w:rPr>
            <w:rStyle w:val="Hyperlink"/>
          </w:rPr>
          <w:t>S05</w:t>
        </w:r>
      </w:hyperlink>
      <w:r>
        <w:rPr/>
        <w:t xml:space="preserve"> / </w:t>
      </w:r>
      <w:hyperlink w:anchor="S06">
        <w:r>
          <w:rPr>
            <w:rStyle w:val="Hyperlink"/>
          </w:rPr>
          <w:t>S06</w:t>
        </w:r>
      </w:hyperlink>
      <w:r>
        <w:rPr/>
        <w:t xml:space="preserve">  |  new-v1.1</w:t>
      </w:r>
    </w:p>
    <w:p>
      <w:pPr>
        <w:pStyle w:val="Requirement"/>
        <w:keepNext w:val="true"/>
        <w:rPr/>
      </w:pPr>
      <w:bookmarkStart w:id="29" w:name="req_CAT_002"/>
      <w:bookmarkEnd w:id="29"/>
      <w:r>
        <w:rPr>
          <w:rStyle w:val="ReqID"/>
        </w:rPr>
        <w:t xml:space="preserve">CAT-002  </w:t>
      </w:r>
      <w:r>
        <w:rPr/>
        <w:t>Profile resolution SHALL be immutable and authorized; a consumer SHALL NOT lower mandatory requirements by editing a profile, forging a status field or choosing an unsupported category.</w:t>
      </w:r>
    </w:p>
    <w:p>
      <w:pPr>
        <w:pStyle w:val="ReqMeta"/>
        <w:rPr/>
      </w:pPr>
      <w:r>
        <w:rPr/>
        <w:t xml:space="preserve">Automation platform  |  Verify: </w:t>
      </w:r>
      <w:hyperlink w:anchor="test_CT_017">
        <w:r>
          <w:rPr>
            <w:rStyle w:val="Hyperlink"/>
          </w:rPr>
          <w:t>CT-017</w:t>
        </w:r>
      </w:hyperlink>
      <w:r>
        <w:rPr/>
        <w:t xml:space="preserve">, </w:t>
      </w:r>
      <w:hyperlink w:anchor="test_CT_018">
        <w:r>
          <w:rPr>
            <w:rStyle w:val="Hyperlink"/>
          </w:rPr>
          <w:t>CT-018</w:t>
        </w:r>
      </w:hyperlink>
      <w:r>
        <w:rPr/>
        <w:t xml:space="preserve">  |  Basis: </w:t>
      </w:r>
      <w:hyperlink w:anchor="S00">
        <w:r>
          <w:rPr>
            <w:rStyle w:val="Hyperlink"/>
          </w:rPr>
          <w:t>S00</w:t>
        </w:r>
      </w:hyperlink>
      <w:r>
        <w:rPr/>
        <w:t xml:space="preserve">  |  new-v1.1</w:t>
      </w:r>
    </w:p>
    <w:p>
      <w:pPr>
        <w:pStyle w:val="Heading2"/>
        <w:numPr>
          <w:ilvl w:val="0"/>
          <w:numId w:val="7"/>
        </w:numPr>
        <w:rPr/>
      </w:pPr>
      <w:bookmarkStart w:id="30" w:name="__RefHeading___Toc13295_1645000677"/>
      <w:bookmarkStart w:id="31" w:name="sec_5"/>
      <w:bookmarkEnd w:id="30"/>
      <w:r>
        <w:rPr/>
        <w:t>Threat model and trust boundaries</w:t>
      </w:r>
      <w:bookmarkEnd w:id="31"/>
    </w:p>
    <w:p>
      <w:pPr>
        <w:pStyle w:val="BodyText"/>
        <w:rPr/>
      </w:pPr>
      <w:r>
        <w:rPr/>
        <w:t>Assume tenant workloads may be compromised or malicious, administrators may make mistakes, vendor defaults may be permissive, and a platform or automation dependency may become unavailable. A shared private network is not a trust assertion. Model the credible compromise of an individual workload, tenant identity, automation runner, host, security edge, backup identity, shared service and software-supply-chain component separately. The design is intended to constrain each compromise without claiming immunity to a provider-wide privileged breach.</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664"/>
        <w:gridCol w:w="3598"/>
        <w:gridCol w:w="3314"/>
      </w:tblGrid>
      <w:tr>
        <w:trPr>
          <w:tblHeader w:val="true"/>
          <w:cantSplit w:val="true"/>
        </w:trPr>
        <w:tc>
          <w:tcPr>
            <w:tcW w:w="266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Threat or failure</w:t>
            </w:r>
          </w:p>
        </w:tc>
        <w:tc>
          <w:tcPr>
            <w:tcW w:w="359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Boundary/control response</w:t>
            </w:r>
          </w:p>
        </w:tc>
        <w:tc>
          <w:tcPr>
            <w:tcW w:w="331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Residual issue to assess</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Cross-tenant or cross-zone lateral movement</w:t>
            </w:r>
          </w:p>
        </w:tc>
        <w:tc>
          <w:tcPr>
            <w:tcW w:w="359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Independent domain identity, deny baseline and verified ZIP/microsegmentation paths</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Shared-host vulnerability and shared edge failure exposure</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Compromised administrator or runner</w:t>
            </w:r>
          </w:p>
        </w:tc>
        <w:tc>
          <w:tcPr>
            <w:tcW w:w="359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Separate credentials/state, short-lived grants, peer approval and signed operation journal</w:t>
            </w:r>
          </w:p>
        </w:tc>
        <w:tc>
          <w:tcPr>
            <w:tcW w:w="33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Emergency authority, identity-provider and vault compromise</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Data theft or destructive backup action</w:t>
            </w:r>
          </w:p>
        </w:tc>
        <w:tc>
          <w:tcPr>
            <w:tcW w:w="359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Storage scope, encryption, independent recovery authority and protected copies</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Key custody, data-copy lineage and retention conflicts</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Overlay or route-policy error</w:t>
            </w:r>
          </w:p>
        </w:tc>
        <w:tc>
          <w:tcPr>
            <w:tcW w:w="359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Provider-controlled route graph, explicit adjacency, data-plane negative tests</w:t>
            </w:r>
          </w:p>
        </w:tc>
        <w:tc>
          <w:tcPr>
            <w:tcW w:w="33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Shared attachment, NAT hairpin and distributed enforcement gaps</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Controller outage or partial apply</w:t>
            </w:r>
          </w:p>
        </w:tc>
        <w:tc>
          <w:tcPr>
            <w:tcW w:w="359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Deny/quarantine before exposure, journaled recovery and generation checks</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Orphaned allocations, stale policy and inconsistent inventory</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Site loss or common dependency loss</w:t>
            </w:r>
          </w:p>
        </w:tc>
        <w:tc>
          <w:tcPr>
            <w:tcW w:w="359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Prequalified recovery, independent bootstrap and fencing</w:t>
            </w:r>
          </w:p>
        </w:tc>
        <w:tc>
          <w:tcPr>
            <w:tcW w:w="33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KMS/DNS/time/IdP dependencies and correlated failure domains</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Supplier or support compromise</w:t>
            </w:r>
          </w:p>
        </w:tc>
        <w:tc>
          <w:tcPr>
            <w:tcW w:w="359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Provenance, controlled update path and time-bound support access</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Jurisdiction, diagnostics export and hidden support dependencies</w:t>
            </w:r>
          </w:p>
        </w:tc>
      </w:tr>
    </w:tbl>
    <w:p>
      <w:pPr>
        <w:pStyle w:val="BodyText"/>
        <w:rPr/>
      </w:pPr>
      <w:r>
        <w:rPr/>
        <w:t>A threat model includes the attack surface and the business consequences, then allocates controls and tests. Where an assurance profile permits shared hardware, record exactly which threat is mitigated by logical isolation and which residual risks remain. The existence of multiple VPCs, projects or VRFs alone does not resolve hypervisor, storage, management or supply-chain trust. [</w:t>
      </w:r>
      <w:hyperlink w:anchor="S03">
        <w:r>
          <w:rPr>
            <w:rStyle w:val="Hyperlink"/>
          </w:rPr>
          <w:t>S03</w:t>
        </w:r>
      </w:hyperlink>
      <w:r>
        <w:rPr/>
        <w:t xml:space="preserve">; </w:t>
      </w:r>
      <w:hyperlink w:anchor="S08">
        <w:r>
          <w:rPr>
            <w:rStyle w:val="Hyperlink"/>
          </w:rPr>
          <w:t>S08</w:t>
        </w:r>
      </w:hyperlink>
      <w:r>
        <w:rPr/>
        <w:t>]</w:t>
      </w:r>
    </w:p>
    <w:p>
      <w:pPr>
        <w:pStyle w:val="Requirement"/>
        <w:keepNext w:val="true"/>
        <w:rPr/>
      </w:pPr>
      <w:bookmarkStart w:id="32" w:name="req_THR_001"/>
      <w:bookmarkEnd w:id="32"/>
      <w:r>
        <w:rPr>
          <w:rStyle w:val="ReqID"/>
        </w:rPr>
        <w:t xml:space="preserve">THR-001  </w:t>
      </w:r>
      <w:r>
        <w:rPr/>
        <w:t>Each platform qualification and material WSD change SHALL include a threat/failure analysis that identifies trust boundaries, privileged actors, dependency failures, residual risks and applicable tests.</w:t>
      </w:r>
    </w:p>
    <w:p>
      <w:pPr>
        <w:pStyle w:val="ReqMeta"/>
        <w:rPr/>
      </w:pPr>
      <w:r>
        <w:rPr/>
        <w:t xml:space="preserve">Security authority  |  Verify: </w:t>
      </w:r>
      <w:hyperlink w:anchor="test_CT_035">
        <w:r>
          <w:rPr>
            <w:rStyle w:val="Hyperlink"/>
          </w:rPr>
          <w:t>CT-035</w:t>
        </w:r>
      </w:hyperlink>
      <w:r>
        <w:rPr/>
        <w:t xml:space="preserve">, </w:t>
      </w:r>
      <w:hyperlink w:anchor="test_CT_062">
        <w:r>
          <w:rPr>
            <w:rStyle w:val="Hyperlink"/>
          </w:rPr>
          <w:t>CT-062</w:t>
        </w:r>
      </w:hyperlink>
      <w:r>
        <w:rPr/>
        <w:t xml:space="preserve">, </w:t>
      </w:r>
      <w:hyperlink w:anchor="test_CT_080">
        <w:r>
          <w:rPr>
            <w:rStyle w:val="Hyperlink"/>
          </w:rPr>
          <w:t>CT-080</w:t>
        </w:r>
      </w:hyperlink>
      <w:r>
        <w:rPr/>
        <w:t xml:space="preserve">  |  Basis: </w:t>
      </w:r>
      <w:hyperlink w:anchor="S03">
        <w:r>
          <w:rPr>
            <w:rStyle w:val="Hyperlink"/>
          </w:rPr>
          <w:t>S03</w:t>
        </w:r>
      </w:hyperlink>
      <w:r>
        <w:rPr/>
        <w:t xml:space="preserve"> / </w:t>
      </w:r>
      <w:hyperlink w:anchor="S05">
        <w:r>
          <w:rPr>
            <w:rStyle w:val="Hyperlink"/>
          </w:rPr>
          <w:t>S05</w:t>
        </w:r>
      </w:hyperlink>
      <w:r>
        <w:rPr/>
        <w:t xml:space="preserve"> / </w:t>
      </w:r>
      <w:hyperlink w:anchor="S08">
        <w:r>
          <w:rPr>
            <w:rStyle w:val="Hyperlink"/>
          </w:rPr>
          <w:t>S08</w:t>
        </w:r>
      </w:hyperlink>
      <w:r>
        <w:rPr/>
        <w:t xml:space="preserve">  |  new-v1.1</w:t>
      </w:r>
    </w:p>
    <w:p>
      <w:pPr>
        <w:pStyle w:val="Heading2"/>
        <w:numPr>
          <w:ilvl w:val="0"/>
          <w:numId w:val="7"/>
        </w:numPr>
        <w:rPr/>
      </w:pPr>
      <w:bookmarkStart w:id="33" w:name="__RefHeading___Toc13297_1645000677"/>
      <w:bookmarkStart w:id="34" w:name="sec_6"/>
      <w:bookmarkEnd w:id="33"/>
      <w:r>
        <w:rPr/>
        <w:t>Canonical model and service planes</w:t>
      </w:r>
      <w:bookmarkEnd w:id="34"/>
    </w:p>
    <w:p>
      <w:pPr>
        <w:pStyle w:val="BodyText"/>
        <w:rPr/>
      </w:pPr>
      <w:r>
        <w:rPr/>
        <w:t>The durable contract is the WSD intent, not a physical topology. A Tenant Namespace owns administrative scope; a WSD owns workload lifecycle and desired outcomes; a logical Security Domain owns one zone class and security authority; a Security Domain Instance realizes that domain at a particular site and platform. A Network belongs to exactly one instance. A workload may use several networks only where its role and non-transit behavior are explicitly authorized.</w:t>
      </w:r>
    </w:p>
    <w:p>
      <w:pPr>
        <w:pStyle w:val="BodyText"/>
        <w:rPr/>
      </w:pPr>
      <w:r>
        <w:rPr/>
        <w:t>Separate the workload data plane, provider service-consumption plane, platform control plane, privileged management plane, OOB transport and physical underlay. A provider area is therefore a set of governed services and administrative boundaries, not one universally reachable “provider VRF”. Shared DNS or backup consumption never implies access to Prism, NSX Manager, OpenStack administrative APIs, storage controllers or BMC interfaces.</w:t>
      </w:r>
    </w:p>
    <w:p>
      <w:pPr>
        <w:pStyle w:val="Normal"/>
        <w:keepNext w:val="true"/>
        <w:jc w:val="center"/>
        <w:rPr/>
      </w:pPr>
      <w:r>
        <w:rPr/>
        <w:drawing>
          <wp:inline distT="0" distB="0" distL="0" distR="0">
            <wp:extent cx="5303520" cy="4033520"/>
            <wp:effectExtent l="0" t="0" r="0" b="0"/>
            <wp:docPr id="1" name="Picture 1" descr="Tenant Namespace contains WSD lifecycle intent. WSD references one or more logical Security Domains. Each domain has site/platform-specific instances and workload networks. ZIP relationships mediate instance or external-domain transitions. Provider services and privileged management are separate planes, not parent transit networks." title="The portable object model and independent provider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nant Namespace contains WSD lifecycle intent. WSD references one or more logical Security Domains. Each domain has site/platform-specific instances and workload networks. ZIP relationships mediate instance or external-domain transitions. Provider services and privileged management are separate planes, not parent transit networks." title="The portable object model and independent provider planes"/>
                    <pic:cNvPicPr>
                      <a:picLocks noChangeAspect="1" noChangeArrowheads="1"/>
                    </pic:cNvPicPr>
                  </pic:nvPicPr>
                  <pic:blipFill>
                    <a:blip r:embed="rId2"/>
                    <a:stretch>
                      <a:fillRect/>
                    </a:stretch>
                  </pic:blipFill>
                  <pic:spPr bwMode="auto">
                    <a:xfrm>
                      <a:off x="0" y="0"/>
                      <a:ext cx="5303520" cy="4033520"/>
                    </a:xfrm>
                    <a:prstGeom prst="rect">
                      <a:avLst/>
                    </a:prstGeom>
                    <a:noFill/>
                  </pic:spPr>
                </pic:pic>
              </a:graphicData>
            </a:graphic>
          </wp:inline>
        </w:drawing>
      </w:r>
    </w:p>
    <w:p>
      <w:pPr>
        <w:pStyle w:val="Caption"/>
        <w:jc w:val="center"/>
        <w:rPr/>
      </w:pPr>
      <w:r>
        <w:rPr/>
        <w:t xml:space="preserve">Figure </w:t>
      </w:r>
      <w:bookmarkStart w:id="35" w:name="fig_model"/>
      <w:r>
        <w:rPr/>
        <w:fldChar w:fldCharType="begin"/>
      </w:r>
      <w:r>
        <w:rPr/>
        <w:instrText xml:space="preserve"> SEQ Figure \* ARABIC </w:instrText>
      </w:r>
      <w:r>
        <w:rPr/>
        <w:fldChar w:fldCharType="separate"/>
      </w:r>
      <w:r>
        <w:rPr/>
        <w:t>1</w:t>
      </w:r>
      <w:r>
        <w:rPr/>
        <w:fldChar w:fldCharType="end"/>
      </w:r>
      <w:bookmarkEnd w:id="35"/>
      <w:r>
        <w:rPr/>
        <w:t>. The portable object model and independent provider planes</w:t>
      </w:r>
    </w:p>
    <w:p>
      <w:pPr>
        <w:pStyle w:val="BodyText"/>
        <w:rPr/>
      </w:pPr>
      <w:r>
        <w:rPr/>
        <w:t>The addition of a logical Security Domain removes the old ambiguity between a security authority and a site-specific routing object. Multiple WSDs may share a domain only when the same authority and an approved sharing policy allow it. The shared domain is not destroyed when one WSD retires; dependency references and a domain owner control its lifecycle. Native platform identifiers are stored in provider status and evidence, never as routine consumer inputs.</w:t>
      </w:r>
    </w:p>
    <w:p>
      <w:pPr>
        <w:pStyle w:val="Requirement"/>
        <w:keepNext w:val="true"/>
        <w:rPr/>
      </w:pPr>
      <w:bookmarkStart w:id="36" w:name="req_MODEL_001"/>
      <w:bookmarkEnd w:id="36"/>
      <w:r>
        <w:rPr>
          <w:rStyle w:val="ReqID"/>
        </w:rPr>
        <w:t xml:space="preserve">MODEL-001  </w:t>
      </w:r>
      <w:r>
        <w:rPr/>
        <w:t>Every network SHALL resolve to one Security Domain Instance, one logical domain, one zone class, one address authority and one accountable owner; shared-domain lifecycle SHALL use explicit dependency references.</w:t>
      </w:r>
    </w:p>
    <w:p>
      <w:pPr>
        <w:pStyle w:val="ReqMeta"/>
        <w:rPr/>
      </w:pPr>
      <w:r>
        <w:rPr/>
        <w:t xml:space="preserve">Architecture authority  |  Verify: </w:t>
      </w:r>
      <w:hyperlink w:anchor="test_CT_017">
        <w:r>
          <w:rPr>
            <w:rStyle w:val="Hyperlink"/>
          </w:rPr>
          <w:t>CT-017</w:t>
        </w:r>
      </w:hyperlink>
      <w:r>
        <w:rPr/>
        <w:t xml:space="preserve">, </w:t>
      </w:r>
      <w:hyperlink w:anchor="test_CT_025">
        <w:r>
          <w:rPr>
            <w:rStyle w:val="Hyperlink"/>
          </w:rPr>
          <w:t>CT-025</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new-v1.1</w:t>
      </w:r>
    </w:p>
    <w:p>
      <w:pPr>
        <w:pStyle w:val="Requirement"/>
        <w:keepNext w:val="true"/>
        <w:rPr/>
      </w:pPr>
      <w:bookmarkStart w:id="37" w:name="req_MODEL_002"/>
      <w:bookmarkEnd w:id="37"/>
      <w:r>
        <w:rPr>
          <w:rStyle w:val="ReqID"/>
        </w:rPr>
        <w:t xml:space="preserve">MODEL-002  </w:t>
      </w:r>
      <w:r>
        <w:rPr/>
        <w:t>Provider service consumption, platform control, privileged management and OOB transport SHALL be modeled separately; a shared service SHALL NOT create implicit authority over another plane.</w:t>
      </w:r>
    </w:p>
    <w:p>
      <w:pPr>
        <w:pStyle w:val="ReqMeta"/>
        <w:rPr/>
      </w:pPr>
      <w:r>
        <w:rPr/>
        <w:t xml:space="preserve">Architecture authority  |  Verify: </w:t>
      </w:r>
      <w:hyperlink w:anchor="test_CT_004">
        <w:r>
          <w:rPr>
            <w:rStyle w:val="Hyperlink"/>
          </w:rPr>
          <w:t>CT-004</w:t>
        </w:r>
      </w:hyperlink>
      <w:r>
        <w:rPr/>
        <w:t xml:space="preserve">, </w:t>
      </w:r>
      <w:hyperlink w:anchor="test_CT_008">
        <w:r>
          <w:rPr>
            <w:rStyle w:val="Hyperlink"/>
          </w:rPr>
          <w:t>CT-008</w:t>
        </w:r>
      </w:hyperlink>
      <w:r>
        <w:rPr/>
        <w:t xml:space="preserve">, </w:t>
      </w:r>
      <w:hyperlink w:anchor="test_CT_026">
        <w:r>
          <w:rPr>
            <w:rStyle w:val="Hyperlink"/>
          </w:rPr>
          <w:t>CT-026</w:t>
        </w:r>
      </w:hyperlink>
      <w:r>
        <w:rPr/>
        <w:t xml:space="preserve">  |  Basis: </w:t>
      </w:r>
      <w:hyperlink w:anchor="S00">
        <w:r>
          <w:rPr>
            <w:rStyle w:val="Hyperlink"/>
          </w:rPr>
          <w:t>S00</w:t>
        </w:r>
      </w:hyperlink>
      <w:r>
        <w:rPr/>
        <w:t xml:space="preserve"> / </w:t>
      </w:r>
      <w:hyperlink w:anchor="S01">
        <w:r>
          <w:rPr>
            <w:rStyle w:val="Hyperlink"/>
          </w:rPr>
          <w:t>S01</w:t>
        </w:r>
      </w:hyperlink>
      <w:r>
        <w:rPr/>
        <w:t xml:space="preserve"> / </w:t>
      </w:r>
      <w:hyperlink w:anchor="S02">
        <w:r>
          <w:rPr>
            <w:rStyle w:val="Hyperlink"/>
          </w:rPr>
          <w:t>S02</w:t>
        </w:r>
      </w:hyperlink>
      <w:r>
        <w:rPr/>
        <w:t xml:space="preserve">  |  new-v1.1</w:t>
      </w:r>
    </w:p>
    <w:p>
      <w:pPr>
        <w:pStyle w:val="Normal"/>
        <w:rPr/>
      </w:pPr>
      <w:r>
        <w:rPr/>
      </w:r>
      <w:r>
        <w:br w:type="page"/>
      </w:r>
    </w:p>
    <w:p>
      <w:pPr>
        <w:pStyle w:val="Heading1"/>
        <w:spacing w:before="0" w:after="180"/>
        <w:rPr/>
      </w:pPr>
      <w:bookmarkStart w:id="38" w:name="__RefHeading___Toc13299_1645000677"/>
      <w:bookmarkStart w:id="39" w:name="part_2"/>
      <w:bookmarkEnd w:id="38"/>
      <w:r>
        <w:rPr/>
        <w:t>Part II — Portable security architecture</w:t>
      </w:r>
      <w:bookmarkEnd w:id="39"/>
    </w:p>
    <w:p>
      <w:pPr>
        <w:pStyle w:val="Heading2"/>
        <w:numPr>
          <w:ilvl w:val="0"/>
          <w:numId w:val="7"/>
        </w:numPr>
        <w:rPr/>
      </w:pPr>
      <w:bookmarkStart w:id="40" w:name="__RefHeading___Toc13301_1645000677"/>
      <w:bookmarkStart w:id="41" w:name="sec_7"/>
      <w:bookmarkEnd w:id="40"/>
      <w:r>
        <w:rPr/>
        <w:t>Tenant Namespace, entitlements and ownership</w:t>
      </w:r>
      <w:bookmarkEnd w:id="41"/>
    </w:p>
    <w:p>
      <w:pPr>
        <w:pStyle w:val="BodyText"/>
        <w:rPr/>
      </w:pPr>
      <w:r>
        <w:rPr/>
        <w:t>A Tenant Namespace is the administrative root for identity groups, authorized service classes, quota, ownership, cost attribution and lifecycle. Use immutable non-semantic IDs in automation and readable names as labels. Renaming an organization or service must not rewrite security identity, address ownership or evidence history. All cross-tenant references are rejected unless an approved service-consumption or inter-tenant agreement explicitly authorizes them.</w:t>
      </w:r>
    </w:p>
    <w:p>
      <w:pPr>
        <w:pStyle w:val="BodyText"/>
        <w:rPr/>
      </w:pPr>
      <w:r>
        <w:rPr/>
        <w:t>Separate the tenant service owner, tenant workload operator and tenant security reviewer. A tenant operator can request or manage entitled workload resources but cannot edit provider policy baselines, shared routing, management infrastructure or platform qualification. Provider read-only support views are tenant-scoped and redact credentials and other tenants’ metadata. Chargeback/showback can use opaque service/cost references without embedding organizational names in VRFs.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160"/>
        <w:gridCol w:w="7415"/>
      </w:tblGrid>
      <w:tr>
        <w:trPr>
          <w:tblHeader w:val="true"/>
          <w:cantSplit w:val="true"/>
        </w:trPr>
        <w:tc>
          <w:tcPr>
            <w:tcW w:w="216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Tenant lifecycle</w:t>
            </w:r>
          </w:p>
        </w:tc>
        <w:tc>
          <w:tcPr>
            <w:tcW w:w="741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Operational meaning</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Requested</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Ownership and entitlements are under review; no workload connectivity is implied.</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Active</w:t>
            </w:r>
          </w:p>
        </w:tc>
        <w:tc>
          <w:tcPr>
            <w:tcW w:w="741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Entitled requests can be admitted under current profiles.</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Restricted</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Only a defined subset of operations is permitted; cause and remediation owner are recorded.</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Suspended</w:t>
            </w:r>
          </w:p>
        </w:tc>
        <w:tc>
          <w:tcPr>
            <w:tcW w:w="741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New ordinary operations stop; existing workloads follow the explicit security/continuity decision.</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Retiring / Retired</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Dependencies and retention are reconciled; tombstone and evidence survive as required.</w:t>
            </w:r>
          </w:p>
        </w:tc>
      </w:tr>
    </w:tbl>
    <w:p>
      <w:pPr>
        <w:pStyle w:val="Requirement"/>
        <w:keepNext w:val="true"/>
        <w:rPr/>
      </w:pPr>
      <w:bookmarkStart w:id="42" w:name="req_TEN_001"/>
      <w:bookmarkEnd w:id="42"/>
      <w:r>
        <w:rPr>
          <w:rStyle w:val="ReqID"/>
        </w:rPr>
        <w:t xml:space="preserve">TEN-001  </w:t>
      </w:r>
      <w:r>
        <w:rPr/>
        <w:t>Cross-tenant routing SHALL be denied by default even when two tenants use the same zone class.</w:t>
      </w:r>
    </w:p>
    <w:p>
      <w:pPr>
        <w:pStyle w:val="ReqMeta"/>
        <w:rPr/>
      </w:pPr>
      <w:r>
        <w:rPr/>
        <w:t xml:space="preserve">Automation platform  |  Verify: </w:t>
      </w:r>
      <w:hyperlink w:anchor="test_CT_001">
        <w:r>
          <w:rPr>
            <w:rStyle w:val="Hyperlink"/>
          </w:rPr>
          <w:t>CT-001</w:t>
        </w:r>
      </w:hyperlink>
      <w:r>
        <w:rPr/>
        <w:t xml:space="preserve">, </w:t>
      </w:r>
      <w:hyperlink w:anchor="test_CT_002">
        <w:r>
          <w:rPr>
            <w:rStyle w:val="Hyperlink"/>
          </w:rPr>
          <w:t>CT-002</w:t>
        </w:r>
      </w:hyperlink>
      <w:r>
        <w:rPr/>
        <w:t xml:space="preserve">, </w:t>
      </w:r>
      <w:hyperlink w:anchor="test_CT_019">
        <w:r>
          <w:rPr>
            <w:rStyle w:val="Hyperlink"/>
          </w:rPr>
          <w:t>CT-019</w:t>
        </w:r>
      </w:hyperlink>
      <w:r>
        <w:rPr/>
        <w:t xml:space="preserve">  |  Basis: </w:t>
      </w:r>
      <w:hyperlink w:anchor="S00">
        <w:r>
          <w:rPr>
            <w:rStyle w:val="Hyperlink"/>
          </w:rPr>
          <w:t>S00</w:t>
        </w:r>
      </w:hyperlink>
      <w:r>
        <w:rPr/>
        <w:t xml:space="preserve">  |  retained-v1.0</w:t>
      </w:r>
    </w:p>
    <w:p>
      <w:pPr>
        <w:pStyle w:val="Requirement"/>
        <w:keepNext w:val="true"/>
        <w:rPr/>
      </w:pPr>
      <w:bookmarkStart w:id="43" w:name="req_TEN_002"/>
      <w:bookmarkEnd w:id="43"/>
      <w:r>
        <w:rPr>
          <w:rStyle w:val="ReqID"/>
        </w:rPr>
        <w:t xml:space="preserve">TEN-002  </w:t>
      </w:r>
      <w:r>
        <w:rPr/>
        <w:t>Tenant administrators SHALL NOT have authority to modify provider management, security-edge infrastructure, physical fabric, or another tenant namespace.</w:t>
      </w:r>
    </w:p>
    <w:p>
      <w:pPr>
        <w:pStyle w:val="ReqMeta"/>
        <w:rPr/>
      </w:pPr>
      <w:r>
        <w:rPr/>
        <w:t xml:space="preserve">Automation platform  |  Verify: </w:t>
      </w:r>
      <w:hyperlink w:anchor="test_CT_019">
        <w:r>
          <w:rPr>
            <w:rStyle w:val="Hyperlink"/>
          </w:rPr>
          <w:t>CT-019</w:t>
        </w:r>
      </w:hyperlink>
      <w:r>
        <w:rPr/>
        <w:t xml:space="preserve">, </w:t>
      </w:r>
      <w:hyperlink w:anchor="test_CT_026">
        <w:r>
          <w:rPr>
            <w:rStyle w:val="Hyperlink"/>
          </w:rPr>
          <w:t>CT-026</w:t>
        </w:r>
      </w:hyperlink>
      <w:r>
        <w:rPr/>
        <w:t xml:space="preserve">  |  Basis: </w:t>
      </w:r>
      <w:hyperlink w:anchor="S00">
        <w:r>
          <w:rPr>
            <w:rStyle w:val="Hyperlink"/>
          </w:rPr>
          <w:t>S00</w:t>
        </w:r>
      </w:hyperlink>
      <w:r>
        <w:rPr/>
        <w:t xml:space="preserve">  |  retained-v1.0</w:t>
      </w:r>
    </w:p>
    <w:p>
      <w:pPr>
        <w:pStyle w:val="Requirement"/>
        <w:keepNext w:val="true"/>
        <w:rPr/>
      </w:pPr>
      <w:bookmarkStart w:id="44" w:name="req_TEN_003"/>
      <w:bookmarkEnd w:id="44"/>
      <w:r>
        <w:rPr>
          <w:rStyle w:val="ReqID"/>
        </w:rPr>
        <w:t xml:space="preserve">TEN-003  </w:t>
      </w:r>
      <w:r>
        <w:rPr/>
        <w:t>Tenant ownership, entitlements and role bindings SHALL be versioned and auditable; suspension SHALL specify permitted recovery/containment actions and SHALL NOT imply indiscriminate workload deletion.</w:t>
      </w:r>
    </w:p>
    <w:p>
      <w:pPr>
        <w:pStyle w:val="ReqMeta"/>
        <w:rPr/>
      </w:pPr>
      <w:r>
        <w:rPr/>
        <w:t xml:space="preserve">Service owner  |  Verify: </w:t>
      </w:r>
      <w:hyperlink w:anchor="test_CT_019">
        <w:r>
          <w:rPr>
            <w:rStyle w:val="Hyperlink"/>
          </w:rPr>
          <w:t>CT-019</w:t>
        </w:r>
      </w:hyperlink>
      <w:r>
        <w:rPr/>
        <w:t xml:space="preserve">, </w:t>
      </w:r>
      <w:hyperlink w:anchor="test_CT_057">
        <w:r>
          <w:rPr>
            <w:rStyle w:val="Hyperlink"/>
          </w:rPr>
          <w:t>CT-057</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new-v1.1</w:t>
      </w:r>
    </w:p>
    <w:p>
      <w:pPr>
        <w:pStyle w:val="Heading2"/>
        <w:numPr>
          <w:ilvl w:val="0"/>
          <w:numId w:val="7"/>
        </w:numPr>
        <w:rPr/>
      </w:pPr>
      <w:bookmarkStart w:id="45" w:name="__RefHeading___Toc13303_1645000677"/>
      <w:bookmarkStart w:id="46" w:name="sec_8"/>
      <w:bookmarkEnd w:id="45"/>
      <w:r>
        <w:rPr/>
        <w:t>WSD intent and lifecycle responsibility</w:t>
      </w:r>
      <w:bookmarkEnd w:id="46"/>
    </w:p>
    <w:p>
      <w:pPr>
        <w:pStyle w:val="BodyText"/>
        <w:rPr/>
      </w:pPr>
      <w:r>
        <w:rPr/>
        <w:t>A WSD captures a workload or bounded workload set with one accountable service owner and an explicit security and recovery context. It names required zones, networks, flow intentions, service bindings, external exposure, storage/compute profiles and evidence requirements. It is the unit for admission, readiness, incident containment, migration and retirement, not necessarily a single Terraform state or one VPC.</w:t>
      </w:r>
    </w:p>
    <w:p>
      <w:pPr>
        <w:pStyle w:val="BodyText"/>
        <w:rPr/>
      </w:pPr>
      <w:r>
        <w:rPr/>
        <w:t>The owner is responsible for application requirements and data classification, while the provider realizes and verifies the infrastructure contract. Application operators need to declare dynamic dependencies, scheduled jobs, partner services, administrative channels and recovery behavior. Undocumented application dependencies are not resolved by opening a shared subnet. A request may be admitted only when its dependency graph is satisfiable on an eligible platform.</w:t>
      </w:r>
    </w:p>
    <w:p>
      <w:pPr>
        <w:pStyle w:val="BodyText"/>
        <w:rPr/>
      </w:pPr>
      <w:r>
        <w:rPr/>
        <w:t>The WSD references rather than owns reusable Security Domains and provider profiles. Resource ownership records distinguish exclusively owned objects from borrowed services, attached domains and retained recovery copies. Destructive operations traverse that graph and do not remove resources with other active dependents. Logical identity survives an authorized site move or platform rebuild even when native VM, network, disk and address identifiers change.</w:t>
      </w:r>
    </w:p>
    <w:p>
      <w:pPr>
        <w:pStyle w:val="Requirement"/>
        <w:keepNext w:val="true"/>
        <w:rPr/>
      </w:pPr>
      <w:bookmarkStart w:id="47" w:name="req_WSD_001"/>
      <w:bookmarkEnd w:id="47"/>
      <w:r>
        <w:rPr>
          <w:rStyle w:val="ReqID"/>
        </w:rPr>
        <w:t xml:space="preserve">WSD-001  </w:t>
      </w:r>
      <w:r>
        <w:rPr/>
        <w:t>Every managed workload SHALL belong to a WSD or an explicitly documented equivalent lifecycle object.</w:t>
      </w:r>
    </w:p>
    <w:p>
      <w:pPr>
        <w:pStyle w:val="ReqMeta"/>
        <w:rPr/>
      </w:pPr>
      <w:r>
        <w:rPr/>
        <w:t xml:space="preserve">Service owner  |  Verify: </w:t>
      </w:r>
      <w:hyperlink w:anchor="test_CT_017">
        <w:r>
          <w:rPr>
            <w:rStyle w:val="Hyperlink"/>
          </w:rPr>
          <w:t>CT-017</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retained-v1.0</w:t>
      </w:r>
    </w:p>
    <w:p>
      <w:pPr>
        <w:pStyle w:val="Requirement"/>
        <w:keepNext w:val="true"/>
        <w:rPr/>
      </w:pPr>
      <w:bookmarkStart w:id="48" w:name="req_WSD_002"/>
      <w:bookmarkEnd w:id="48"/>
      <w:r>
        <w:rPr>
          <w:rStyle w:val="ReqID"/>
        </w:rPr>
        <w:t xml:space="preserve">WSD-002  </w:t>
      </w:r>
      <w:r>
        <w:rPr/>
        <w:t>The WSD SHALL contain security and connectivity intent; it SHALL NOT contain vendor-specific infrastructure identifiers in the consumer contract.</w:t>
      </w:r>
    </w:p>
    <w:p>
      <w:pPr>
        <w:pStyle w:val="ReqMeta"/>
        <w:rPr/>
      </w:pPr>
      <w:r>
        <w:rPr/>
        <w:t xml:space="preserve">Automation platform  |  Verify: </w:t>
      </w:r>
      <w:hyperlink w:anchor="test_CT_016">
        <w:r>
          <w:rPr>
            <w:rStyle w:val="Hyperlink"/>
          </w:rPr>
          <w:t>CT-016</w:t>
        </w:r>
      </w:hyperlink>
      <w:r>
        <w:rPr/>
        <w:t xml:space="preserve">, </w:t>
      </w:r>
      <w:hyperlink w:anchor="test_CT_017">
        <w:r>
          <w:rPr>
            <w:rStyle w:val="Hyperlink"/>
          </w:rPr>
          <w:t>CT-017</w:t>
        </w:r>
      </w:hyperlink>
      <w:r>
        <w:rPr/>
        <w:t xml:space="preserve">  |  Basis: </w:t>
      </w:r>
      <w:hyperlink w:anchor="S00">
        <w:r>
          <w:rPr>
            <w:rStyle w:val="Hyperlink"/>
          </w:rPr>
          <w:t>S00</w:t>
        </w:r>
      </w:hyperlink>
      <w:r>
        <w:rPr/>
        <w:t xml:space="preserve">  |  retained-v1.0</w:t>
      </w:r>
    </w:p>
    <w:p>
      <w:pPr>
        <w:pStyle w:val="Requirement"/>
        <w:keepNext w:val="true"/>
        <w:rPr/>
      </w:pPr>
      <w:bookmarkStart w:id="49" w:name="req_WSD_003"/>
      <w:bookmarkEnd w:id="49"/>
      <w:r>
        <w:rPr>
          <w:rStyle w:val="ReqID"/>
        </w:rPr>
        <w:t xml:space="preserve">WSD-003  </w:t>
      </w:r>
      <w:r>
        <w:rPr/>
        <w:t>A WSD SHALL declare compute, storage, identity, backup, recovery, exposure and evidence dependencies in addition to network intent; unresolved mandatory dependencies SHALL block Service Ready.</w:t>
      </w:r>
    </w:p>
    <w:p>
      <w:pPr>
        <w:pStyle w:val="ReqMeta"/>
        <w:rPr/>
      </w:pPr>
      <w:r>
        <w:rPr/>
        <w:t xml:space="preserve">Service owner  |  Verify: </w:t>
      </w:r>
      <w:hyperlink w:anchor="test_CT_062">
        <w:r>
          <w:rPr>
            <w:rStyle w:val="Hyperlink"/>
          </w:rPr>
          <w:t>CT-062</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Heading2"/>
        <w:numPr>
          <w:ilvl w:val="0"/>
          <w:numId w:val="7"/>
        </w:numPr>
        <w:rPr/>
      </w:pPr>
      <w:bookmarkStart w:id="50" w:name="__RefHeading___Toc13305_1645000677"/>
      <w:bookmarkStart w:id="51" w:name="sec_9"/>
      <w:bookmarkEnd w:id="50"/>
      <w:r>
        <w:rPr/>
        <w:t>Security Domains and site/platform instances</w:t>
      </w:r>
      <w:bookmarkEnd w:id="51"/>
    </w:p>
    <w:p>
      <w:pPr>
        <w:pStyle w:val="BodyText"/>
        <w:rPr/>
      </w:pPr>
      <w:r>
        <w:rPr/>
        <w:t>A logical Security Domain binds zone class, security authority, tenant/provider scope, address policy, allowed sharing and assurance. An instance binds that policy to one site, platform tuple and failure domain. Site-local instances are preferred; inter-site replication is an explicit controlled service. A domain’s policies are portable, but its implementation may be a VPC, routing context, scoped Tier-1 design or another tested construction.</w:t>
      </w:r>
    </w:p>
    <w:p>
      <w:pPr>
        <w:pStyle w:val="BodyText"/>
        <w:rPr/>
      </w:pPr>
      <w:r>
        <w:rPr/>
        <w:t>Do not equate “same zone class” with “same zone” or “same routing authority”. Two restricted-zone instances belonging to different tenants are independently isolated. Within an approved shared instance, microsegmentation protects WSDs and tiers. Stronger profiles can require dedicated instances, hosts, security contexts, storage scope and administration rather than only an extra router.</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160"/>
        <w:gridCol w:w="7415"/>
      </w:tblGrid>
      <w:tr>
        <w:trPr>
          <w:tblHeader w:val="true"/>
          <w:cantSplit w:val="true"/>
        </w:trPr>
        <w:tc>
          <w:tcPr>
            <w:tcW w:w="216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Identity</w:t>
            </w:r>
          </w:p>
        </w:tc>
        <w:tc>
          <w:tcPr>
            <w:tcW w:w="741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Immutable or controlled attributes</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Logical domain</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domainId, zoneClass, authorityRef, tenant/provider owner, assuranceRef, sharingPolicyRef</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Instance</w:t>
            </w:r>
          </w:p>
        </w:tc>
        <w:tc>
          <w:tcPr>
            <w:tcW w:w="741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instanceId, domainRef, siteRef, platformProfileRef, addressScopeRef, edgeAttachmentRefs</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Observed realization</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Native IDs, network/route-policy digest, active generation, enforcement locations, test/evidence references</w:t>
            </w:r>
          </w:p>
        </w:tc>
      </w:tr>
    </w:tbl>
    <w:p>
      <w:pPr>
        <w:pStyle w:val="Requirement"/>
        <w:keepNext w:val="true"/>
        <w:rPr/>
      </w:pPr>
      <w:bookmarkStart w:id="52" w:name="req_SDI_001"/>
      <w:bookmarkEnd w:id="52"/>
      <w:r>
        <w:rPr>
          <w:rStyle w:val="ReqID"/>
        </w:rPr>
        <w:t xml:space="preserve">SDI-001  </w:t>
      </w:r>
      <w:r>
        <w:rPr/>
        <w:t>A Security Domain Instance SHALL contain only networks authorized to share its routing/security authority.</w:t>
      </w:r>
    </w:p>
    <w:p>
      <w:pPr>
        <w:pStyle w:val="ReqMeta"/>
        <w:rPr/>
      </w:pPr>
      <w:r>
        <w:rPr/>
        <w:t xml:space="preserve">Security authority  |  Verify: </w:t>
      </w:r>
      <w:hyperlink w:anchor="test_CT_025">
        <w:r>
          <w:rPr>
            <w:rStyle w:val="Hyperlink"/>
          </w:rPr>
          <w:t>CT-025</w:t>
        </w:r>
      </w:hyperlink>
      <w:r>
        <w:rPr/>
        <w:t xml:space="preserve">, </w:t>
      </w:r>
      <w:hyperlink w:anchor="test_CT_035">
        <w:r>
          <w:rPr>
            <w:rStyle w:val="Hyperlink"/>
          </w:rPr>
          <w:t>CT-035</w:t>
        </w:r>
      </w:hyperlink>
      <w:r>
        <w:rPr/>
        <w:t xml:space="preserve">  |  Basis: </w:t>
      </w:r>
      <w:hyperlink w:anchor="S00">
        <w:r>
          <w:rPr>
            <w:rStyle w:val="Hyperlink"/>
          </w:rPr>
          <w:t>S00</w:t>
        </w:r>
      </w:hyperlink>
      <w:r>
        <w:rPr/>
        <w:t xml:space="preserve">  |  retained-v1.0</w:t>
      </w:r>
    </w:p>
    <w:p>
      <w:pPr>
        <w:pStyle w:val="Requirement"/>
        <w:keepNext w:val="true"/>
        <w:rPr/>
      </w:pPr>
      <w:bookmarkStart w:id="53" w:name="req_SDI_002"/>
      <w:bookmarkEnd w:id="53"/>
      <w:r>
        <w:rPr>
          <w:rStyle w:val="ReqID"/>
        </w:rPr>
        <w:t xml:space="preserve">SDI-002  </w:t>
      </w:r>
      <w:r>
        <w:rPr/>
        <w:t>Sharing a zone class SHALL NOT imply reachability between independent Security Domain Instances.</w:t>
      </w:r>
    </w:p>
    <w:p>
      <w:pPr>
        <w:pStyle w:val="ReqMeta"/>
        <w:rPr/>
      </w:pPr>
      <w:r>
        <w:rPr/>
        <w:t xml:space="preserve">Platform engineering  |  Verify: </w:t>
      </w:r>
      <w:hyperlink w:anchor="test_CT_001">
        <w:r>
          <w:rPr>
            <w:rStyle w:val="Hyperlink"/>
          </w:rPr>
          <w:t>CT-001</w:t>
        </w:r>
      </w:hyperlink>
      <w:r>
        <w:rPr/>
        <w:t xml:space="preserve">, </w:t>
      </w:r>
      <w:hyperlink w:anchor="test_CT_002">
        <w:r>
          <w:rPr>
            <w:rStyle w:val="Hyperlink"/>
          </w:rPr>
          <w:t>CT-002</w:t>
        </w:r>
      </w:hyperlink>
      <w:r>
        <w:rPr/>
        <w:t xml:space="preserve">, </w:t>
      </w:r>
      <w:hyperlink w:anchor="test_CT_021">
        <w:r>
          <w:rPr>
            <w:rStyle w:val="Hyperlink"/>
          </w:rPr>
          <w:t>CT-021</w:t>
        </w:r>
      </w:hyperlink>
      <w:r>
        <w:rPr/>
        <w:t xml:space="preserve">  |  Basis: </w:t>
      </w:r>
      <w:hyperlink w:anchor="S00">
        <w:r>
          <w:rPr>
            <w:rStyle w:val="Hyperlink"/>
          </w:rPr>
          <w:t>S00</w:t>
        </w:r>
      </w:hyperlink>
      <w:r>
        <w:rPr/>
        <w:t xml:space="preserve">  |  retained-v1.0</w:t>
      </w:r>
    </w:p>
    <w:p>
      <w:pPr>
        <w:pStyle w:val="Requirement"/>
        <w:keepNext w:val="true"/>
        <w:rPr/>
      </w:pPr>
      <w:bookmarkStart w:id="54" w:name="req_SDI_003"/>
      <w:bookmarkEnd w:id="54"/>
      <w:r>
        <w:rPr>
          <w:rStyle w:val="ReqID"/>
        </w:rPr>
        <w:t xml:space="preserve">SDI-003  </w:t>
      </w:r>
      <w:r>
        <w:rPr/>
        <w:t>Dedicated Security Domain Instances SHOULD be available for workloads whose assurance profile or threat model requires stronger isolation than shared logical segmentation.</w:t>
      </w:r>
    </w:p>
    <w:p>
      <w:pPr>
        <w:pStyle w:val="ReqMeta"/>
        <w:rPr/>
      </w:pPr>
      <w:r>
        <w:rPr/>
        <w:t xml:space="preserve">Platform engineering  |  Verify: </w:t>
      </w:r>
      <w:hyperlink w:anchor="test_CT_018">
        <w:r>
          <w:rPr>
            <w:rStyle w:val="Hyperlink"/>
          </w:rPr>
          <w:t>CT-018</w:t>
        </w:r>
      </w:hyperlink>
      <w:r>
        <w:rPr/>
        <w:t xml:space="preserve">, </w:t>
      </w:r>
      <w:hyperlink w:anchor="test_CT_035">
        <w:r>
          <w:rPr>
            <w:rStyle w:val="Hyperlink"/>
          </w:rPr>
          <w:t>CT-035</w:t>
        </w:r>
      </w:hyperlink>
      <w:r>
        <w:rPr/>
        <w:t xml:space="preserve">  |  Basis: </w:t>
      </w:r>
      <w:hyperlink w:anchor="S00">
        <w:r>
          <w:rPr>
            <w:rStyle w:val="Hyperlink"/>
          </w:rPr>
          <w:t>S00</w:t>
        </w:r>
      </w:hyperlink>
      <w:r>
        <w:rPr/>
        <w:t xml:space="preserve">  |  retained-v1.0</w:t>
      </w:r>
    </w:p>
    <w:p>
      <w:pPr>
        <w:pStyle w:val="Requirement"/>
        <w:keepNext w:val="true"/>
        <w:rPr/>
      </w:pPr>
      <w:bookmarkStart w:id="55" w:name="req_SDI_004"/>
      <w:bookmarkEnd w:id="55"/>
      <w:r>
        <w:rPr>
          <w:rStyle w:val="ReqID"/>
        </w:rPr>
        <w:t xml:space="preserve">SDI-004  </w:t>
      </w:r>
      <w:r>
        <w:rPr/>
        <w:t>Each Security Domain Instance SHALL reference a logical domain and a qualified site/platform realization; membership and sharing changes SHALL be assessed as security-significant changes.</w:t>
      </w:r>
    </w:p>
    <w:p>
      <w:pPr>
        <w:pStyle w:val="ReqMeta"/>
        <w:rPr/>
      </w:pPr>
      <w:r>
        <w:rPr/>
        <w:t xml:space="preserve">Security authority  |  Verify: </w:t>
      </w:r>
      <w:hyperlink w:anchor="test_CT_025">
        <w:r>
          <w:rPr>
            <w:rStyle w:val="Hyperlink"/>
          </w:rPr>
          <w:t>CT-025</w:t>
        </w:r>
      </w:hyperlink>
      <w:r>
        <w:rPr/>
        <w:t xml:space="preserve">, </w:t>
      </w:r>
      <w:hyperlink w:anchor="test_CT_035">
        <w:r>
          <w:rPr>
            <w:rStyle w:val="Hyperlink"/>
          </w:rPr>
          <w:t>CT-035</w:t>
        </w:r>
      </w:hyperlink>
      <w:r>
        <w:rPr/>
        <w:t xml:space="preserve">, </w:t>
      </w:r>
      <w:hyperlink w:anchor="test_CT_048">
        <w:r>
          <w:rPr>
            <w:rStyle w:val="Hyperlink"/>
          </w:rPr>
          <w:t>CT-048</w:t>
        </w:r>
      </w:hyperlink>
      <w:r>
        <w:rPr/>
        <w:t xml:space="preserve">  |  Basis: </w:t>
      </w:r>
      <w:hyperlink w:anchor="S00">
        <w:r>
          <w:rPr>
            <w:rStyle w:val="Hyperlink"/>
          </w:rPr>
          <w:t>S00</w:t>
        </w:r>
      </w:hyperlink>
      <w:r>
        <w:rPr/>
        <w:t xml:space="preserve">  |  new-v1.1</w:t>
      </w:r>
    </w:p>
    <w:p>
      <w:pPr>
        <w:pStyle w:val="Heading2"/>
        <w:numPr>
          <w:ilvl w:val="0"/>
          <w:numId w:val="7"/>
        </w:numPr>
        <w:rPr/>
      </w:pPr>
      <w:bookmarkStart w:id="56" w:name="__RefHeading___Toc13307_1645000677"/>
      <w:bookmarkStart w:id="57" w:name="sec_10"/>
      <w:bookmarkEnd w:id="56"/>
      <w:r>
        <w:rPr/>
        <w:t>Zone classes, external domains and adjacency</w:t>
      </w:r>
      <w:bookmarkEnd w:id="57"/>
    </w:p>
    <w:p>
      <w:pPr>
        <w:pStyle w:val="BodyText"/>
        <w:rPr/>
      </w:pPr>
      <w:r>
        <w:rPr/>
        <w:t>The controlled workload-zone vocabulary is PAZ, OZ, RZ and HRZ; MZ is a provider-controlled management zone. ZIP is a boundary relationship, not a workload zone. PZ and REZ are represented through ExternalDomain objects because their authority differs from the managed internal domain. REZ means Restricted Extranet Zone, not “remote extranet”; it requires a defined trusted-partner relationship. ITSP.80.022 treats ordinary extranet access through PAZ differently from REZ, and does not label connections between GC departments/agencies as REZ. [</w:t>
      </w:r>
      <w:hyperlink w:anchor="S01">
        <w:r>
          <w:rPr>
            <w:rStyle w:val="Hyperlink"/>
          </w:rPr>
          <w:t>S01</w:t>
        </w:r>
      </w:hyperlink>
      <w:r>
        <w:rPr/>
        <w:t>, sections 2.1.6 and 3.2.2]</w:t>
      </w:r>
    </w:p>
    <w:p>
      <w:pPr>
        <w:pStyle w:val="BodyText"/>
        <w:rPr/>
      </w:pPr>
      <w:r>
        <w:rPr/>
        <w:t>The following is this handbook’s conservative baseline adjacency policy, not a reproduction of every possible government topology. “ZIP” authorizes creation of a jointly governed boundary only; default traffic remains deny. A service that terminates a connection and originates a separate downstream connection is modeled as two flows, not an implicit end-to-end route through an intermediate zone. Non-baseline adjacencies require an explicit architecture and security decision.</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374"/>
        <w:gridCol w:w="3314"/>
        <w:gridCol w:w="3888"/>
      </w:tblGrid>
      <w:tr>
        <w:trPr>
          <w:tblHeader w:val="true"/>
          <w:cantSplit w:val="true"/>
        </w:trPr>
        <w:tc>
          <w:tcPr>
            <w:tcW w:w="237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Relationship</w:t>
            </w:r>
          </w:p>
        </w:tc>
        <w:tc>
          <w:tcPr>
            <w:tcW w:w="331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Baseline realization</w:t>
            </w:r>
          </w:p>
        </w:tc>
        <w:tc>
          <w:tcPr>
            <w:tcW w:w="388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condition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PZ → PAZ</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Public boundary ZIP and declared ingress/egress service</w:t>
            </w:r>
          </w:p>
        </w:tc>
        <w:tc>
          <w:tcPr>
            <w:tcW w:w="38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Exposure profile, certificates/DNS, owner and telemetry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PAZ ↔ OZ</w:t>
            </w:r>
          </w:p>
        </w:tc>
        <w:tc>
          <w:tcPr>
            <w:tcW w:w="33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Explicit data-path ZIP</w:t>
            </w:r>
          </w:p>
        </w:tc>
        <w:tc>
          <w:tcPr>
            <w:tcW w:w="38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Approved application flow; no unrestricted internal transit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OZ ↔ RZ</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Explicit data-path ZIP</w:t>
            </w:r>
          </w:p>
        </w:tc>
        <w:tc>
          <w:tcPr>
            <w:tcW w:w="38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Joint authority and constrained services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RZ ↔ HRZ</w:t>
            </w:r>
          </w:p>
        </w:tc>
        <w:tc>
          <w:tcPr>
            <w:tcW w:w="33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Dedicated/high-assurance-qualified ZIP</w:t>
            </w:r>
          </w:p>
        </w:tc>
        <w:tc>
          <w:tcPr>
            <w:tcW w:w="38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Specific threat/control analysis; HRZ does not enable classified scope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REZ ↔ OZ or RZ</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Partner boundary ZIP</w:t>
            </w:r>
          </w:p>
        </w:tc>
        <w:tc>
          <w:tcPr>
            <w:tcW w:w="38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Authenticated endpoints, agreement and appropriate trust analysis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PZ → OZ/RZ/HRZ or MZ</w:t>
            </w:r>
          </w:p>
        </w:tc>
        <w:tc>
          <w:tcPr>
            <w:tcW w:w="33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Prohibited direct attachment</w:t>
            </w:r>
          </w:p>
        </w:tc>
        <w:tc>
          <w:tcPr>
            <w:tcW w:w="38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Use the authorized public/service or remote-management path</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MZ ↔ managed target</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Management-specific ZIP/control path</w:t>
            </w:r>
          </w:p>
        </w:tc>
        <w:tc>
          <w:tcPr>
            <w:tcW w:w="38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Dedicated privileged administration; not workload transit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Same class, different domain</w:t>
            </w:r>
          </w:p>
        </w:tc>
        <w:tc>
          <w:tcPr>
            <w:tcW w:w="33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Explicit boundary/service relation</w:t>
            </w:r>
          </w:p>
        </w:tc>
        <w:tc>
          <w:tcPr>
            <w:tcW w:w="38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Independent ownership and default deny still apply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Other adjacency</w:t>
            </w:r>
          </w:p>
        </w:tc>
        <w:tc>
          <w:tcPr>
            <w:tcW w:w="33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Not enabled by the base profile</w:t>
            </w:r>
          </w:p>
        </w:tc>
        <w:tc>
          <w:tcPr>
            <w:tcW w:w="38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Approved profile extension and complete enforcement evidence</w:t>
            </w:r>
          </w:p>
        </w:tc>
      </w:tr>
    </w:tbl>
    <w:p>
      <w:pPr>
        <w:pStyle w:val="BodyText"/>
        <w:rPr/>
      </w:pPr>
      <w:r>
        <w:rPr/>
        <w:t>An ExternalDomain records type, authority, trust basis, agreements, authenticated endpoints, location constraints, approved service directions and revocation behavior. “Enterprise” and “cloud interconnect” describe connection purpose, not automatic trust. A private circuit does not convert a partner into an internal tenant or create a route to every tenant. The controller validates both graph topology and the effective forwarding/enforcement paths.</w:t>
      </w:r>
    </w:p>
    <w:p>
      <w:pPr>
        <w:pStyle w:val="Requirement"/>
        <w:keepNext w:val="true"/>
        <w:rPr/>
      </w:pPr>
      <w:bookmarkStart w:id="58" w:name="req_ZONE_001"/>
      <w:bookmarkEnd w:id="58"/>
      <w:r>
        <w:rPr>
          <w:rStyle w:val="ReqID"/>
        </w:rPr>
        <w:t xml:space="preserve">ZONE-001  </w:t>
      </w:r>
      <w:r>
        <w:rPr/>
        <w:t>Internal instance zoneClass SHALL be limited to PAZ, OZ, RZ, HRZ or provider-controlled MZ; external PZ/REZ relationships SHALL use ExternalDomain with explicit authority and trust metadata.</w:t>
      </w:r>
    </w:p>
    <w:p>
      <w:pPr>
        <w:pStyle w:val="ReqMeta"/>
        <w:rPr/>
      </w:pPr>
      <w:r>
        <w:rPr/>
        <w:t xml:space="preserve">Security authority  |  Verify: </w:t>
      </w:r>
      <w:hyperlink w:anchor="test_CT_017">
        <w:r>
          <w:rPr>
            <w:rStyle w:val="Hyperlink"/>
          </w:rPr>
          <w:t>CT-017</w:t>
        </w:r>
      </w:hyperlink>
      <w:r>
        <w:rPr/>
        <w:t xml:space="preserve">, </w:t>
      </w:r>
      <w:hyperlink w:anchor="test_CT_025">
        <w:r>
          <w:rPr>
            <w:rStyle w:val="Hyperlink"/>
          </w:rPr>
          <w:t>CT-025</w:t>
        </w:r>
      </w:hyperlink>
      <w:r>
        <w:rPr/>
        <w:t xml:space="preserve">, </w:t>
      </w:r>
      <w:hyperlink w:anchor="test_CT_076">
        <w:r>
          <w:rPr>
            <w:rStyle w:val="Hyperlink"/>
          </w:rPr>
          <w:t>CT-076</w:t>
        </w:r>
      </w:hyperlink>
      <w:r>
        <w:rPr/>
        <w:t xml:space="preserve">  |  Basis: </w:t>
      </w:r>
      <w:hyperlink w:anchor="S01">
        <w:r>
          <w:rPr>
            <w:rStyle w:val="Hyperlink"/>
          </w:rPr>
          <w:t>S01</w:t>
        </w:r>
      </w:hyperlink>
      <w:r>
        <w:rPr/>
        <w:t xml:space="preserve"> / </w:t>
      </w:r>
      <w:hyperlink w:anchor="S02">
        <w:r>
          <w:rPr>
            <w:rStyle w:val="Hyperlink"/>
          </w:rPr>
          <w:t>S02</w:t>
        </w:r>
      </w:hyperlink>
      <w:r>
        <w:rPr/>
        <w:t xml:space="preserve">  |  new-v1.1</w:t>
      </w:r>
    </w:p>
    <w:p>
      <w:pPr>
        <w:pStyle w:val="Requirement"/>
        <w:keepNext w:val="true"/>
        <w:rPr/>
      </w:pPr>
      <w:bookmarkStart w:id="59" w:name="req_ZONE_002"/>
      <w:bookmarkEnd w:id="59"/>
      <w:r>
        <w:rPr>
          <w:rStyle w:val="ReqID"/>
        </w:rPr>
        <w:t xml:space="preserve">ZONE-002  </w:t>
      </w:r>
      <w:r>
        <w:rPr/>
        <w:t>Every requested adjacency SHALL be evaluated against the versioned zone policy before allocation; being permitted to create a ZIP SHALL NOT grant any traffic by default.</w:t>
      </w:r>
    </w:p>
    <w:p>
      <w:pPr>
        <w:pStyle w:val="ReqMeta"/>
        <w:rPr/>
      </w:pPr>
      <w:r>
        <w:rPr/>
        <w:t xml:space="preserve">Automation platform  |  Verify: </w:t>
      </w:r>
      <w:hyperlink w:anchor="test_CT_025">
        <w:r>
          <w:rPr>
            <w:rStyle w:val="Hyperlink"/>
          </w:rPr>
          <w:t>CT-025</w:t>
        </w:r>
      </w:hyperlink>
      <w:r>
        <w:rPr/>
        <w:t xml:space="preserve">, </w:t>
      </w:r>
      <w:hyperlink w:anchor="test_CT_066">
        <w:r>
          <w:rPr>
            <w:rStyle w:val="Hyperlink"/>
          </w:rPr>
          <w:t>CT-066</w:t>
        </w:r>
      </w:hyperlink>
      <w:r>
        <w:rPr/>
        <w:t xml:space="preserve">  |  Basis: </w:t>
      </w:r>
      <w:hyperlink w:anchor="S01">
        <w:r>
          <w:rPr>
            <w:rStyle w:val="Hyperlink"/>
          </w:rPr>
          <w:t>S01</w:t>
        </w:r>
      </w:hyperlink>
      <w:r>
        <w:rPr/>
        <w:t xml:space="preserve"> / </w:t>
      </w:r>
      <w:hyperlink w:anchor="S02">
        <w:r>
          <w:rPr>
            <w:rStyle w:val="Hyperlink"/>
          </w:rPr>
          <w:t>S02</w:t>
        </w:r>
      </w:hyperlink>
      <w:r>
        <w:rPr/>
        <w:t xml:space="preserve">  |  new-v1.1</w:t>
      </w:r>
    </w:p>
    <w:p>
      <w:pPr>
        <w:pStyle w:val="Heading2"/>
        <w:numPr>
          <w:ilvl w:val="0"/>
          <w:numId w:val="7"/>
        </w:numPr>
        <w:rPr/>
      </w:pPr>
      <w:bookmarkStart w:id="60" w:name="__RefHeading___Toc13309_1645000677"/>
      <w:bookmarkStart w:id="61" w:name="sec_11"/>
      <w:bookmarkEnd w:id="60"/>
      <w:r>
        <w:rPr/>
        <w:t>ZIP architecture and joint boundary authority</w:t>
      </w:r>
      <w:bookmarkEnd w:id="61"/>
    </w:p>
    <w:p>
      <w:pPr>
        <w:pStyle w:val="BodyText"/>
        <w:rPr/>
      </w:pPr>
      <w:r>
        <w:rPr/>
        <w:t>A ZIP is the logical controlled interface connecting two zones. It can be realized by a qualified composition of routing, firewalling, service insertion, distributed enforcement, authentication, inspection and telemetry; it is not synonymous with a single appliance. The normal implementation uses an explicit security edge, but a distributed implementation is eligible only when it proves every required ZIP function, authority boundary, failure behavior and bypass constraint. A router, VPC or distributed firewall alone is not automatically a ZIP. [</w:t>
      </w:r>
      <w:hyperlink w:anchor="S01">
        <w:r>
          <w:rPr>
            <w:rStyle w:val="Hyperlink"/>
          </w:rPr>
          <w:t>S01</w:t>
        </w:r>
      </w:hyperlink>
      <w:r>
        <w:rPr/>
        <w:t xml:space="preserve">, Annex F; </w:t>
      </w:r>
      <w:hyperlink w:anchor="S02">
        <w:r>
          <w:rPr>
            <w:rStyle w:val="Hyperlink"/>
          </w:rPr>
          <w:t>S02</w:t>
        </w:r>
      </w:hyperlink>
      <w:r>
        <w:rPr/>
        <w:t>, cloud ZIP mapping]</w:t>
      </w:r>
    </w:p>
    <w:p>
      <w:pPr>
        <w:pStyle w:val="BodyText"/>
        <w:rPr/>
      </w:pPr>
      <w:r>
        <w:rPr/>
        <w:t>Each ZIP binds exactly two adjacent domain/instance or external-domain endpoints and identifies the joint authority responsible for the boundary. That authority approves permitted services, directionality, inspection needs, management paths, security posture changes and evidence. A shared physical edge may host several logical ZIPs only if their policy, routing, identities, management privileges, logs and failure effects remain within the accepted profile.</w:t>
      </w:r>
    </w:p>
    <w:p>
      <w:pPr>
        <w:pStyle w:val="Normal"/>
        <w:keepNext w:val="true"/>
        <w:jc w:val="center"/>
        <w:rPr/>
      </w:pPr>
      <w:r>
        <w:rPr/>
        <w:drawing>
          <wp:inline distT="0" distB="0" distL="0" distR="0">
            <wp:extent cx="5943600" cy="3538220"/>
            <wp:effectExtent l="0" t="0" r="0" b="0"/>
            <wp:docPr id="2" name="Picture 2" descr="Two independent domain instances communicate only through their declared logical ZIP. A partner/public external domain has a separate boundary. An authorized management path administers the security service without becoming a workload transit path. A shared physical cluster may host independent ZIP contexts but does not merge their trust domains." title="Boundary policy is separate from transport and shared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wo independent domain instances communicate only through their declared logical ZIP. A partner/public external domain has a separate boundary. An authorized management path administers the security service without becoming a workload transit path. A shared physical cluster may host independent ZIP contexts but does not merge their trust domains." title="Boundary policy is separate from transport and shared infrastructure"/>
                    <pic:cNvPicPr>
                      <a:picLocks noChangeAspect="1" noChangeArrowheads="1"/>
                    </pic:cNvPicPr>
                  </pic:nvPicPr>
                  <pic:blipFill>
                    <a:blip r:embed="rId3"/>
                    <a:stretch>
                      <a:fillRect/>
                    </a:stretch>
                  </pic:blipFill>
                  <pic:spPr bwMode="auto">
                    <a:xfrm>
                      <a:off x="0" y="0"/>
                      <a:ext cx="5943600" cy="3538220"/>
                    </a:xfrm>
                    <a:prstGeom prst="rect">
                      <a:avLst/>
                    </a:prstGeom>
                    <a:noFill/>
                  </pic:spPr>
                </pic:pic>
              </a:graphicData>
            </a:graphic>
          </wp:inline>
        </w:drawing>
      </w:r>
    </w:p>
    <w:p>
      <w:pPr>
        <w:pStyle w:val="Caption"/>
        <w:jc w:val="center"/>
        <w:rPr/>
      </w:pPr>
      <w:r>
        <w:rPr/>
        <w:t xml:space="preserve">Figure </w:t>
      </w:r>
      <w:bookmarkStart w:id="62" w:name="fig_zip"/>
      <w:r>
        <w:rPr/>
        <w:fldChar w:fldCharType="begin"/>
      </w:r>
      <w:r>
        <w:rPr/>
        <w:instrText xml:space="preserve"> SEQ Figure \* ARABIC </w:instrText>
      </w:r>
      <w:r>
        <w:rPr/>
        <w:fldChar w:fldCharType="separate"/>
      </w:r>
      <w:r>
        <w:rPr/>
        <w:t>2</w:t>
      </w:r>
      <w:r>
        <w:rPr/>
        <w:fldChar w:fldCharType="end"/>
      </w:r>
      <w:bookmarkEnd w:id="62"/>
      <w:r>
        <w:rPr/>
        <w:t>. Boundary policy is separate from transport and shared infrastructure</w:t>
      </w:r>
    </w:p>
    <w:p>
      <w:pPr>
        <w:pStyle w:val="BodyText"/>
        <w:rPr/>
      </w:pPr>
      <w:r>
        <w:rPr/>
        <w:t>Qualify enforcement for same-host traffic, direct native routing, connected routes on shared attachments, asymmetric return paths, source NAT, failover and stale sessions. Required functions include access control, authentication/integrity where applicable, malformed-protocol handling, required inspection/sensors, attributable logging and a heightened-security posture. Distinguish required inspection from traffic that remains end-to-end encrypted; certificate interception requires a specifically authorized design rather than an assumption that every ZIP decrypts traffic.</w:t>
      </w:r>
    </w:p>
    <w:p>
      <w:pPr>
        <w:pStyle w:val="Requirement"/>
        <w:keepNext w:val="true"/>
        <w:rPr/>
      </w:pPr>
      <w:bookmarkStart w:id="63" w:name="req_ZIP_001"/>
      <w:bookmarkEnd w:id="63"/>
      <w:r>
        <w:rPr>
          <w:rStyle w:val="ReqID"/>
        </w:rPr>
        <w:t xml:space="preserve">ZIP-001  </w:t>
      </w:r>
      <w:r>
        <w:rPr/>
        <w:t>All inter-zone network paths SHALL traverse the applicable ZIP/security edge.</w:t>
      </w:r>
    </w:p>
    <w:p>
      <w:pPr>
        <w:pStyle w:val="ReqMeta"/>
        <w:rPr/>
      </w:pPr>
      <w:r>
        <w:rPr/>
        <w:t xml:space="preserve">Security-edge operations  |  Verify: </w:t>
      </w:r>
      <w:hyperlink w:anchor="test_CT_003">
        <w:r>
          <w:rPr>
            <w:rStyle w:val="Hyperlink"/>
          </w:rPr>
          <w:t>CT-003</w:t>
        </w:r>
      </w:hyperlink>
      <w:r>
        <w:rPr/>
        <w:t xml:space="preserve">, </w:t>
      </w:r>
      <w:hyperlink w:anchor="test_CT_080">
        <w:r>
          <w:rPr>
            <w:rStyle w:val="Hyperlink"/>
          </w:rPr>
          <w:t>CT-080</w:t>
        </w:r>
      </w:hyperlink>
      <w:r>
        <w:rPr/>
        <w:t xml:space="preserve">  |  Basis: </w:t>
      </w:r>
      <w:hyperlink w:anchor="S00">
        <w:r>
          <w:rPr>
            <w:rStyle w:val="Hyperlink"/>
          </w:rPr>
          <w:t>S00</w:t>
        </w:r>
      </w:hyperlink>
      <w:r>
        <w:rPr/>
        <w:t xml:space="preserve">  |  retained-v1.0</w:t>
      </w:r>
    </w:p>
    <w:p>
      <w:pPr>
        <w:pStyle w:val="Requirement"/>
        <w:keepNext w:val="true"/>
        <w:rPr/>
      </w:pPr>
      <w:bookmarkStart w:id="64" w:name="req_ZIP_002"/>
      <w:bookmarkEnd w:id="64"/>
      <w:r>
        <w:rPr>
          <w:rStyle w:val="ReqID"/>
        </w:rPr>
        <w:t xml:space="preserve">ZIP-002  </w:t>
      </w:r>
      <w:r>
        <w:rPr/>
        <w:t>A ZIP SHALL identify exactly two authorized adjacent endpoints, each an internal domain instance or approved external/management domain, and SHALL NOT create a general-purpose third-zone transit path.</w:t>
      </w:r>
    </w:p>
    <w:p>
      <w:pPr>
        <w:pStyle w:val="ReqMeta"/>
        <w:rPr/>
      </w:pPr>
      <w:r>
        <w:rPr/>
        <w:t xml:space="preserve">Security authority  |  Verify: </w:t>
      </w:r>
      <w:hyperlink w:anchor="test_CT_023">
        <w:r>
          <w:rPr>
            <w:rStyle w:val="Hyperlink"/>
          </w:rPr>
          <w:t>CT-023</w:t>
        </w:r>
      </w:hyperlink>
      <w:r>
        <w:rPr/>
        <w:t xml:space="preserve">, </w:t>
      </w:r>
      <w:hyperlink w:anchor="test_CT_025">
        <w:r>
          <w:rPr>
            <w:rStyle w:val="Hyperlink"/>
          </w:rPr>
          <w:t>CT-025</w:t>
        </w:r>
      </w:hyperlink>
      <w:r>
        <w:rPr/>
        <w:t xml:space="preserve">  |  Basis: </w:t>
      </w:r>
      <w:hyperlink w:anchor="S00">
        <w:r>
          <w:rPr>
            <w:rStyle w:val="Hyperlink"/>
          </w:rPr>
          <w:t>S00</w:t>
        </w:r>
      </w:hyperlink>
      <w:r>
        <w:rPr/>
        <w:t xml:space="preserve"> / </w:t>
      </w:r>
      <w:hyperlink w:anchor="S01">
        <w:r>
          <w:rPr>
            <w:rStyle w:val="Hyperlink"/>
          </w:rPr>
          <w:t>S01</w:t>
        </w:r>
      </w:hyperlink>
      <w:r>
        <w:rPr/>
        <w:t xml:space="preserve"> / </w:t>
      </w:r>
      <w:hyperlink w:anchor="S02">
        <w:r>
          <w:rPr>
            <w:rStyle w:val="Hyperlink"/>
          </w:rPr>
          <w:t>S02</w:t>
        </w:r>
      </w:hyperlink>
      <w:r>
        <w:rPr/>
        <w:t xml:space="preserve">  |  revised-v1.0</w:t>
      </w:r>
    </w:p>
    <w:p>
      <w:pPr>
        <w:pStyle w:val="Requirement"/>
        <w:keepNext w:val="true"/>
        <w:rPr/>
      </w:pPr>
      <w:bookmarkStart w:id="65" w:name="req_ZIP_003"/>
      <w:bookmarkEnd w:id="65"/>
      <w:r>
        <w:rPr>
          <w:rStyle w:val="ReqID"/>
        </w:rPr>
        <w:t xml:space="preserve">ZIP-003  </w:t>
      </w:r>
      <w:r>
        <w:rPr/>
        <w:t>Default inter-zone policy SHALL be deny; allowed flows SHALL be generated from approved Flow Intentions and Service Bindings.</w:t>
      </w:r>
    </w:p>
    <w:p>
      <w:pPr>
        <w:pStyle w:val="ReqMeta"/>
        <w:rPr/>
      </w:pPr>
      <w:r>
        <w:rPr/>
        <w:t xml:space="preserve">Security-edge operations  |  Verify: </w:t>
      </w:r>
      <w:hyperlink w:anchor="test_CT_007">
        <w:r>
          <w:rPr>
            <w:rStyle w:val="Hyperlink"/>
          </w:rPr>
          <w:t>CT-007</w:t>
        </w:r>
      </w:hyperlink>
      <w:r>
        <w:rPr/>
        <w:t xml:space="preserve">, </w:t>
      </w:r>
      <w:hyperlink w:anchor="test_CT_025">
        <w:r>
          <w:rPr>
            <w:rStyle w:val="Hyperlink"/>
          </w:rPr>
          <w:t>CT-025</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retained-v1.0</w:t>
      </w:r>
    </w:p>
    <w:p>
      <w:pPr>
        <w:pStyle w:val="Requirement"/>
        <w:keepNext w:val="true"/>
        <w:rPr/>
      </w:pPr>
      <w:bookmarkStart w:id="66" w:name="req_ZIP_004"/>
      <w:bookmarkEnd w:id="66"/>
      <w:r>
        <w:rPr>
          <w:rStyle w:val="ReqID"/>
        </w:rPr>
        <w:t xml:space="preserve">ZIP-004  </w:t>
      </w:r>
      <w:r>
        <w:rPr/>
        <w:t>ZIP management traffic SHALL be segregated from operational traffic.</w:t>
      </w:r>
    </w:p>
    <w:p>
      <w:pPr>
        <w:pStyle w:val="ReqMeta"/>
        <w:rPr/>
      </w:pPr>
      <w:r>
        <w:rPr/>
        <w:t xml:space="preserve">Security-edge operations  |  Verify: </w:t>
      </w:r>
      <w:hyperlink w:anchor="test_CT_004">
        <w:r>
          <w:rPr>
            <w:rStyle w:val="Hyperlink"/>
          </w:rPr>
          <w:t>CT-004</w:t>
        </w:r>
      </w:hyperlink>
      <w:r>
        <w:rPr/>
        <w:t xml:space="preserve">, </w:t>
      </w:r>
      <w:hyperlink w:anchor="test_CT_026">
        <w:r>
          <w:rPr>
            <w:rStyle w:val="Hyperlink"/>
          </w:rPr>
          <w:t>CT-026</w:t>
        </w:r>
      </w:hyperlink>
      <w:r>
        <w:rPr/>
        <w:t xml:space="preserve">  |  Basis: </w:t>
      </w:r>
      <w:hyperlink w:anchor="S00">
        <w:r>
          <w:rPr>
            <w:rStyle w:val="Hyperlink"/>
          </w:rPr>
          <w:t>S00</w:t>
        </w:r>
      </w:hyperlink>
      <w:r>
        <w:rPr/>
        <w:t xml:space="preserve">  |  retained-v1.0</w:t>
      </w:r>
    </w:p>
    <w:p>
      <w:pPr>
        <w:pStyle w:val="Requirement"/>
        <w:keepNext w:val="true"/>
        <w:rPr/>
      </w:pPr>
      <w:bookmarkStart w:id="67" w:name="req_ZIP_005"/>
      <w:bookmarkEnd w:id="67"/>
      <w:r>
        <w:rPr>
          <w:rStyle w:val="ReqID"/>
        </w:rPr>
        <w:t xml:space="preserve">ZIP-005  </w:t>
      </w:r>
      <w:r>
        <w:rPr/>
        <w:t>Data-path ZIPs and management-path ZIPs SHALL be governed and deployed as distinct security services; shared virtualization SHALL only be used where the applicable assurance analysis supports it.</w:t>
      </w:r>
    </w:p>
    <w:p>
      <w:pPr>
        <w:pStyle w:val="ReqMeta"/>
        <w:rPr/>
      </w:pPr>
      <w:r>
        <w:rPr/>
        <w:t xml:space="preserve">Security authority  |  Verify: </w:t>
      </w:r>
      <w:hyperlink w:anchor="test_CT_026">
        <w:r>
          <w:rPr>
            <w:rStyle w:val="Hyperlink"/>
          </w:rPr>
          <w:t>CT-026</w:t>
        </w:r>
      </w:hyperlink>
      <w:r>
        <w:rPr/>
        <w:t xml:space="preserve">, </w:t>
      </w:r>
      <w:hyperlink w:anchor="test_CT_035">
        <w:r>
          <w:rPr>
            <w:rStyle w:val="Hyperlink"/>
          </w:rPr>
          <w:t>CT-035</w:t>
        </w:r>
      </w:hyperlink>
      <w:r>
        <w:rPr/>
        <w:t xml:space="preserve">, </w:t>
      </w:r>
      <w:hyperlink w:anchor="test_CT_080">
        <w:r>
          <w:rPr>
            <w:rStyle w:val="Hyperlink"/>
          </w:rPr>
          <w:t>CT-080</w:t>
        </w:r>
      </w:hyperlink>
      <w:r>
        <w:rPr/>
        <w:t xml:space="preserve">  |  Basis: </w:t>
      </w:r>
      <w:hyperlink w:anchor="S00">
        <w:r>
          <w:rPr>
            <w:rStyle w:val="Hyperlink"/>
          </w:rPr>
          <w:t>S00</w:t>
        </w:r>
      </w:hyperlink>
      <w:r>
        <w:rPr/>
        <w:t xml:space="preserve">  |  retained-v1.0</w:t>
      </w:r>
    </w:p>
    <w:p>
      <w:pPr>
        <w:pStyle w:val="Requirement"/>
        <w:keepNext w:val="true"/>
        <w:rPr/>
      </w:pPr>
      <w:bookmarkStart w:id="68" w:name="req_ZIP_006"/>
      <w:bookmarkEnd w:id="68"/>
      <w:r>
        <w:rPr>
          <w:rStyle w:val="ReqID"/>
        </w:rPr>
        <w:t xml:space="preserve">ZIP-006  </w:t>
      </w:r>
      <w:r>
        <w:rPr/>
        <w:t>Each ZIP SHALL record its two zone authorities, joint approval, required security functions, management authority, heightened posture, session-revocation behavior and current evidence.</w:t>
      </w:r>
    </w:p>
    <w:p>
      <w:pPr>
        <w:pStyle w:val="ReqMeta"/>
        <w:rPr/>
      </w:pPr>
      <w:r>
        <w:rPr/>
        <w:t xml:space="preserve">Security authority  |  Verify: </w:t>
      </w:r>
      <w:hyperlink w:anchor="test_CT_067">
        <w:r>
          <w:rPr>
            <w:rStyle w:val="Hyperlink"/>
          </w:rPr>
          <w:t>CT-067</w:t>
        </w:r>
      </w:hyperlink>
      <w:r>
        <w:rPr/>
        <w:t xml:space="preserve">, </w:t>
      </w:r>
      <w:hyperlink w:anchor="test_CT_077">
        <w:r>
          <w:rPr>
            <w:rStyle w:val="Hyperlink"/>
          </w:rPr>
          <w:t>CT-077</w:t>
        </w:r>
      </w:hyperlink>
      <w:r>
        <w:rPr/>
        <w:t xml:space="preserve">, </w:t>
      </w:r>
      <w:hyperlink w:anchor="test_CT_080">
        <w:r>
          <w:rPr>
            <w:rStyle w:val="Hyperlink"/>
          </w:rPr>
          <w:t>CT-080</w:t>
        </w:r>
      </w:hyperlink>
      <w:r>
        <w:rPr/>
        <w:t xml:space="preserve">  |  Basis: </w:t>
      </w:r>
      <w:hyperlink w:anchor="S01">
        <w:r>
          <w:rPr>
            <w:rStyle w:val="Hyperlink"/>
          </w:rPr>
          <w:t>S01</w:t>
        </w:r>
      </w:hyperlink>
      <w:r>
        <w:rPr/>
        <w:t xml:space="preserve"> / </w:t>
      </w:r>
      <w:hyperlink w:anchor="S02">
        <w:r>
          <w:rPr>
            <w:rStyle w:val="Hyperlink"/>
          </w:rPr>
          <w:t>S02</w:t>
        </w:r>
      </w:hyperlink>
      <w:r>
        <w:rPr/>
        <w:t xml:space="preserve">  |  new-v1.1</w:t>
      </w:r>
    </w:p>
    <w:p>
      <w:pPr>
        <w:pStyle w:val="Requirement"/>
        <w:keepNext w:val="true"/>
        <w:rPr/>
      </w:pPr>
      <w:bookmarkStart w:id="69" w:name="req_ZIP_007"/>
      <w:bookmarkEnd w:id="69"/>
      <w:r>
        <w:rPr>
          <w:rStyle w:val="ReqID"/>
        </w:rPr>
        <w:t xml:space="preserve">ZIP-007  </w:t>
      </w:r>
      <w:r>
        <w:rPr/>
        <w:t>A distributed or shared-infrastructure ZIP SHALL be qualified against the same required security outcomes as a dedicated edge; any unsupported mandatory function SHALL make that realization ineligible.</w:t>
      </w:r>
    </w:p>
    <w:p>
      <w:pPr>
        <w:pStyle w:val="ReqMeta"/>
        <w:rPr/>
      </w:pPr>
      <w:r>
        <w:rPr/>
        <w:t xml:space="preserve">Platform engineering  |  Verify: </w:t>
      </w:r>
      <w:hyperlink w:anchor="test_CT_003">
        <w:r>
          <w:rPr>
            <w:rStyle w:val="Hyperlink"/>
          </w:rPr>
          <w:t>CT-003</w:t>
        </w:r>
      </w:hyperlink>
      <w:r>
        <w:rPr/>
        <w:t xml:space="preserve">, </w:t>
      </w:r>
      <w:hyperlink w:anchor="test_CT_023">
        <w:r>
          <w:rPr>
            <w:rStyle w:val="Hyperlink"/>
          </w:rPr>
          <w:t>CT-023</w:t>
        </w:r>
      </w:hyperlink>
      <w:r>
        <w:rPr/>
        <w:t xml:space="preserve">, </w:t>
      </w:r>
      <w:hyperlink w:anchor="test_CT_080">
        <w:r>
          <w:rPr>
            <w:rStyle w:val="Hyperlink"/>
          </w:rPr>
          <w:t>CT-080</w:t>
        </w:r>
      </w:hyperlink>
      <w:r>
        <w:rPr/>
        <w:t xml:space="preserve">  |  Basis: </w:t>
      </w:r>
      <w:hyperlink w:anchor="S02">
        <w:r>
          <w:rPr>
            <w:rStyle w:val="Hyperlink"/>
          </w:rPr>
          <w:t>S02</w:t>
        </w:r>
      </w:hyperlink>
      <w:r>
        <w:rPr/>
        <w:t xml:space="preserve">  |  new-v1.1</w:t>
      </w:r>
    </w:p>
    <w:p>
      <w:pPr>
        <w:pStyle w:val="Heading2"/>
        <w:numPr>
          <w:ilvl w:val="0"/>
          <w:numId w:val="7"/>
        </w:numPr>
        <w:rPr/>
      </w:pPr>
      <w:bookmarkStart w:id="70" w:name="__RefHeading___Toc13311_1645000677"/>
      <w:bookmarkStart w:id="71" w:name="sec_12"/>
      <w:bookmarkEnd w:id="70"/>
      <w:r>
        <w:rPr/>
        <w:t>MZ, OOB and privileged management access</w:t>
      </w:r>
      <w:bookmarkEnd w:id="71"/>
    </w:p>
    <w:p>
      <w:pPr>
        <w:pStyle w:val="BodyText"/>
        <w:rPr/>
      </w:pPr>
      <w:r>
        <w:rPr/>
        <w:t>MZ describes a security zone and its administration policy. OOB describes management transport that remains independent of the workload data path, preferably using dedicated interfaces and network equipment where supported. A physically separate cable alone does not supply privileged identity, hardened administration or log integrity. Conversely, a virtual management segment must not be called physically OOB when it shares the production switching/control dependency. [</w:t>
      </w:r>
      <w:hyperlink w:anchor="S01">
        <w:r>
          <w:rPr>
            <w:rStyle w:val="Hyperlink"/>
          </w:rPr>
          <w:t>S01</w:t>
        </w:r>
      </w:hyperlink>
      <w:r>
        <w:rPr/>
        <w:t xml:space="preserve">, Annex E; </w:t>
      </w:r>
      <w:hyperlink w:anchor="S02">
        <w:r>
          <w:rPr>
            <w:rStyle w:val="Hyperlink"/>
          </w:rPr>
          <w:t>S02</w:t>
        </w:r>
      </w:hyperlink>
      <w:r>
        <w:rPr/>
        <w:t>, management-zone guidance]</w:t>
      </w:r>
    </w:p>
    <w:p>
      <w:pPr>
        <w:pStyle w:val="BodyText"/>
        <w:rPr/>
      </w:pPr>
      <w:r>
        <w:rPr/>
        <w:t>Use an isolated MZ approach as the baseline. Separate provider platform administration, security-edge administration, fabric administration and tenant guest/application administration by authority and controlled paths. Approved administrators work from hardened dedicated administrative endpoints with phishing-resistant MFA where the applicable GC configuration requirements apply. Remote access crosses an explicitly approved management-access boundary; it is not the public workload PAZ reused for convenience. [</w:t>
      </w:r>
      <w:hyperlink w:anchor="S02">
        <w:r>
          <w:rPr>
            <w:rStyle w:val="Hyperlink"/>
          </w:rPr>
          <w:t>S02</w:t>
        </w:r>
      </w:hyperlink>
      <w:r>
        <w:rPr/>
        <w:t xml:space="preserve">; </w:t>
      </w:r>
      <w:hyperlink w:anchor="S07">
        <w:r>
          <w:rPr>
            <w:rStyle w:val="Hyperlink"/>
          </w:rPr>
          <w:t>S07</w:t>
        </w:r>
      </w:hyperlink>
      <w:r>
        <w:rPr/>
        <w:t>, section 4]</w:t>
      </w:r>
    </w:p>
    <w:p>
      <w:pPr>
        <w:pStyle w:val="BodyText"/>
        <w:rPr/>
      </w:pPr>
      <w:r>
        <w:rPr/>
        <w:t>Tenant users consume a service-catalogue/API endpoint with scoped credentials, not direct infrastructure administrative APIs. Backup, KMS, logging and identity data endpoints remain published services; their management interfaces belong to the management trust plane. Prevent credentials from higher-authority planes being used on lower-trust workload devices. Record support access, session expiry, device trust, bastion policy and any approved emergency access. Test recovery without the normal federation provider.</w:t>
      </w:r>
    </w:p>
    <w:p>
      <w:pPr>
        <w:pStyle w:val="Requirement"/>
        <w:keepNext w:val="true"/>
        <w:rPr/>
      </w:pPr>
      <w:bookmarkStart w:id="72" w:name="req_MGT_001"/>
      <w:bookmarkEnd w:id="72"/>
      <w:r>
        <w:rPr>
          <w:rStyle w:val="ReqID"/>
        </w:rPr>
        <w:t xml:space="preserve">MGT-001  </w:t>
      </w:r>
      <w:r>
        <w:rPr/>
        <w:t>Tenant workload networks SHALL have no direct route to infrastructure management interfaces.</w:t>
      </w:r>
    </w:p>
    <w:p>
      <w:pPr>
        <w:pStyle w:val="ReqMeta"/>
        <w:rPr/>
      </w:pPr>
      <w:r>
        <w:rPr/>
        <w:t xml:space="preserve">Management operations  |  Verify: </w:t>
      </w:r>
      <w:hyperlink w:anchor="test_CT_004">
        <w:r>
          <w:rPr>
            <w:rStyle w:val="Hyperlink"/>
          </w:rPr>
          <w:t>CT-004</w:t>
        </w:r>
      </w:hyperlink>
      <w:r>
        <w:rPr/>
        <w:t xml:space="preserve">, </w:t>
      </w:r>
      <w:hyperlink w:anchor="test_CT_026">
        <w:r>
          <w:rPr>
            <w:rStyle w:val="Hyperlink"/>
          </w:rPr>
          <w:t>CT-026</w:t>
        </w:r>
      </w:hyperlink>
      <w:r>
        <w:rPr/>
        <w:t xml:space="preserve">  |  Basis: </w:t>
      </w:r>
      <w:hyperlink w:anchor="S00">
        <w:r>
          <w:rPr>
            <w:rStyle w:val="Hyperlink"/>
          </w:rPr>
          <w:t>S00</w:t>
        </w:r>
      </w:hyperlink>
      <w:r>
        <w:rPr/>
        <w:t xml:space="preserve">  |  retained-v1.0</w:t>
      </w:r>
    </w:p>
    <w:p>
      <w:pPr>
        <w:pStyle w:val="Requirement"/>
        <w:keepNext w:val="true"/>
        <w:rPr/>
      </w:pPr>
      <w:bookmarkStart w:id="73" w:name="req_MGT_002"/>
      <w:bookmarkEnd w:id="73"/>
      <w:r>
        <w:rPr>
          <w:rStyle w:val="ReqID"/>
        </w:rPr>
        <w:t xml:space="preserve">MGT-002  </w:t>
      </w:r>
      <w:r>
        <w:rPr/>
        <w:t>Administrative access SHALL originate from an authorized management access path and traverse management-specific security controls.</w:t>
      </w:r>
    </w:p>
    <w:p>
      <w:pPr>
        <w:pStyle w:val="ReqMeta"/>
        <w:rPr/>
      </w:pPr>
      <w:r>
        <w:rPr/>
        <w:t xml:space="preserve">Management operations  |  Verify: </w:t>
      </w:r>
      <w:hyperlink w:anchor="test_CT_026">
        <w:r>
          <w:rPr>
            <w:rStyle w:val="Hyperlink"/>
          </w:rPr>
          <w:t>CT-026</w:t>
        </w:r>
      </w:hyperlink>
      <w:r>
        <w:rPr/>
        <w:t xml:space="preserve">, </w:t>
      </w:r>
      <w:hyperlink w:anchor="test_CT_027">
        <w:r>
          <w:rPr>
            <w:rStyle w:val="Hyperlink"/>
          </w:rPr>
          <w:t>CT-027</w:t>
        </w:r>
      </w:hyperlink>
      <w:r>
        <w:rPr/>
        <w:t xml:space="preserve">  |  Basis: </w:t>
      </w:r>
      <w:hyperlink w:anchor="S00">
        <w:r>
          <w:rPr>
            <w:rStyle w:val="Hyperlink"/>
          </w:rPr>
          <w:t>S00</w:t>
        </w:r>
      </w:hyperlink>
      <w:r>
        <w:rPr/>
        <w:t xml:space="preserve">  |  retained-v1.0</w:t>
      </w:r>
    </w:p>
    <w:p>
      <w:pPr>
        <w:pStyle w:val="Requirement"/>
        <w:keepNext w:val="true"/>
        <w:rPr/>
      </w:pPr>
      <w:bookmarkStart w:id="74" w:name="req_MGT_003"/>
      <w:bookmarkEnd w:id="74"/>
      <w:r>
        <w:rPr>
          <w:rStyle w:val="ReqID"/>
        </w:rPr>
        <w:t xml:space="preserve">MGT-003  </w:t>
      </w:r>
      <w:r>
        <w:rPr/>
        <w:t>Automation identities used to manage tenant workloads SHALL be separated from identities able to modify the physical fabric, security edge, or management foundation.</w:t>
      </w:r>
    </w:p>
    <w:p>
      <w:pPr>
        <w:pStyle w:val="ReqMeta"/>
        <w:rPr/>
      </w:pPr>
      <w:r>
        <w:rPr/>
        <w:t xml:space="preserve">Automation platform  |  Verify: </w:t>
      </w:r>
      <w:hyperlink w:anchor="test_CT_019">
        <w:r>
          <w:rPr>
            <w:rStyle w:val="Hyperlink"/>
          </w:rPr>
          <w:t>CT-019</w:t>
        </w:r>
      </w:hyperlink>
      <w:r>
        <w:rPr/>
        <w:t xml:space="preserve">, </w:t>
      </w:r>
      <w:hyperlink w:anchor="test_CT_044">
        <w:r>
          <w:rPr>
            <w:rStyle w:val="Hyperlink"/>
          </w:rPr>
          <w:t>CT-044</w:t>
        </w:r>
      </w:hyperlink>
      <w:r>
        <w:rPr/>
        <w:t xml:space="preserve">  |  Basis: </w:t>
      </w:r>
      <w:hyperlink w:anchor="S00">
        <w:r>
          <w:rPr>
            <w:rStyle w:val="Hyperlink"/>
          </w:rPr>
          <w:t>S00</w:t>
        </w:r>
      </w:hyperlink>
      <w:r>
        <w:rPr/>
        <w:t xml:space="preserve">  |  retained-v1.0</w:t>
      </w:r>
    </w:p>
    <w:p>
      <w:pPr>
        <w:pStyle w:val="Requirement"/>
        <w:keepNext w:val="true"/>
        <w:rPr/>
      </w:pPr>
      <w:bookmarkStart w:id="75" w:name="req_MGT_004"/>
      <w:bookmarkEnd w:id="75"/>
      <w:r>
        <w:rPr>
          <w:rStyle w:val="ReqID"/>
        </w:rPr>
        <w:t xml:space="preserve">MGT-004  </w:t>
      </w:r>
      <w:r>
        <w:rPr/>
        <w:t>Break-glass access SHALL be separately controlled, strongly authenticated, logged, time-bounded where feasible, and periodically tested.</w:t>
      </w:r>
    </w:p>
    <w:p>
      <w:pPr>
        <w:pStyle w:val="ReqMeta"/>
        <w:rPr/>
      </w:pPr>
      <w:r>
        <w:rPr/>
        <w:t xml:space="preserve">Management operations  |  Verify: </w:t>
      </w:r>
      <w:hyperlink w:anchor="test_CT_027">
        <w:r>
          <w:rPr>
            <w:rStyle w:val="Hyperlink"/>
          </w:rPr>
          <w:t>CT-027</w:t>
        </w:r>
      </w:hyperlink>
      <w:r>
        <w:rPr/>
        <w:t xml:space="preserve">, </w:t>
      </w:r>
      <w:hyperlink w:anchor="test_CT_079">
        <w:r>
          <w:rPr>
            <w:rStyle w:val="Hyperlink"/>
          </w:rPr>
          <w:t>CT-079</w:t>
        </w:r>
      </w:hyperlink>
      <w:r>
        <w:rPr/>
        <w:t xml:space="preserve">  |  Basis: </w:t>
      </w:r>
      <w:hyperlink w:anchor="S00">
        <w:r>
          <w:rPr>
            <w:rStyle w:val="Hyperlink"/>
          </w:rPr>
          <w:t>S00</w:t>
        </w:r>
      </w:hyperlink>
      <w:r>
        <w:rPr/>
        <w:t xml:space="preserve">  |  retained-v1.0</w:t>
      </w:r>
    </w:p>
    <w:p>
      <w:pPr>
        <w:pStyle w:val="Requirement"/>
        <w:keepNext w:val="true"/>
        <w:rPr/>
      </w:pPr>
      <w:bookmarkStart w:id="76" w:name="req_MGT_005"/>
      <w:bookmarkEnd w:id="76"/>
      <w:r>
        <w:rPr>
          <w:rStyle w:val="ReqID"/>
        </w:rPr>
        <w:t xml:space="preserve">MGT-005  </w:t>
      </w:r>
      <w:r>
        <w:rPr/>
        <w:t>The implementation SHALL document independent MZ semantics, OOB transport dependencies, remote-management boundary and privileged identity controls; tenant-facing APIs SHALL NOT expose infrastructure administration.</w:t>
      </w:r>
    </w:p>
    <w:p>
      <w:pPr>
        <w:pStyle w:val="ReqMeta"/>
        <w:rPr/>
      </w:pPr>
      <w:r>
        <w:rPr/>
        <w:t xml:space="preserve">Management operations  |  Verify: </w:t>
      </w:r>
      <w:hyperlink w:anchor="test_CT_004">
        <w:r>
          <w:rPr>
            <w:rStyle w:val="Hyperlink"/>
          </w:rPr>
          <w:t>CT-004</w:t>
        </w:r>
      </w:hyperlink>
      <w:r>
        <w:rPr/>
        <w:t xml:space="preserve">, </w:t>
      </w:r>
      <w:hyperlink w:anchor="test_CT_026">
        <w:r>
          <w:rPr>
            <w:rStyle w:val="Hyperlink"/>
          </w:rPr>
          <w:t>CT-026</w:t>
        </w:r>
      </w:hyperlink>
      <w:r>
        <w:rPr/>
        <w:t xml:space="preserve">, </w:t>
      </w:r>
      <w:hyperlink w:anchor="test_CT_055">
        <w:r>
          <w:rPr>
            <w:rStyle w:val="Hyperlink"/>
          </w:rPr>
          <w:t>CT-055</w:t>
        </w:r>
      </w:hyperlink>
      <w:r>
        <w:rPr/>
        <w:t xml:space="preserve">  |  Basis: </w:t>
      </w:r>
      <w:hyperlink w:anchor="S01">
        <w:r>
          <w:rPr>
            <w:rStyle w:val="Hyperlink"/>
          </w:rPr>
          <w:t>S01</w:t>
        </w:r>
      </w:hyperlink>
      <w:r>
        <w:rPr/>
        <w:t xml:space="preserve"> / </w:t>
      </w:r>
      <w:hyperlink w:anchor="S02">
        <w:r>
          <w:rPr>
            <w:rStyle w:val="Hyperlink"/>
          </w:rPr>
          <w:t>S02</w:t>
        </w:r>
      </w:hyperlink>
      <w:r>
        <w:rPr/>
        <w:t xml:space="preserve"> / </w:t>
      </w:r>
      <w:hyperlink w:anchor="S07">
        <w:r>
          <w:rPr>
            <w:rStyle w:val="Hyperlink"/>
          </w:rPr>
          <w:t>S07</w:t>
        </w:r>
      </w:hyperlink>
      <w:r>
        <w:rPr/>
        <w:t xml:space="preserve">  |  new-v1.1</w:t>
      </w:r>
    </w:p>
    <w:p>
      <w:pPr>
        <w:pStyle w:val="Heading2"/>
        <w:numPr>
          <w:ilvl w:val="0"/>
          <w:numId w:val="7"/>
        </w:numPr>
        <w:rPr/>
      </w:pPr>
      <w:bookmarkStart w:id="77" w:name="__RefHeading___Toc13313_1645000677"/>
      <w:bookmarkStart w:id="78" w:name="sec_13"/>
      <w:bookmarkEnd w:id="77"/>
      <w:r>
        <w:rPr/>
        <w:t>Platform overlays and enforcement ownership</w:t>
      </w:r>
      <w:bookmarkEnd w:id="78"/>
    </w:p>
    <w:p>
      <w:pPr>
        <w:pStyle w:val="BodyText"/>
        <w:rPr/>
      </w:pPr>
      <w:r>
        <w:rPr/>
        <w:t>The platform overlay normally owns high-cardinality tenant routing, networks and security identity. The underlay carries tunnel/transport reachability and precommissioned platform/edge attachments. This reduces routine switch churn without claiming that capacity growth, physical onboarding or a fabric-routed service class can never change the fabric. The service class declares which lifecycle path applies.</w:t>
      </w:r>
    </w:p>
    <w:p>
      <w:pPr>
        <w:pStyle w:val="BodyText"/>
        <w:rPr/>
      </w:pPr>
      <w:r>
        <w:rPr/>
        <w:t>Inside one authorized Security Domain Instance, the platform may route natively, subject to mandatory microsegmentation and internal-boundary policy. Between independent security domains, even domains with the same zone class, the applicable ZIP/boundary service controls the path. The location of enforcement may be distributed, centralized or combined; the resulting reachability and authority are what qualification verifies.</w:t>
      </w:r>
    </w:p>
    <w:p>
      <w:pPr>
        <w:pStyle w:val="BodyText"/>
        <w:rPr/>
      </w:pPr>
      <w:r>
        <w:rPr/>
        <w:t>The adapter inventory identifies every component capable of forwarding tenant traffic: host virtual switches, overlay gateways, external subnets, service appliances, load balancers, physical attachments and recovery links. Default platform behaviors are normalized before workload connection. A tenant must not create a second NIC, router, floating address, security group or network attachment that escapes the canonical policy.</w:t>
      </w:r>
    </w:p>
    <w:p>
      <w:pPr>
        <w:pStyle w:val="Requirement"/>
        <w:keepNext w:val="true"/>
        <w:rPr/>
      </w:pPr>
      <w:bookmarkStart w:id="79" w:name="req_OVL_001"/>
      <w:bookmarkEnd w:id="79"/>
      <w:r>
        <w:rPr>
          <w:rStyle w:val="ReqID"/>
        </w:rPr>
        <w:t xml:space="preserve">OVL-001  </w:t>
      </w:r>
      <w:r>
        <w:rPr/>
        <w:t>A platform SHALL provide an isolated routing/policy mechanism capable of realizing the Security Domain semantics required by the applicable conformance profile.</w:t>
      </w:r>
    </w:p>
    <w:p>
      <w:pPr>
        <w:pStyle w:val="ReqMeta"/>
        <w:rPr/>
      </w:pPr>
      <w:r>
        <w:rPr/>
        <w:t xml:space="preserve">Platform engineering  |  Verify: </w:t>
      </w:r>
      <w:hyperlink w:anchor="test_CT_016">
        <w:r>
          <w:rPr>
            <w:rStyle w:val="Hyperlink"/>
          </w:rPr>
          <w:t>CT-016</w:t>
        </w:r>
      </w:hyperlink>
      <w:r>
        <w:rPr/>
        <w:t xml:space="preserve">, </w:t>
      </w:r>
      <w:hyperlink w:anchor="test_CT_018">
        <w:r>
          <w:rPr>
            <w:rStyle w:val="Hyperlink"/>
          </w:rPr>
          <w:t>CT-018</w:t>
        </w:r>
      </w:hyperlink>
      <w:r>
        <w:rPr/>
        <w:t xml:space="preserve">, </w:t>
      </w:r>
      <w:hyperlink w:anchor="test_CT_080">
        <w:r>
          <w:rPr>
            <w:rStyle w:val="Hyperlink"/>
          </w:rPr>
          <w:t>CT-080</w:t>
        </w:r>
      </w:hyperlink>
      <w:r>
        <w:rPr/>
        <w:t xml:space="preserve">  |  Basis: </w:t>
      </w:r>
      <w:hyperlink w:anchor="S00">
        <w:r>
          <w:rPr>
            <w:rStyle w:val="Hyperlink"/>
          </w:rPr>
          <w:t>S00</w:t>
        </w:r>
      </w:hyperlink>
      <w:r>
        <w:rPr/>
        <w:t xml:space="preserve">  |  retained-v1.0</w:t>
      </w:r>
    </w:p>
    <w:p>
      <w:pPr>
        <w:pStyle w:val="Requirement"/>
        <w:keepNext w:val="true"/>
        <w:rPr/>
      </w:pPr>
      <w:bookmarkStart w:id="80" w:name="req_OVL_002"/>
      <w:bookmarkEnd w:id="80"/>
      <w:r>
        <w:rPr>
          <w:rStyle w:val="ReqID"/>
        </w:rPr>
        <w:t xml:space="preserve">OVL-002  </w:t>
      </w:r>
      <w:r>
        <w:rPr/>
        <w:t>Native routing MAY be used within one authorized Security Domain Instance; communication between independent security domains SHALL follow the approved boundary/ZIP realization and its policy.</w:t>
      </w:r>
    </w:p>
    <w:p>
      <w:pPr>
        <w:pStyle w:val="ReqMeta"/>
        <w:rPr/>
      </w:pPr>
      <w:r>
        <w:rPr/>
        <w:t xml:space="preserve">Platform engineering  |  Verify: </w:t>
      </w:r>
      <w:hyperlink w:anchor="test_CT_003">
        <w:r>
          <w:rPr>
            <w:rStyle w:val="Hyperlink"/>
          </w:rPr>
          <w:t>CT-003</w:t>
        </w:r>
      </w:hyperlink>
      <w:r>
        <w:rPr/>
        <w:t xml:space="preserve">, </w:t>
      </w:r>
      <w:hyperlink w:anchor="test_CT_021">
        <w:r>
          <w:rPr>
            <w:rStyle w:val="Hyperlink"/>
          </w:rPr>
          <w:t>CT-021</w:t>
        </w:r>
      </w:hyperlink>
      <w:r>
        <w:rPr/>
        <w:t xml:space="preserve">, </w:t>
      </w:r>
      <w:hyperlink w:anchor="test_CT_023">
        <w:r>
          <w:rPr>
            <w:rStyle w:val="Hyperlink"/>
          </w:rPr>
          <w:t>CT-023</w:t>
        </w:r>
      </w:hyperlink>
      <w:r>
        <w:rPr/>
        <w:t xml:space="preserve">  |  Basis: </w:t>
      </w:r>
      <w:hyperlink w:anchor="S00">
        <w:r>
          <w:rPr>
            <w:rStyle w:val="Hyperlink"/>
          </w:rPr>
          <w:t>S00</w:t>
        </w:r>
      </w:hyperlink>
      <w:r>
        <w:rPr/>
        <w:t xml:space="preserve"> / </w:t>
      </w:r>
      <w:hyperlink w:anchor="S01">
        <w:r>
          <w:rPr>
            <w:rStyle w:val="Hyperlink"/>
          </w:rPr>
          <w:t>S01</w:t>
        </w:r>
      </w:hyperlink>
      <w:r>
        <w:rPr/>
        <w:t xml:space="preserve"> / </w:t>
      </w:r>
      <w:hyperlink w:anchor="S02">
        <w:r>
          <w:rPr>
            <w:rStyle w:val="Hyperlink"/>
          </w:rPr>
          <w:t>S02</w:t>
        </w:r>
      </w:hyperlink>
      <w:r>
        <w:rPr/>
        <w:t xml:space="preserve">  |  revised-v1.0</w:t>
      </w:r>
    </w:p>
    <w:p>
      <w:pPr>
        <w:pStyle w:val="Requirement"/>
        <w:keepNext w:val="true"/>
        <w:rPr/>
      </w:pPr>
      <w:bookmarkStart w:id="81" w:name="req_OVL_003"/>
      <w:bookmarkEnd w:id="81"/>
      <w:r>
        <w:rPr>
          <w:rStyle w:val="ReqID"/>
        </w:rPr>
        <w:t xml:space="preserve">OVL-003  </w:t>
      </w:r>
      <w:r>
        <w:rPr/>
        <w:t>Before a workload is attached, the adapter SHALL normalize permissive native defaults and enforce the mandatory baseline on all supported NIC, router, gateway and workload-attachment paths.</w:t>
      </w:r>
    </w:p>
    <w:p>
      <w:pPr>
        <w:pStyle w:val="ReqMeta"/>
        <w:rPr/>
      </w:pPr>
      <w:r>
        <w:rPr/>
        <w:t xml:space="preserve">Platform engineering  |  Verify: </w:t>
      </w:r>
      <w:hyperlink w:anchor="test_CT_022">
        <w:r>
          <w:rPr>
            <w:rStyle w:val="Hyperlink"/>
          </w:rPr>
          <w:t>CT-022</w:t>
        </w:r>
      </w:hyperlink>
      <w:r>
        <w:rPr/>
        <w:t xml:space="preserve">, </w:t>
      </w:r>
      <w:hyperlink w:anchor="test_CT_066">
        <w:r>
          <w:rPr>
            <w:rStyle w:val="Hyperlink"/>
          </w:rPr>
          <w:t>CT-066</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Heading2"/>
        <w:numPr>
          <w:ilvl w:val="0"/>
          <w:numId w:val="7"/>
        </w:numPr>
        <w:rPr/>
      </w:pPr>
      <w:bookmarkStart w:id="82" w:name="__RefHeading___Toc13315_1645000677"/>
      <w:bookmarkStart w:id="83" w:name="sec_14"/>
      <w:bookmarkEnd w:id="82"/>
      <w:r>
        <w:rPr/>
        <w:t>Route Authority and safe forwarding compilation</w:t>
      </w:r>
      <w:bookmarkEnd w:id="83"/>
    </w:p>
    <w:p>
      <w:pPr>
        <w:pStyle w:val="BodyText"/>
        <w:rPr/>
      </w:pPr>
      <w:r>
        <w:rPr/>
        <w:t>Route Authority is a provider-controlled compiler, not a consumer route editor. Its input is the authorized graph of domains, IPAM allocations, ZIP adjacencies, service bindings, external exposure, site reachability and placement. Its output is an explicit forwarding plan, import/export policy and provenance explaining why each route exists. The compiler checks recursive next hops, connected paths, summaries and default routes as well as explicit static routes.</w:t>
      </w:r>
    </w:p>
    <w:p>
      <w:pPr>
        <w:pStyle w:val="BodyText"/>
        <w:rPr/>
      </w:pPr>
      <w:r>
        <w:rPr/>
        <w:t>A flow permission and a route solve different problems. A route must not imply permission to all reachable destinations; a firewall rule must not hide a broad or unintended forwarding path. The controller compares both the intended graph and the realized RIB/FIB/enforcement state. Avoid summarization that accidentally includes another tenant or security domain. Prefer precise service routes and controlled endpoint publishing over broad shared supernets.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3024"/>
        <w:gridCol w:w="6551"/>
      </w:tblGrid>
      <w:tr>
        <w:trPr>
          <w:tblHeader w:val="true"/>
          <w:cantSplit w:val="true"/>
        </w:trPr>
        <w:tc>
          <w:tcPr>
            <w:tcW w:w="302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Consumer request</w:t>
            </w:r>
          </w:p>
        </w:tc>
        <w:tc>
          <w:tcPr>
            <w:tcW w:w="655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Provider-controlled result</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Use the approved identity service</w:t>
            </w:r>
          </w:p>
        </w:tc>
        <w:tc>
          <w:tcPr>
            <w:tcW w:w="655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Resolved endpoint, direction, service profile, route and policy references</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Expose HTTPS</w:t>
            </w:r>
          </w:p>
        </w:tc>
        <w:tc>
          <w:tcPr>
            <w:tcW w:w="655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Approved public boundary, PAZ ingress, certificate/DNS and backend flow</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Enable controlled egress</w:t>
            </w:r>
          </w:p>
        </w:tc>
        <w:tc>
          <w:tcPr>
            <w:tcW w:w="655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Destination/protocol profile, mediated route and attribution; not arbitrary 0/0</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Replicate to recovery site</w:t>
            </w:r>
          </w:p>
        </w:tc>
        <w:tc>
          <w:tcPr>
            <w:tcW w:w="655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Authorized replication endpoints, capacity reservation and recovery security path</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Migrate for a bounded window</w:t>
            </w:r>
          </w:p>
        </w:tc>
        <w:tc>
          <w:tcPr>
            <w:tcW w:w="655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Time-limited connection, explicit routes, telemetry and automated revocation</w:t>
            </w:r>
          </w:p>
        </w:tc>
      </w:tr>
    </w:tbl>
    <w:p>
      <w:pPr>
        <w:pStyle w:val="BodyText"/>
        <w:rPr/>
      </w:pPr>
      <w:r>
        <w:rPr/>
        <w:t>A transit routing mechanism can exist inside a qualified implementation, but an undifferentiated transit VRF is not the enterprise security model. No generic hub or shared attachment may become an alternate inter-zone path. Route installation and removal follow dependency-safe ordering; a failed route operation leaves the workload unexposed or restricted, not reachable through an improvised default.</w:t>
      </w:r>
    </w:p>
    <w:p>
      <w:pPr>
        <w:pStyle w:val="Requirement"/>
        <w:keepNext w:val="true"/>
        <w:rPr/>
      </w:pPr>
      <w:bookmarkStart w:id="84" w:name="req_RTE_001"/>
      <w:bookmarkEnd w:id="84"/>
      <w:r>
        <w:rPr>
          <w:rStyle w:val="ReqID"/>
        </w:rPr>
        <w:t xml:space="preserve">RTE-001  </w:t>
      </w:r>
      <w:r>
        <w:rPr/>
        <w:t>Routes, route imports/exports, and BGP adjacencies SHALL be provider-controlled outputs of authorized intent.</w:t>
      </w:r>
    </w:p>
    <w:p>
      <w:pPr>
        <w:pStyle w:val="ReqMeta"/>
        <w:rPr/>
      </w:pPr>
      <w:r>
        <w:rPr/>
        <w:t xml:space="preserve">Network engineering  |  Verify: </w:t>
      </w:r>
      <w:hyperlink w:anchor="test_CT_009">
        <w:r>
          <w:rPr>
            <w:rStyle w:val="Hyperlink"/>
          </w:rPr>
          <w:t>CT-009</w:t>
        </w:r>
      </w:hyperlink>
      <w:r>
        <w:rPr/>
        <w:t xml:space="preserve">, </w:t>
      </w:r>
      <w:hyperlink w:anchor="test_CT_033">
        <w:r>
          <w:rPr>
            <w:rStyle w:val="Hyperlink"/>
          </w:rPr>
          <w:t>CT-033</w:t>
        </w:r>
      </w:hyperlink>
      <w:r>
        <w:rPr/>
        <w:t xml:space="preserve">  |  Basis: </w:t>
      </w:r>
      <w:hyperlink w:anchor="S00">
        <w:r>
          <w:rPr>
            <w:rStyle w:val="Hyperlink"/>
          </w:rPr>
          <w:t>S00</w:t>
        </w:r>
      </w:hyperlink>
      <w:r>
        <w:rPr/>
        <w:t xml:space="preserve">  |  retained-v1.0</w:t>
      </w:r>
    </w:p>
    <w:p>
      <w:pPr>
        <w:pStyle w:val="Requirement"/>
        <w:keepNext w:val="true"/>
        <w:rPr/>
      </w:pPr>
      <w:bookmarkStart w:id="85" w:name="req_RTE_002"/>
      <w:bookmarkEnd w:id="85"/>
      <w:r>
        <w:rPr>
          <w:rStyle w:val="ReqID"/>
        </w:rPr>
        <w:t xml:space="preserve">RTE-002  </w:t>
      </w:r>
      <w:r>
        <w:rPr/>
        <w:t>A generalized shared transit VRF SHALL NOT be used as a default inter-zone routing mechanism.</w:t>
      </w:r>
    </w:p>
    <w:p>
      <w:pPr>
        <w:pStyle w:val="ReqMeta"/>
        <w:rPr/>
      </w:pPr>
      <w:r>
        <w:rPr/>
        <w:t xml:space="preserve">Network engineering  |  Verify: </w:t>
      </w:r>
      <w:hyperlink w:anchor="test_CT_003">
        <w:r>
          <w:rPr>
            <w:rStyle w:val="Hyperlink"/>
          </w:rPr>
          <w:t>CT-003</w:t>
        </w:r>
      </w:hyperlink>
      <w:r>
        <w:rPr/>
        <w:t xml:space="preserve">, </w:t>
      </w:r>
      <w:hyperlink w:anchor="test_CT_009">
        <w:r>
          <w:rPr>
            <w:rStyle w:val="Hyperlink"/>
          </w:rPr>
          <w:t>CT-009</w:t>
        </w:r>
      </w:hyperlink>
      <w:r>
        <w:rPr/>
        <w:t xml:space="preserve">, </w:t>
      </w:r>
      <w:hyperlink w:anchor="test_CT_023">
        <w:r>
          <w:rPr>
            <w:rStyle w:val="Hyperlink"/>
          </w:rPr>
          <w:t>CT-023</w:t>
        </w:r>
      </w:hyperlink>
      <w:r>
        <w:rPr/>
        <w:t xml:space="preserve">  |  Basis: </w:t>
      </w:r>
      <w:hyperlink w:anchor="S00">
        <w:r>
          <w:rPr>
            <w:rStyle w:val="Hyperlink"/>
          </w:rPr>
          <w:t>S00</w:t>
        </w:r>
      </w:hyperlink>
      <w:r>
        <w:rPr/>
        <w:t xml:space="preserve">  |  retained-v1.0</w:t>
      </w:r>
    </w:p>
    <w:p>
      <w:pPr>
        <w:pStyle w:val="Requirement"/>
        <w:keepNext w:val="true"/>
        <w:rPr/>
      </w:pPr>
      <w:bookmarkStart w:id="86" w:name="req_RTE_003"/>
      <w:bookmarkEnd w:id="86"/>
      <w:r>
        <w:rPr>
          <w:rStyle w:val="ReqID"/>
        </w:rPr>
        <w:t xml:space="preserve">RTE-003  </w:t>
      </w:r>
      <w:r>
        <w:rPr/>
        <w:t>Temporary migration or transition routes SHALL have explicit scope, approval, expiry, telemetry, and automated teardown.</w:t>
      </w:r>
    </w:p>
    <w:p>
      <w:pPr>
        <w:pStyle w:val="ReqMeta"/>
        <w:rPr/>
      </w:pPr>
      <w:r>
        <w:rPr/>
        <w:t xml:space="preserve">Network engineering  |  Verify: </w:t>
      </w:r>
      <w:hyperlink w:anchor="test_CT_009">
        <w:r>
          <w:rPr>
            <w:rStyle w:val="Hyperlink"/>
          </w:rPr>
          <w:t>CT-009</w:t>
        </w:r>
      </w:hyperlink>
      <w:r>
        <w:rPr/>
        <w:t xml:space="preserve">, </w:t>
      </w:r>
      <w:hyperlink w:anchor="test_CT_058">
        <w:r>
          <w:rPr>
            <w:rStyle w:val="Hyperlink"/>
          </w:rPr>
          <w:t>CT-058</w:t>
        </w:r>
      </w:hyperlink>
      <w:r>
        <w:rPr/>
        <w:t xml:space="preserve">, </w:t>
      </w:r>
      <w:hyperlink w:anchor="test_CT_077">
        <w:r>
          <w:rPr>
            <w:rStyle w:val="Hyperlink"/>
          </w:rPr>
          <w:t>CT-077</w:t>
        </w:r>
      </w:hyperlink>
      <w:r>
        <w:rPr/>
        <w:t xml:space="preserve">  |  Basis: </w:t>
      </w:r>
      <w:hyperlink w:anchor="S00">
        <w:r>
          <w:rPr>
            <w:rStyle w:val="Hyperlink"/>
          </w:rPr>
          <w:t>S00</w:t>
        </w:r>
      </w:hyperlink>
      <w:r>
        <w:rPr/>
        <w:t xml:space="preserve">  |  retained-v1.0</w:t>
      </w:r>
    </w:p>
    <w:p>
      <w:pPr>
        <w:pStyle w:val="Requirement"/>
        <w:keepNext w:val="true"/>
        <w:rPr/>
      </w:pPr>
      <w:bookmarkStart w:id="87" w:name="req_RTE_004"/>
      <w:bookmarkEnd w:id="87"/>
      <w:r>
        <w:rPr>
          <w:rStyle w:val="ReqID"/>
        </w:rPr>
        <w:t xml:space="preserve">RTE-004  </w:t>
      </w:r>
      <w:r>
        <w:rPr/>
        <w:t>Route compilation SHALL validate connected routes, recursive next hops, summaries, NAT/PBR interactions and all enabled address families; realized forwarding SHALL be compared with the approved graph before exposure.</w:t>
      </w:r>
    </w:p>
    <w:p>
      <w:pPr>
        <w:pStyle w:val="ReqMeta"/>
        <w:rPr/>
      </w:pPr>
      <w:r>
        <w:rPr/>
        <w:t xml:space="preserve">Network engineering  |  Verify: </w:t>
      </w:r>
      <w:hyperlink w:anchor="test_CT_009">
        <w:r>
          <w:rPr>
            <w:rStyle w:val="Hyperlink"/>
          </w:rPr>
          <w:t>CT-009</w:t>
        </w:r>
      </w:hyperlink>
      <w:r>
        <w:rPr/>
        <w:t xml:space="preserve">, </w:t>
      </w:r>
      <w:hyperlink w:anchor="test_CT_023">
        <w:r>
          <w:rPr>
            <w:rStyle w:val="Hyperlink"/>
          </w:rPr>
          <w:t>CT-023</w:t>
        </w:r>
      </w:hyperlink>
      <w:r>
        <w:rPr/>
        <w:t xml:space="preserve">, </w:t>
      </w:r>
      <w:hyperlink w:anchor="test_CT_024">
        <w:r>
          <w:rPr>
            <w:rStyle w:val="Hyperlink"/>
          </w:rPr>
          <w:t>CT-024</w:t>
        </w:r>
      </w:hyperlink>
      <w:r>
        <w:rPr/>
        <w:t xml:space="preserve">, </w:t>
      </w:r>
      <w:hyperlink w:anchor="test_CT_031">
        <w:r>
          <w:rPr>
            <w:rStyle w:val="Hyperlink"/>
          </w:rPr>
          <w:t>CT-031</w:t>
        </w:r>
      </w:hyperlink>
      <w:r>
        <w:rPr/>
        <w:t xml:space="preserve">  |  Basis: </w:t>
      </w:r>
      <w:hyperlink w:anchor="S00">
        <w:r>
          <w:rPr>
            <w:rStyle w:val="Hyperlink"/>
          </w:rPr>
          <w:t>S00</w:t>
        </w:r>
      </w:hyperlink>
      <w:r>
        <w:rPr/>
        <w:t xml:space="preserve">  |  new-v1.1</w:t>
      </w:r>
    </w:p>
    <w:p>
      <w:pPr>
        <w:pStyle w:val="Heading2"/>
        <w:numPr>
          <w:ilvl w:val="0"/>
          <w:numId w:val="7"/>
        </w:numPr>
        <w:rPr/>
      </w:pPr>
      <w:bookmarkStart w:id="88" w:name="__RefHeading___Toc13317_1645000677"/>
      <w:bookmarkStart w:id="89" w:name="sec_15"/>
      <w:bookmarkEnd w:id="88"/>
      <w:r>
        <w:rPr/>
        <w:t>IPAM, DNS and DHCP as one lifecycle</w:t>
      </w:r>
      <w:bookmarkEnd w:id="89"/>
    </w:p>
    <w:p>
      <w:pPr>
        <w:pStyle w:val="BodyText"/>
        <w:rPr/>
      </w:pPr>
      <w:r>
        <w:rPr/>
        <w:t>An authoritative IPAM service owns allocations, reservations, status and address reuse. Site, domain and tenant are allocation dimensions rather than an assumption that every tenant receives a fixed /16. Consumers request a network size or capacity class; the provider selects a prefix from the eligible scope after placement constraints are resolved. Unique addressing is the default; overlap requires an approved migration/translation design and unambiguous telemetry.</w:t>
      </w:r>
    </w:p>
    <w:p>
      <w:pPr>
        <w:pStyle w:val="BodyText"/>
        <w:rPr/>
      </w:pPr>
      <w:r>
        <w:rPr/>
        <w:t>Allocation is transactional and idempotent by operation ID. Reserve first, commit after the dependent network is realized, and release only after routes, leases, DNS and policy are reconciled. A retry after a lost response must return the same reservation rather than allocate again. Failed requests leave an expiring reservation or an explicitly owned orphan, not an undocumented address. IPv4 and IPv6 allocations share the same resource identity but retain family-specific lifecycles.</w:t>
      </w:r>
    </w:p>
    <w:p>
      <w:pPr>
        <w:pStyle w:val="BodyText"/>
        <w:rPr/>
      </w:pPr>
      <w:r>
        <w:rPr/>
        <w:t>DNS and DHCP profiles define authoritative zones, delegation, resolver endpoints, reverse records, lease behavior, dynamic-update authority, split-horizon requirements and retention of historical ownership. Restore and migration may change addresses while preserving logical service names. Quarantine periods depend on maximum relevant TTL, lease duration, session/NAT lifetime and evidence requirements, not a universal arbitrary delay. Address ownership history remains available for incident attribution.</w:t>
      </w:r>
    </w:p>
    <w:p>
      <w:pPr>
        <w:pStyle w:val="Requirement"/>
        <w:keepNext w:val="true"/>
        <w:rPr/>
      </w:pPr>
      <w:bookmarkStart w:id="90" w:name="req_IPAM_001"/>
      <w:bookmarkEnd w:id="90"/>
      <w:r>
        <w:rPr>
          <w:rStyle w:val="ReqID"/>
        </w:rPr>
        <w:t xml:space="preserve">IPAM-001  </w:t>
      </w:r>
      <w:r>
        <w:rPr/>
        <w:t>Every managed network SHALL have an authoritative IPAM record and owner.</w:t>
      </w:r>
    </w:p>
    <w:p>
      <w:pPr>
        <w:pStyle w:val="ReqMeta"/>
        <w:rPr/>
      </w:pPr>
      <w:r>
        <w:rPr/>
        <w:t xml:space="preserve">Network engineering  |  Verify: </w:t>
      </w:r>
      <w:hyperlink w:anchor="test_CT_029">
        <w:r>
          <w:rPr>
            <w:rStyle w:val="Hyperlink"/>
          </w:rPr>
          <w:t>CT-029</w:t>
        </w:r>
      </w:hyperlink>
      <w:r>
        <w:rPr/>
        <w:t xml:space="preserve">, </w:t>
      </w:r>
      <w:hyperlink w:anchor="test_CT_030">
        <w:r>
          <w:rPr>
            <w:rStyle w:val="Hyperlink"/>
          </w:rPr>
          <w:t>CT-030</w:t>
        </w:r>
      </w:hyperlink>
      <w:r>
        <w:rPr/>
        <w:t xml:space="preserve">  |  Basis: </w:t>
      </w:r>
      <w:hyperlink w:anchor="S00">
        <w:r>
          <w:rPr>
            <w:rStyle w:val="Hyperlink"/>
          </w:rPr>
          <w:t>S00</w:t>
        </w:r>
      </w:hyperlink>
      <w:r>
        <w:rPr/>
        <w:t xml:space="preserve">  |  retained-v1.0</w:t>
      </w:r>
    </w:p>
    <w:p>
      <w:pPr>
        <w:pStyle w:val="Requirement"/>
        <w:keepNext w:val="true"/>
        <w:rPr/>
      </w:pPr>
      <w:bookmarkStart w:id="91" w:name="req_IPAM_002"/>
      <w:bookmarkEnd w:id="91"/>
      <w:r>
        <w:rPr>
          <w:rStyle w:val="ReqID"/>
        </w:rPr>
        <w:t xml:space="preserve">IPAM-002  </w:t>
      </w:r>
      <w:r>
        <w:rPr/>
        <w:t>Overlapping address space SHALL be an explicit exception or migration pattern, not the standard tenancy model.</w:t>
      </w:r>
    </w:p>
    <w:p>
      <w:pPr>
        <w:pStyle w:val="ReqMeta"/>
        <w:rPr/>
      </w:pPr>
      <w:r>
        <w:rPr/>
        <w:t xml:space="preserve">Network engineering  |  Verify: </w:t>
      </w:r>
      <w:hyperlink w:anchor="test_CT_029">
        <w:r>
          <w:rPr>
            <w:rStyle w:val="Hyperlink"/>
          </w:rPr>
          <w:t>CT-029</w:t>
        </w:r>
      </w:hyperlink>
      <w:r>
        <w:rPr/>
        <w:t xml:space="preserve">, </w:t>
      </w:r>
      <w:hyperlink w:anchor="test_CT_061">
        <w:r>
          <w:rPr>
            <w:rStyle w:val="Hyperlink"/>
          </w:rPr>
          <w:t>CT-061</w:t>
        </w:r>
      </w:hyperlink>
      <w:r>
        <w:rPr/>
        <w:t xml:space="preserve">  |  Basis: </w:t>
      </w:r>
      <w:hyperlink w:anchor="S00">
        <w:r>
          <w:rPr>
            <w:rStyle w:val="Hyperlink"/>
          </w:rPr>
          <w:t>S00</w:t>
        </w:r>
      </w:hyperlink>
      <w:r>
        <w:rPr/>
        <w:t xml:space="preserve">  |  retained-v1.0</w:t>
      </w:r>
    </w:p>
    <w:p>
      <w:pPr>
        <w:pStyle w:val="Requirement"/>
        <w:keepNext w:val="true"/>
        <w:rPr/>
      </w:pPr>
      <w:bookmarkStart w:id="92" w:name="req_IPAM_003"/>
      <w:bookmarkEnd w:id="92"/>
      <w:r>
        <w:rPr>
          <w:rStyle w:val="ReqID"/>
        </w:rPr>
        <w:t xml:space="preserve">IPAM-003  </w:t>
      </w:r>
      <w:r>
        <w:rPr/>
        <w:t>Address release SHOULD include quarantine/reuse controls appropriate to DNS, logging, firewall state, and incident-response requirements.</w:t>
      </w:r>
    </w:p>
    <w:p>
      <w:pPr>
        <w:pStyle w:val="ReqMeta"/>
        <w:rPr/>
      </w:pPr>
      <w:r>
        <w:rPr/>
        <w:t xml:space="preserve">Network engineering  |  Verify: </w:t>
      </w:r>
      <w:hyperlink w:anchor="test_CT_013">
        <w:r>
          <w:rPr>
            <w:rStyle w:val="Hyperlink"/>
          </w:rPr>
          <w:t>CT-013</w:t>
        </w:r>
      </w:hyperlink>
      <w:r>
        <w:rPr/>
        <w:t xml:space="preserve">, </w:t>
      </w:r>
      <w:hyperlink w:anchor="test_CT_030">
        <w:r>
          <w:rPr>
            <w:rStyle w:val="Hyperlink"/>
          </w:rPr>
          <w:t>CT-030</w:t>
        </w:r>
      </w:hyperlink>
      <w:r>
        <w:rPr/>
        <w:t xml:space="preserve">  |  Basis: </w:t>
      </w:r>
      <w:hyperlink w:anchor="S00">
        <w:r>
          <w:rPr>
            <w:rStyle w:val="Hyperlink"/>
          </w:rPr>
          <w:t>S00</w:t>
        </w:r>
      </w:hyperlink>
      <w:r>
        <w:rPr/>
        <w:t xml:space="preserve">  |  retained-v1.0</w:t>
      </w:r>
    </w:p>
    <w:p>
      <w:pPr>
        <w:pStyle w:val="Requirement"/>
        <w:keepNext w:val="true"/>
        <w:rPr/>
      </w:pPr>
      <w:bookmarkStart w:id="93" w:name="req_IPAM_004"/>
      <w:bookmarkEnd w:id="93"/>
      <w:r>
        <w:rPr>
          <w:rStyle w:val="ReqID"/>
        </w:rPr>
        <w:t xml:space="preserve">IPAM-004  </w:t>
      </w:r>
      <w:r>
        <w:rPr/>
        <w:t>Address allocation, DNS/DHCP registration and release SHALL use idempotent operation identities, conflict detection and a dependency-aware quarantine policy; IPAM failure SHALL NOT cause guessed allocations.</w:t>
      </w:r>
    </w:p>
    <w:p>
      <w:pPr>
        <w:pStyle w:val="ReqMeta"/>
        <w:rPr/>
      </w:pPr>
      <w:r>
        <w:rPr/>
        <w:t xml:space="preserve">Automation platform  |  Verify: </w:t>
      </w:r>
      <w:hyperlink w:anchor="test_CT_029">
        <w:r>
          <w:rPr>
            <w:rStyle w:val="Hyperlink"/>
          </w:rPr>
          <w:t>CT-029</w:t>
        </w:r>
      </w:hyperlink>
      <w:r>
        <w:rPr/>
        <w:t xml:space="preserve">, </w:t>
      </w:r>
      <w:hyperlink w:anchor="test_CT_030">
        <w:r>
          <w:rPr>
            <w:rStyle w:val="Hyperlink"/>
          </w:rPr>
          <w:t>CT-030</w:t>
        </w:r>
      </w:hyperlink>
      <w:r>
        <w:rPr/>
        <w:t xml:space="preserve">, </w:t>
      </w:r>
      <w:hyperlink w:anchor="test_CT_045">
        <w:r>
          <w:rPr>
            <w:rStyle w:val="Hyperlink"/>
          </w:rPr>
          <w:t>CT-045</w:t>
        </w:r>
      </w:hyperlink>
      <w:r>
        <w:rPr/>
        <w:t xml:space="preserve">, </w:t>
      </w:r>
      <w:hyperlink w:anchor="test_CT_046">
        <w:r>
          <w:rPr>
            <w:rStyle w:val="Hyperlink"/>
          </w:rPr>
          <w:t>CT-046</w:t>
        </w:r>
      </w:hyperlink>
      <w:r>
        <w:rPr/>
        <w:t xml:space="preserve">  |  Basis: </w:t>
      </w:r>
      <w:hyperlink w:anchor="S00">
        <w:r>
          <w:rPr>
            <w:rStyle w:val="Hyperlink"/>
          </w:rPr>
          <w:t>S00</w:t>
        </w:r>
      </w:hyperlink>
      <w:r>
        <w:rPr/>
        <w:t xml:space="preserve">  |  new-v1.1</w:t>
      </w:r>
    </w:p>
    <w:p>
      <w:pPr>
        <w:pStyle w:val="Heading2"/>
        <w:numPr>
          <w:ilvl w:val="0"/>
          <w:numId w:val="7"/>
        </w:numPr>
        <w:rPr/>
      </w:pPr>
      <w:bookmarkStart w:id="94" w:name="__RefHeading___Toc13319_1645000677"/>
      <w:bookmarkStart w:id="95" w:name="sec_16"/>
      <w:bookmarkEnd w:id="94"/>
      <w:r>
        <w:rPr/>
        <w:t>IPv6 and alternate-path control</w:t>
      </w:r>
      <w:bookmarkEnd w:id="95"/>
    </w:p>
    <w:p>
      <w:pPr>
        <w:pStyle w:val="BodyText"/>
        <w:rPr/>
      </w:pPr>
      <w:r>
        <w:rPr/>
        <w:t>The contract supports explicit ipv4-only, ipv6-only or dual-stack address-family modes, but each offered mode requires separate qualification. IPv6 is not an unchecked Boolean that promises platform support. Dual-stack admission checks routing, ZIP policy, service endpoints, observability, DNS, recovery and the complete attachment path. IPv4-only service still needs a documented treatment of IPv6 local control traffic and unapproved encapsulation/transition paths.</w:t>
      </w:r>
    </w:p>
    <w:p>
      <w:pPr>
        <w:pStyle w:val="BodyText"/>
        <w:rPr/>
      </w:pPr>
      <w:r>
        <w:rPr/>
        <w:t>The IPv6 profile specifies prefix allocation, gateway/RA/DHCPv6 behavior, neighbor discovery, source validation, router-advertisement protection, extension-header/fragment policy and required ICMPv6. Do not copy a blanket IPv4-style ICMP deny that prevents necessary IPv6 operation or path-MTU discovery. Link-local connectivity is scoped to the segment and must not create an ungoverned administration path. Qualify both positive protocol operation and negative security paths. [</w:t>
      </w:r>
      <w:hyperlink w:anchor="S23">
        <w:r>
          <w:rPr>
            <w:rStyle w:val="Hyperlink"/>
          </w:rPr>
          <w:t>S23</w:t>
        </w:r>
      </w:hyperlink>
      <w:r>
        <w:rPr/>
        <w:t xml:space="preserve">; </w:t>
      </w:r>
      <w:hyperlink w:anchor="S24">
        <w:r>
          <w:rPr>
            <w:rStyle w:val="Hyperlink"/>
          </w:rPr>
          <w:t>S24</w:t>
        </w:r>
      </w:hyperlink>
      <w:r>
        <w:rPr/>
        <w:t>]</w:t>
      </w:r>
    </w:p>
    <w:p>
      <w:pPr>
        <w:pStyle w:val="BodyText"/>
        <w:rPr/>
      </w:pPr>
      <w:r>
        <w:rPr/>
        <w:t>Operational records carry address family and the stable domain/WSD identity. NAT, if present, is recorded as translation rather than identity; original and translated tuples are attributable. IPv6-only service must declare any IPv4-only dependency and an approved mediation pattern; unsupported family conversion is rejected instead of routed through an unmanaged appliance.</w:t>
      </w:r>
    </w:p>
    <w:p>
      <w:pPr>
        <w:pStyle w:val="Requirement"/>
        <w:keepNext w:val="true"/>
        <w:rPr/>
      </w:pPr>
      <w:bookmarkStart w:id="96" w:name="req_IPV6_001"/>
      <w:bookmarkEnd w:id="96"/>
      <w:r>
        <w:rPr>
          <w:rStyle w:val="ReqID"/>
        </w:rPr>
        <w:t xml:space="preserve">IPV6-001  </w:t>
      </w:r>
      <w:r>
        <w:rPr/>
        <w:t>Security semantics SHALL be equivalent across IPv4 and IPv6 unless an explicit, approved protocol-specific exception exists.</w:t>
      </w:r>
    </w:p>
    <w:p>
      <w:pPr>
        <w:pStyle w:val="ReqMeta"/>
        <w:rPr/>
      </w:pPr>
      <w:r>
        <w:rPr/>
        <w:t xml:space="preserve">Network engineering  |  Verify: </w:t>
      </w:r>
      <w:hyperlink w:anchor="test_CT_002">
        <w:r>
          <w:rPr>
            <w:rStyle w:val="Hyperlink"/>
          </w:rPr>
          <w:t>CT-002</w:t>
        </w:r>
      </w:hyperlink>
      <w:r>
        <w:rPr/>
        <w:t xml:space="preserve">, </w:t>
      </w:r>
      <w:hyperlink w:anchor="test_CT_031">
        <w:r>
          <w:rPr>
            <w:rStyle w:val="Hyperlink"/>
          </w:rPr>
          <w:t>CT-031</w:t>
        </w:r>
      </w:hyperlink>
      <w:r>
        <w:rPr/>
        <w:t xml:space="preserve">, </w:t>
      </w:r>
      <w:hyperlink w:anchor="test_CT_032">
        <w:r>
          <w:rPr>
            <w:rStyle w:val="Hyperlink"/>
          </w:rPr>
          <w:t>CT-032</w:t>
        </w:r>
      </w:hyperlink>
      <w:r>
        <w:rPr/>
        <w:t xml:space="preserve">  |  Basis: </w:t>
      </w:r>
      <w:hyperlink w:anchor="S00">
        <w:r>
          <w:rPr>
            <w:rStyle w:val="Hyperlink"/>
          </w:rPr>
          <w:t>S00</w:t>
        </w:r>
      </w:hyperlink>
      <w:r>
        <w:rPr/>
        <w:t xml:space="preserve">  |  retained-v1.0</w:t>
      </w:r>
    </w:p>
    <w:p>
      <w:pPr>
        <w:pStyle w:val="Requirement"/>
        <w:keepNext w:val="true"/>
        <w:rPr/>
      </w:pPr>
      <w:bookmarkStart w:id="97" w:name="req_IPV6_002"/>
      <w:bookmarkEnd w:id="97"/>
      <w:r>
        <w:rPr>
          <w:rStyle w:val="ReqID"/>
        </w:rPr>
        <w:t xml:space="preserve">IPV6-002  </w:t>
      </w:r>
      <w:r>
        <w:rPr/>
        <w:t>Conformance testing SHALL include IPv6 negative-path tests before a platform is certified for dual-stack service.</w:t>
      </w:r>
    </w:p>
    <w:p>
      <w:pPr>
        <w:pStyle w:val="ReqMeta"/>
        <w:rPr/>
      </w:pPr>
      <w:r>
        <w:rPr/>
        <w:t xml:space="preserve">Platform engineering  |  Verify: </w:t>
      </w:r>
      <w:hyperlink w:anchor="test_CT_002">
        <w:r>
          <w:rPr>
            <w:rStyle w:val="Hyperlink"/>
          </w:rPr>
          <w:t>CT-002</w:t>
        </w:r>
      </w:hyperlink>
      <w:r>
        <w:rPr/>
        <w:t xml:space="preserve">, </w:t>
      </w:r>
      <w:hyperlink w:anchor="test_CT_003">
        <w:r>
          <w:rPr>
            <w:rStyle w:val="Hyperlink"/>
          </w:rPr>
          <w:t>CT-003</w:t>
        </w:r>
      </w:hyperlink>
      <w:r>
        <w:rPr/>
        <w:t xml:space="preserve">, </w:t>
      </w:r>
      <w:hyperlink w:anchor="test_CT_031">
        <w:r>
          <w:rPr>
            <w:rStyle w:val="Hyperlink"/>
          </w:rPr>
          <w:t>CT-031</w:t>
        </w:r>
      </w:hyperlink>
      <w:r>
        <w:rPr/>
        <w:t xml:space="preserve">  |  Basis: </w:t>
      </w:r>
      <w:hyperlink w:anchor="S00">
        <w:r>
          <w:rPr>
            <w:rStyle w:val="Hyperlink"/>
          </w:rPr>
          <w:t>S00</w:t>
        </w:r>
      </w:hyperlink>
      <w:r>
        <w:rPr/>
        <w:t xml:space="preserve">  |  retained-v1.0</w:t>
      </w:r>
    </w:p>
    <w:p>
      <w:pPr>
        <w:pStyle w:val="Requirement"/>
        <w:keepNext w:val="true"/>
        <w:rPr/>
      </w:pPr>
      <w:bookmarkStart w:id="98" w:name="req_IPV6_003"/>
      <w:bookmarkEnd w:id="98"/>
      <w:r>
        <w:rPr>
          <w:rStyle w:val="ReqID"/>
        </w:rPr>
        <w:t xml:space="preserve">IPV6-003  </w:t>
      </w:r>
      <w:r>
        <w:rPr/>
        <w:t>Every offered address-family mode SHALL define local protocol controls, ICMPv6/PMTU treatment, transition-path restrictions and complete service/recovery dependencies; unsupported family combinations SHALL be rejected.</w:t>
      </w:r>
    </w:p>
    <w:p>
      <w:pPr>
        <w:pStyle w:val="ReqMeta"/>
        <w:rPr/>
      </w:pPr>
      <w:r>
        <w:rPr/>
        <w:t xml:space="preserve">Network engineering  |  Verify: </w:t>
      </w:r>
      <w:hyperlink w:anchor="test_CT_018">
        <w:r>
          <w:rPr>
            <w:rStyle w:val="Hyperlink"/>
          </w:rPr>
          <w:t>CT-018</w:t>
        </w:r>
      </w:hyperlink>
      <w:r>
        <w:rPr/>
        <w:t xml:space="preserve">, </w:t>
      </w:r>
      <w:hyperlink w:anchor="test_CT_031">
        <w:r>
          <w:rPr>
            <w:rStyle w:val="Hyperlink"/>
          </w:rPr>
          <w:t>CT-031</w:t>
        </w:r>
      </w:hyperlink>
      <w:r>
        <w:rPr/>
        <w:t xml:space="preserve">, </w:t>
      </w:r>
      <w:hyperlink w:anchor="test_CT_032">
        <w:r>
          <w:rPr>
            <w:rStyle w:val="Hyperlink"/>
          </w:rPr>
          <w:t>CT-032</w:t>
        </w:r>
      </w:hyperlink>
      <w:r>
        <w:rPr/>
        <w:t xml:space="preserve">  |  Basis: </w:t>
      </w:r>
      <w:hyperlink w:anchor="S23">
        <w:r>
          <w:rPr>
            <w:rStyle w:val="Hyperlink"/>
          </w:rPr>
          <w:t>S23</w:t>
        </w:r>
      </w:hyperlink>
      <w:r>
        <w:rPr/>
        <w:t xml:space="preserve"> / </w:t>
      </w:r>
      <w:hyperlink w:anchor="S24">
        <w:r>
          <w:rPr>
            <w:rStyle w:val="Hyperlink"/>
          </w:rPr>
          <w:t>S24</w:t>
        </w:r>
      </w:hyperlink>
      <w:r>
        <w:rPr/>
        <w:t xml:space="preserve">  |  new-v1.1</w:t>
      </w:r>
    </w:p>
    <w:p>
      <w:pPr>
        <w:pStyle w:val="Heading2"/>
        <w:numPr>
          <w:ilvl w:val="0"/>
          <w:numId w:val="7"/>
        </w:numPr>
        <w:rPr/>
      </w:pPr>
      <w:bookmarkStart w:id="99" w:name="__RefHeading___Toc13321_1645000677"/>
      <w:bookmarkStart w:id="100" w:name="sec_17"/>
      <w:bookmarkEnd w:id="99"/>
      <w:r>
        <w:rPr/>
        <w:t>Shared services and explicit Service Bindings</w:t>
      </w:r>
      <w:bookmarkEnd w:id="100"/>
    </w:p>
    <w:p>
      <w:pPr>
        <w:pStyle w:val="BodyText"/>
        <w:rPr/>
      </w:pPr>
      <w:r>
        <w:rPr/>
        <w:t>A Service Binding grants consumption of an approved provider service to a specific domain or workload identity. The ServiceProfile defines endpoint identity, protocol/port, connection initiation, required authentication, certificates, availability, telemetry and administrative separation. Endpoint resolution is provider-owned and versioned. DNS, time, identity, PKI, logging, monitoring, backup and KMS are distinct services with different trust and failure characteristics.</w:t>
      </w:r>
    </w:p>
    <w:p>
      <w:pPr>
        <w:pStyle w:val="BodyText"/>
        <w:rPr/>
      </w:pPr>
      <w:r>
        <w:rPr/>
        <w:t>A binding does not create a route to an entire common-services subnet. Where a service must initiate a connection, such as a pull-based backup or management agent flow, that direction is explicit and constrained to the intended workload identity. Multi-tenant service backends enforce their own data/API authorization even when network access is permitted. An authenticated service endpoint is not evidence that every tenant is entitled to every resource behind it.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942"/>
        <w:gridCol w:w="3817"/>
        <w:gridCol w:w="3817"/>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Service</w:t>
            </w:r>
          </w:p>
        </w:tc>
        <w:tc>
          <w:tcPr>
            <w:tcW w:w="381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Consumption path</w:t>
            </w:r>
          </w:p>
        </w:tc>
        <w:tc>
          <w:tcPr>
            <w:tcW w:w="381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Separated administrative path</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DNS / time</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Approved resolver/time endpoints, limited protocols</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Zone/clock configuration and service administration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Identity / PKI / KMS</w:t>
            </w:r>
          </w:p>
        </w:tc>
        <w:tc>
          <w:tcPr>
            <w:tcW w:w="381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Scoped authentication, certificate issuance or key-use API</w:t>
            </w:r>
          </w:p>
        </w:tc>
        <w:tc>
          <w:tcPr>
            <w:tcW w:w="381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Directory, trust-root, key lifecycle and recovery custody</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Logging / monitoring</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Authenticated ingestion or explicitly approved collection</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Collector configuration, tenant log access and retention control</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Backup</w:t>
            </w:r>
          </w:p>
        </w:tc>
        <w:tc>
          <w:tcPr>
            <w:tcW w:w="381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Approved agent/proxy/data endpoint and restore mediation</w:t>
            </w:r>
          </w:p>
        </w:tc>
        <w:tc>
          <w:tcPr>
            <w:tcW w:w="381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Backup policy, repository, immutability and custodial deletion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Image / software repository</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Approved signed artefacts from controlled endpoints</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Repository publication, signing keys and provenance control</w:t>
            </w:r>
          </w:p>
        </w:tc>
      </w:tr>
    </w:tbl>
    <w:p>
      <w:pPr>
        <w:pStyle w:val="BodyText"/>
        <w:rPr/>
      </w:pPr>
      <w:r>
        <w:rPr/>
        <w:t>Zone-aligned endpoints can avoid unnecessary cross-zone connections, but duplicating an endpoint does not automatically make the service independent. Record shared controllers, keys, storage and failure domains. Service retirement includes identifying dependent WSDs, publishing a replacement/version change and revoking obsolete bindings after a controlled transition.</w:t>
      </w:r>
    </w:p>
    <w:p>
      <w:pPr>
        <w:pStyle w:val="Requirement"/>
        <w:keepNext w:val="true"/>
        <w:rPr/>
      </w:pPr>
      <w:bookmarkStart w:id="101" w:name="req_SVC_001"/>
      <w:bookmarkEnd w:id="101"/>
      <w:r>
        <w:rPr>
          <w:rStyle w:val="ReqID"/>
        </w:rPr>
        <w:t xml:space="preserve">SVC-001  </w:t>
      </w:r>
      <w:r>
        <w:rPr/>
        <w:t>Consumers SHALL NOT receive broad routing to a shared-services supernet solely because they consume one shared service.</w:t>
      </w:r>
    </w:p>
    <w:p>
      <w:pPr>
        <w:pStyle w:val="ReqMeta"/>
        <w:rPr/>
      </w:pPr>
      <w:r>
        <w:rPr/>
        <w:t xml:space="preserve">Service operations  |  Verify: </w:t>
      </w:r>
      <w:hyperlink w:anchor="test_CT_008">
        <w:r>
          <w:rPr>
            <w:rStyle w:val="Hyperlink"/>
          </w:rPr>
          <w:t>CT-008</w:t>
        </w:r>
      </w:hyperlink>
      <w:r>
        <w:rPr/>
        <w:t xml:space="preserve">, </w:t>
      </w:r>
      <w:hyperlink w:anchor="test_CT_037">
        <w:r>
          <w:rPr>
            <w:rStyle w:val="Hyperlink"/>
          </w:rPr>
          <w:t>CT-037</w:t>
        </w:r>
      </w:hyperlink>
      <w:r>
        <w:rPr/>
        <w:t xml:space="preserve">  |  Basis: </w:t>
      </w:r>
      <w:hyperlink w:anchor="S00">
        <w:r>
          <w:rPr>
            <w:rStyle w:val="Hyperlink"/>
          </w:rPr>
          <w:t>S00</w:t>
        </w:r>
      </w:hyperlink>
      <w:r>
        <w:rPr/>
        <w:t xml:space="preserve">  |  retained-v1.0</w:t>
      </w:r>
    </w:p>
    <w:p>
      <w:pPr>
        <w:pStyle w:val="Requirement"/>
        <w:keepNext w:val="true"/>
        <w:rPr/>
      </w:pPr>
      <w:bookmarkStart w:id="102" w:name="req_SVC_002"/>
      <w:bookmarkEnd w:id="102"/>
      <w:r>
        <w:rPr>
          <w:rStyle w:val="ReqID"/>
        </w:rPr>
        <w:t xml:space="preserve">SVC-002  </w:t>
      </w:r>
      <w:r>
        <w:rPr/>
        <w:t>Where useful, shared services SHOULD expose zone-aligned endpoints so that consumption does not force unnecessary cross-zone routing.</w:t>
      </w:r>
    </w:p>
    <w:p>
      <w:pPr>
        <w:pStyle w:val="ReqMeta"/>
        <w:rPr/>
      </w:pPr>
      <w:r>
        <w:rPr/>
        <w:t xml:space="preserve">Service operations  |  Verify: </w:t>
      </w:r>
      <w:hyperlink w:anchor="test_CT_008">
        <w:r>
          <w:rPr>
            <w:rStyle w:val="Hyperlink"/>
          </w:rPr>
          <w:t>CT-008</w:t>
        </w:r>
      </w:hyperlink>
      <w:r>
        <w:rPr/>
        <w:t xml:space="preserve">, </w:t>
      </w:r>
      <w:hyperlink w:anchor="test_CT_025">
        <w:r>
          <w:rPr>
            <w:rStyle w:val="Hyperlink"/>
          </w:rPr>
          <w:t>CT-025</w:t>
        </w:r>
      </w:hyperlink>
      <w:r>
        <w:rPr/>
        <w:t xml:space="preserve">  |  Basis: </w:t>
      </w:r>
      <w:hyperlink w:anchor="S00">
        <w:r>
          <w:rPr>
            <w:rStyle w:val="Hyperlink"/>
          </w:rPr>
          <w:t>S00</w:t>
        </w:r>
      </w:hyperlink>
      <w:r>
        <w:rPr/>
        <w:t xml:space="preserve">  |  retained-v1.0</w:t>
      </w:r>
    </w:p>
    <w:p>
      <w:pPr>
        <w:pStyle w:val="Requirement"/>
        <w:keepNext w:val="true"/>
        <w:rPr/>
      </w:pPr>
      <w:bookmarkStart w:id="103" w:name="req_SVC_003"/>
      <w:bookmarkEnd w:id="103"/>
      <w:r>
        <w:rPr>
          <w:rStyle w:val="ReqID"/>
        </w:rPr>
        <w:t xml:space="preserve">SVC-003  </w:t>
      </w:r>
      <w:r>
        <w:rPr/>
        <w:t>Each ServiceProfile SHALL define direction, endpoint identity, authentication, allowed scope, availability, failure behavior and management separation; bindings SHALL be revoked when their entitlement or service version expires.</w:t>
      </w:r>
    </w:p>
    <w:p>
      <w:pPr>
        <w:pStyle w:val="ReqMeta"/>
        <w:rPr/>
      </w:pPr>
      <w:r>
        <w:rPr/>
        <w:t xml:space="preserve">Service operations  |  Verify: </w:t>
      </w:r>
      <w:hyperlink w:anchor="test_CT_008">
        <w:r>
          <w:rPr>
            <w:rStyle w:val="Hyperlink"/>
          </w:rPr>
          <w:t>CT-008</w:t>
        </w:r>
      </w:hyperlink>
      <w:r>
        <w:rPr/>
        <w:t xml:space="preserve">, </w:t>
      </w:r>
      <w:hyperlink w:anchor="test_CT_028">
        <w:r>
          <w:rPr>
            <w:rStyle w:val="Hyperlink"/>
          </w:rPr>
          <w:t>CT-028</w:t>
        </w:r>
      </w:hyperlink>
      <w:r>
        <w:rPr/>
        <w:t xml:space="preserve">, </w:t>
      </w:r>
      <w:hyperlink w:anchor="test_CT_077">
        <w:r>
          <w:rPr>
            <w:rStyle w:val="Hyperlink"/>
          </w:rPr>
          <w:t>CT-077</w:t>
        </w:r>
      </w:hyperlink>
      <w:r>
        <w:rPr/>
        <w:t xml:space="preserve">  |  Basis: </w:t>
      </w:r>
      <w:hyperlink w:anchor="S00">
        <w:r>
          <w:rPr>
            <w:rStyle w:val="Hyperlink"/>
          </w:rPr>
          <w:t>S00</w:t>
        </w:r>
      </w:hyperlink>
      <w:r>
        <w:rPr/>
        <w:t xml:space="preserve">  |  new-v1.1</w:t>
      </w:r>
    </w:p>
    <w:p>
      <w:pPr>
        <w:pStyle w:val="Heading2"/>
        <w:numPr>
          <w:ilvl w:val="0"/>
          <w:numId w:val="7"/>
        </w:numPr>
        <w:rPr/>
      </w:pPr>
      <w:bookmarkStart w:id="104" w:name="__RefHeading___Toc13323_1645000677"/>
      <w:bookmarkStart w:id="105" w:name="sec_18"/>
      <w:bookmarkEnd w:id="104"/>
      <w:r>
        <w:rPr/>
        <w:t>Public ingress, controlled egress and external exposure</w:t>
      </w:r>
      <w:bookmarkEnd w:id="105"/>
    </w:p>
    <w:p>
      <w:pPr>
        <w:pStyle w:val="Heading3"/>
        <w:rPr/>
      </w:pPr>
      <w:r>
        <w:rPr/>
        <w:t>Public ingress</w:t>
      </w:r>
    </w:p>
    <w:p>
      <w:pPr>
        <w:pStyle w:val="BodyText"/>
        <w:rPr/>
      </w:pPr>
      <w:r>
        <w:rPr/>
        <w:t>Public exposure is requested as a service outcome. The Exposure identifies owner, external domain, public service identity, protocol, TLS/certificate/DNS dependencies, PAZ ingress function, backend FlowIntent, telemetry and lifecycle. The internal domain is not attached directly to a public network. Ingress qualification covers load balancing, reverse proxy/API mediation, denial-of-service handling, backend identity and required application-layer inspection.</w:t>
      </w:r>
    </w:p>
    <w:p>
      <w:pPr>
        <w:pStyle w:val="BodyText"/>
        <w:rPr/>
      </w:pPr>
      <w:r>
        <w:rPr/>
        <w:t>Where TLS terminates at ingress, re-encryption and backend certificate validation follow the selected profile. TLS passthrough is an explicit alternative with documented inspection limits. Preserve trustworthy client attribution: only approved proxies may supply client-identity headers; externally supplied headers cannot override the trusted identity chain. Public DNS and certificates are withdrawn or transferred in a controlled order during retirement.</w:t>
      </w:r>
    </w:p>
    <w:p>
      <w:pPr>
        <w:pStyle w:val="Heading3"/>
        <w:rPr/>
      </w:pPr>
      <w:r>
        <w:rPr/>
        <w:t>Internet egress and other external connections</w:t>
      </w:r>
    </w:p>
    <w:p>
      <w:pPr>
        <w:pStyle w:val="BodyText"/>
        <w:rPr/>
      </w:pPr>
      <w:r>
        <w:rPr/>
        <w:t>No WSD receives Internet reachability by default. An EgressProfile identifies allowed destination/service scope, DNS behavior, proxy/NAT use, logging, identity attribution and revocation. A NAT gateway changes addressing; it is not a substitute for security policy. FQDN-based policy requires a defined resolver, refresh behavior and handling of shared/CDN addresses. Raw IP exceptions are scoped and reviewed.</w:t>
      </w:r>
    </w:p>
    <w:p>
      <w:pPr>
        <w:pStyle w:val="BodyText"/>
        <w:rPr/>
      </w:pPr>
      <w:r>
        <w:rPr/>
        <w:t>Partner, enterprise and interconnect exposure uses the same lifecycle but different trust and agreement metadata. Translation for overlapping addresses is limited to approved endpoints and records both address identities. Existing-session behavior on policy revocation is explicit: terminate or drain within an approved bound, never leave an indefinite hidden permission.</w:t>
      </w:r>
    </w:p>
    <w:p>
      <w:pPr>
        <w:pStyle w:val="Requirement"/>
        <w:keepNext w:val="true"/>
        <w:rPr/>
      </w:pPr>
      <w:bookmarkStart w:id="106" w:name="req_ING_001"/>
      <w:bookmarkEnd w:id="106"/>
      <w:r>
        <w:rPr>
          <w:rStyle w:val="ReqID"/>
        </w:rPr>
        <w:t xml:space="preserve">ING-001  </w:t>
      </w:r>
      <w:r>
        <w:rPr/>
        <w:t>A workload SHALL NOT obtain direct public ingress by attaching its internal Security Domain directly to a public network.</w:t>
      </w:r>
    </w:p>
    <w:p>
      <w:pPr>
        <w:pStyle w:val="ReqMeta"/>
        <w:rPr/>
      </w:pPr>
      <w:r>
        <w:rPr/>
        <w:t xml:space="preserve">Security-edge operations  |  Verify: </w:t>
      </w:r>
      <w:hyperlink w:anchor="test_CT_006">
        <w:r>
          <w:rPr>
            <w:rStyle w:val="Hyperlink"/>
          </w:rPr>
          <w:t>CT-006</w:t>
        </w:r>
      </w:hyperlink>
      <w:r>
        <w:rPr/>
        <w:t xml:space="preserve">, </w:t>
      </w:r>
      <w:hyperlink w:anchor="test_CT_025">
        <w:r>
          <w:rPr>
            <w:rStyle w:val="Hyperlink"/>
          </w:rPr>
          <w:t>CT-025</w:t>
        </w:r>
      </w:hyperlink>
      <w:r>
        <w:rPr/>
        <w:t xml:space="preserve">  |  Basis: </w:t>
      </w:r>
      <w:hyperlink w:anchor="S00">
        <w:r>
          <w:rPr>
            <w:rStyle w:val="Hyperlink"/>
          </w:rPr>
          <w:t>S00</w:t>
        </w:r>
      </w:hyperlink>
      <w:r>
        <w:rPr/>
        <w:t xml:space="preserve">  |  retained-v1.0</w:t>
      </w:r>
    </w:p>
    <w:p>
      <w:pPr>
        <w:pStyle w:val="Requirement"/>
        <w:keepNext w:val="true"/>
        <w:rPr/>
      </w:pPr>
      <w:bookmarkStart w:id="107" w:name="req_ING_002"/>
      <w:bookmarkEnd w:id="107"/>
      <w:r>
        <w:rPr>
          <w:rStyle w:val="ReqID"/>
        </w:rPr>
        <w:t xml:space="preserve">ING-002  </w:t>
      </w:r>
      <w:r>
        <w:rPr/>
        <w:t>Public exposure SHALL be represented by an Exposure object with owner, protocol, endpoint, certificate/DNS dependencies, logging, security profile, and lifecycle state.</w:t>
      </w:r>
    </w:p>
    <w:p>
      <w:pPr>
        <w:pStyle w:val="ReqMeta"/>
        <w:rPr/>
      </w:pPr>
      <w:r>
        <w:rPr/>
        <w:t xml:space="preserve">Service owner  |  Verify: </w:t>
      </w:r>
      <w:hyperlink w:anchor="test_CT_006">
        <w:r>
          <w:rPr>
            <w:rStyle w:val="Hyperlink"/>
          </w:rPr>
          <w:t>CT-006</w:t>
        </w:r>
      </w:hyperlink>
      <w:r>
        <w:rPr/>
        <w:t xml:space="preserve">, </w:t>
      </w:r>
      <w:hyperlink w:anchor="test_CT_063">
        <w:r>
          <w:rPr>
            <w:rStyle w:val="Hyperlink"/>
          </w:rPr>
          <w:t>CT-063</w:t>
        </w:r>
      </w:hyperlink>
      <w:r>
        <w:rPr/>
        <w:t xml:space="preserve">  |  Basis: </w:t>
      </w:r>
      <w:hyperlink w:anchor="S00">
        <w:r>
          <w:rPr>
            <w:rStyle w:val="Hyperlink"/>
          </w:rPr>
          <w:t>S00</w:t>
        </w:r>
      </w:hyperlink>
      <w:r>
        <w:rPr/>
        <w:t xml:space="preserve">  |  retained-v1.0</w:t>
      </w:r>
    </w:p>
    <w:p>
      <w:pPr>
        <w:pStyle w:val="Requirement"/>
        <w:keepNext w:val="true"/>
        <w:rPr/>
      </w:pPr>
      <w:bookmarkStart w:id="108" w:name="req_EGR_001"/>
      <w:bookmarkEnd w:id="108"/>
      <w:r>
        <w:rPr>
          <w:rStyle w:val="ReqID"/>
        </w:rPr>
        <w:t xml:space="preserve">EGR-001  </w:t>
      </w:r>
      <w:r>
        <w:rPr/>
        <w:t>Internet egress SHALL be deny-by-default and enabled only through an approved egress profile.</w:t>
      </w:r>
    </w:p>
    <w:p>
      <w:pPr>
        <w:pStyle w:val="ReqMeta"/>
        <w:rPr/>
      </w:pPr>
      <w:r>
        <w:rPr/>
        <w:t xml:space="preserve">Security-edge operations  |  Verify: </w:t>
      </w:r>
      <w:hyperlink w:anchor="test_CT_005">
        <w:r>
          <w:rPr>
            <w:rStyle w:val="Hyperlink"/>
          </w:rPr>
          <w:t>CT-005</w:t>
        </w:r>
      </w:hyperlink>
      <w:r>
        <w:rPr/>
        <w:t xml:space="preserve">, </w:t>
      </w:r>
      <w:hyperlink w:anchor="test_CT_064">
        <w:r>
          <w:rPr>
            <w:rStyle w:val="Hyperlink"/>
          </w:rPr>
          <w:t>CT-064</w:t>
        </w:r>
      </w:hyperlink>
      <w:r>
        <w:rPr/>
        <w:t xml:space="preserve">  |  Basis: </w:t>
      </w:r>
      <w:hyperlink w:anchor="S00">
        <w:r>
          <w:rPr>
            <w:rStyle w:val="Hyperlink"/>
          </w:rPr>
          <w:t>S00</w:t>
        </w:r>
      </w:hyperlink>
      <w:r>
        <w:rPr/>
        <w:t xml:space="preserve">  |  retained-v1.0</w:t>
      </w:r>
    </w:p>
    <w:p>
      <w:pPr>
        <w:pStyle w:val="Requirement"/>
        <w:keepNext w:val="true"/>
        <w:rPr/>
      </w:pPr>
      <w:bookmarkStart w:id="109" w:name="req_EGR_002"/>
      <w:bookmarkEnd w:id="109"/>
      <w:r>
        <w:rPr>
          <w:rStyle w:val="ReqID"/>
        </w:rPr>
        <w:t xml:space="preserve">EGR-002  </w:t>
      </w:r>
      <w:r>
        <w:rPr/>
        <w:t>Egress telemetry SHALL permit attribution to the originating tenant/WSD and should preserve useful source identity where operationally feasible.</w:t>
      </w:r>
    </w:p>
    <w:p>
      <w:pPr>
        <w:pStyle w:val="ReqMeta"/>
        <w:rPr/>
      </w:pPr>
      <w:r>
        <w:rPr/>
        <w:t xml:space="preserve">Security-edge operations  |  Verify: </w:t>
      </w:r>
      <w:hyperlink w:anchor="test_CT_010">
        <w:r>
          <w:rPr>
            <w:rStyle w:val="Hyperlink"/>
          </w:rPr>
          <w:t>CT-010</w:t>
        </w:r>
      </w:hyperlink>
      <w:r>
        <w:rPr/>
        <w:t xml:space="preserve">, </w:t>
      </w:r>
      <w:hyperlink w:anchor="test_CT_064">
        <w:r>
          <w:rPr>
            <w:rStyle w:val="Hyperlink"/>
          </w:rPr>
          <w:t>CT-064</w:t>
        </w:r>
      </w:hyperlink>
      <w:r>
        <w:rPr/>
        <w:t xml:space="preserve">  |  Basis: </w:t>
      </w:r>
      <w:hyperlink w:anchor="S00">
        <w:r>
          <w:rPr>
            <w:rStyle w:val="Hyperlink"/>
          </w:rPr>
          <w:t>S00</w:t>
        </w:r>
      </w:hyperlink>
      <w:r>
        <w:rPr/>
        <w:t xml:space="preserve">  |  retained-v1.0</w:t>
      </w:r>
    </w:p>
    <w:p>
      <w:pPr>
        <w:pStyle w:val="Requirement"/>
        <w:keepNext w:val="true"/>
        <w:rPr/>
      </w:pPr>
      <w:bookmarkStart w:id="110" w:name="req_EXP_001"/>
      <w:bookmarkEnd w:id="110"/>
      <w:r>
        <w:rPr>
          <w:rStyle w:val="ReqID"/>
        </w:rPr>
        <w:t xml:space="preserve">EXP-001  </w:t>
      </w:r>
      <w:r>
        <w:rPr/>
        <w:t>Exposure SHALL remain disabled until current-generation boundary, certificate, backend, logging and authorization gates pass; exposure revocation SHALL enforce the approved existing-session policy.</w:t>
      </w:r>
    </w:p>
    <w:p>
      <w:pPr>
        <w:pStyle w:val="ReqMeta"/>
        <w:rPr/>
      </w:pPr>
      <w:r>
        <w:rPr/>
        <w:t xml:space="preserve">Security-edge operations  |  Verify: </w:t>
      </w:r>
      <w:hyperlink w:anchor="test_CT_063">
        <w:r>
          <w:rPr>
            <w:rStyle w:val="Hyperlink"/>
          </w:rPr>
          <w:t>CT-063</w:t>
        </w:r>
      </w:hyperlink>
      <w:r>
        <w:rPr/>
        <w:t xml:space="preserve">, </w:t>
      </w:r>
      <w:hyperlink w:anchor="test_CT_069">
        <w:r>
          <w:rPr>
            <w:rStyle w:val="Hyperlink"/>
          </w:rPr>
          <w:t>CT-069</w:t>
        </w:r>
      </w:hyperlink>
      <w:r>
        <w:rPr/>
        <w:t xml:space="preserve">, </w:t>
      </w:r>
      <w:hyperlink w:anchor="test_CT_077">
        <w:r>
          <w:rPr>
            <w:rStyle w:val="Hyperlink"/>
          </w:rPr>
          <w:t>CT-077</w:t>
        </w:r>
      </w:hyperlink>
      <w:r>
        <w:rPr/>
        <w:t xml:space="preserve">  |  Basis: </w:t>
      </w:r>
      <w:hyperlink w:anchor="S00">
        <w:r>
          <w:rPr>
            <w:rStyle w:val="Hyperlink"/>
          </w:rPr>
          <w:t>S00</w:t>
        </w:r>
      </w:hyperlink>
      <w:r>
        <w:rPr/>
        <w:t xml:space="preserve">  |  new-v1.1</w:t>
      </w:r>
    </w:p>
    <w:p>
      <w:pPr>
        <w:pStyle w:val="Heading2"/>
        <w:numPr>
          <w:ilvl w:val="0"/>
          <w:numId w:val="7"/>
        </w:numPr>
        <w:rPr/>
      </w:pPr>
      <w:bookmarkStart w:id="111" w:name="__RefHeading___Toc13325_1645000677"/>
      <w:bookmarkStart w:id="112" w:name="sec_19"/>
      <w:bookmarkEnd w:id="111"/>
      <w:r>
        <w:rPr/>
        <w:t>Microsegmentation, labels and workload attachment</w:t>
      </w:r>
      <w:bookmarkEnd w:id="112"/>
    </w:p>
    <w:p>
      <w:pPr>
        <w:pStyle w:val="BodyText"/>
        <w:rPr/>
      </w:pPr>
      <w:r>
        <w:rPr/>
        <w:t>A shared Security Domain Instance is not a shared trust assumption. The v1.1 baseline strengthens the original MICRO-001 recommendation to a mandatory default deny for unapproved WSD-to-WSD and tier-to-tier traffic. Required platform bootstrap services are explicitly profiled and do not become a general any-to-any exception. Same-host and same-subnet paths are included; tests that only cross a gateway miss important enforcement paths.</w:t>
      </w:r>
    </w:p>
    <w:p>
      <w:pPr>
        <w:pStyle w:val="BodyText"/>
        <w:rPr/>
      </w:pPr>
      <w:r>
        <w:rPr/>
        <w:t>Policy selectors use immutable provider-owned security attributes, such as tenant, WSD, domain and role. Tenants may manage ordinary labels only where those labels cannot expand mandatory policy. The compiler resolves membership, precedence and permitted services before a workload is attached. Baseline rules dominate optional tenant rules. Guarded changes prevent a label update from temporarily moving an endpoint into a permissive default group.</w:t>
      </w:r>
    </w:p>
    <w:p>
      <w:pPr>
        <w:pStyle w:val="BodyText"/>
        <w:rPr/>
      </w:pPr>
      <w:r>
        <w:rPr/>
        <w:t>Control extra NICs, source-address changes, permitted address pairs, virtual appliances, promiscuous access, nested virtualization, privileged containers and host-network attachment through explicit capabilities. A platform incapable of enforcing the required baseline is not accepted by substituting naming conventions or an operator promise. Delegated tenant policy authoring is allowed only inside a bounded envelope with effective-policy evaluation.</w:t>
      </w:r>
    </w:p>
    <w:p>
      <w:pPr>
        <w:pStyle w:val="Requirement"/>
        <w:keepNext w:val="true"/>
        <w:rPr/>
      </w:pPr>
      <w:bookmarkStart w:id="113" w:name="req_MICRO_001"/>
      <w:bookmarkEnd w:id="113"/>
      <w:r>
        <w:rPr>
          <w:rStyle w:val="ReqID"/>
        </w:rPr>
        <w:t xml:space="preserve">MICRO-001  </w:t>
      </w:r>
      <w:r>
        <w:rPr/>
        <w:t>WSD-to-WSD and tier-to-tier communication inside a shared Security Domain Instance SHALL be denied unless an approved policy explicitly permits it.</w:t>
      </w:r>
    </w:p>
    <w:p>
      <w:pPr>
        <w:pStyle w:val="ReqMeta"/>
        <w:rPr/>
      </w:pPr>
      <w:r>
        <w:rPr/>
        <w:t xml:space="preserve">Platform engineering  |  Verify: </w:t>
      </w:r>
      <w:hyperlink w:anchor="test_CT_021">
        <w:r>
          <w:rPr>
            <w:rStyle w:val="Hyperlink"/>
          </w:rPr>
          <w:t>CT-021</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revised-v1.0</w:t>
      </w:r>
    </w:p>
    <w:p>
      <w:pPr>
        <w:pStyle w:val="Requirement"/>
        <w:keepNext w:val="true"/>
        <w:rPr/>
      </w:pPr>
      <w:bookmarkStart w:id="114" w:name="req_MICRO_002"/>
      <w:bookmarkEnd w:id="114"/>
      <w:r>
        <w:rPr>
          <w:rStyle w:val="ReqID"/>
        </w:rPr>
        <w:t xml:space="preserve">MICRO-002  </w:t>
      </w:r>
      <w:r>
        <w:rPr/>
        <w:t>Platform metadata used for security policy SHALL be managed, validated, and protected from unauthorized tenant modification.</w:t>
      </w:r>
    </w:p>
    <w:p>
      <w:pPr>
        <w:pStyle w:val="ReqMeta"/>
        <w:rPr/>
      </w:pPr>
      <w:r>
        <w:rPr/>
        <w:t xml:space="preserve">Platform engineering  |  Verify: </w:t>
      </w:r>
      <w:hyperlink w:anchor="test_CT_020">
        <w:r>
          <w:rPr>
            <w:rStyle w:val="Hyperlink"/>
          </w:rPr>
          <w:t>CT-020</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retained-v1.0</w:t>
      </w:r>
    </w:p>
    <w:p>
      <w:pPr>
        <w:pStyle w:val="Requirement"/>
        <w:keepNext w:val="true"/>
        <w:rPr/>
      </w:pPr>
      <w:bookmarkStart w:id="115" w:name="req_MICRO_003"/>
      <w:bookmarkEnd w:id="115"/>
      <w:r>
        <w:rPr>
          <w:rStyle w:val="ReqID"/>
        </w:rPr>
        <w:t xml:space="preserve">MICRO-003  </w:t>
      </w:r>
      <w:r>
        <w:rPr/>
        <w:t>The platform SHALL prevent unapproved NIC, source-identity, privileged-workload and label changes from bypassing mandatory segmentation; effective policy SHALL be verified for same-host and cross-host traffic.</w:t>
      </w:r>
    </w:p>
    <w:p>
      <w:pPr>
        <w:pStyle w:val="ReqMeta"/>
        <w:rPr/>
      </w:pPr>
      <w:r>
        <w:rPr/>
        <w:t xml:space="preserve">Platform engineering  |  Verify: </w:t>
      </w:r>
      <w:hyperlink w:anchor="test_CT_020">
        <w:r>
          <w:rPr>
            <w:rStyle w:val="Hyperlink"/>
          </w:rPr>
          <w:t>CT-020</w:t>
        </w:r>
      </w:hyperlink>
      <w:r>
        <w:rPr/>
        <w:t xml:space="preserve">, </w:t>
      </w:r>
      <w:hyperlink w:anchor="test_CT_021">
        <w:r>
          <w:rPr>
            <w:rStyle w:val="Hyperlink"/>
          </w:rPr>
          <w:t>CT-021</w:t>
        </w:r>
      </w:hyperlink>
      <w:r>
        <w:rPr/>
        <w:t xml:space="preserve">, </w:t>
      </w:r>
      <w:hyperlink w:anchor="test_CT_022">
        <w:r>
          <w:rPr>
            <w:rStyle w:val="Hyperlink"/>
          </w:rPr>
          <w:t>CT-022</w:t>
        </w:r>
      </w:hyperlink>
      <w:r>
        <w:rPr/>
        <w:t xml:space="preserve">, </w:t>
      </w:r>
      <w:hyperlink w:anchor="test_CT_065">
        <w:r>
          <w:rPr>
            <w:rStyle w:val="Hyperlink"/>
          </w:rPr>
          <w:t>CT-065</w:t>
        </w:r>
      </w:hyperlink>
      <w:r>
        <w:rPr/>
        <w:t xml:space="preserve">  |  Basis: </w:t>
      </w:r>
      <w:hyperlink w:anchor="S00">
        <w:r>
          <w:rPr>
            <w:rStyle w:val="Hyperlink"/>
          </w:rPr>
          <w:t>S00</w:t>
        </w:r>
      </w:hyperlink>
      <w:r>
        <w:rPr/>
        <w:t xml:space="preserve">  |  new-v1.1</w:t>
      </w:r>
    </w:p>
    <w:p>
      <w:pPr>
        <w:pStyle w:val="Heading2"/>
        <w:numPr>
          <w:ilvl w:val="0"/>
          <w:numId w:val="7"/>
        </w:numPr>
        <w:rPr/>
      </w:pPr>
      <w:bookmarkStart w:id="116" w:name="__RefHeading___Toc13327_1645000677"/>
      <w:bookmarkStart w:id="117" w:name="sec_20"/>
      <w:bookmarkEnd w:id="116"/>
      <w:r>
        <w:rPr/>
        <w:t>Provider-internal Edge Attachment contract</w:t>
      </w:r>
      <w:bookmarkEnd w:id="117"/>
    </w:p>
    <w:p>
      <w:pPr>
        <w:pStyle w:val="BodyText"/>
        <w:rPr/>
      </w:pPr>
      <w:r>
        <w:rPr/>
        <w:t>An EdgeAttachment is the provider-internal interface between a Security Domain Instance and a ZIP, approved service or external-domain boundary. It is not a consumer VLAN request. The same contract can be realized as a routed virtual gateway attachment, controlled external subnet, scoped segment or physical interface context. Attachment pools may be commissioned in advance; allocation of a pool slot remains an auditable lifecycle action.</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800"/>
        <w:gridCol w:w="7775"/>
      </w:tblGrid>
      <w:tr>
        <w:trPr>
          <w:tblHeader w:val="true"/>
          <w:cantSplit w:val="true"/>
        </w:trPr>
        <w:tc>
          <w:tcPr>
            <w:tcW w:w="180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field group</w:t>
            </w:r>
          </w:p>
        </w:tc>
        <w:tc>
          <w:tcPr>
            <w:tcW w:w="777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Engineering content</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Identity and ownership</w:t>
            </w:r>
          </w:p>
        </w:tc>
        <w:tc>
          <w:tcPr>
            <w:tcW w:w="777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Attachment ID, domain/instance, endpoint relationship, owner, service class and operation generation</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Transport</w:t>
            </w:r>
          </w:p>
        </w:tc>
        <w:tc>
          <w:tcPr>
            <w:tcW w:w="777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Address families, workload MTU, encapsulation budget, physical/virtual endpoint and transport dependencies</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Forwarding</w:t>
            </w:r>
          </w:p>
        </w:tc>
        <w:tc>
          <w:tcPr>
            <w:tcW w:w="777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Routing protocol/static policy, next-hop authority, accepted/advertised prefix sets, maximum route count and summaries</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Isolation</w:t>
            </w:r>
          </w:p>
        </w:tc>
        <w:tc>
          <w:tcPr>
            <w:tcW w:w="777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Dedicated/shared context, source identity, anti-spoofing, same-segment bypass controls and NAT/PBR behavior</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Resilience</w:t>
            </w:r>
          </w:p>
        </w:tc>
        <w:tc>
          <w:tcPr>
            <w:tcW w:w="777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Failure domains, active/standby or active/active behavior, session symmetry, fencing and failover bounds</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Evidence</w:t>
            </w:r>
          </w:p>
        </w:tc>
        <w:tc>
          <w:tcPr>
            <w:tcW w:w="777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Configuration digests, effective paths, capacity reservation, qualification record and cleanup receipts</w:t>
            </w:r>
          </w:p>
        </w:tc>
      </w:tr>
    </w:tbl>
    <w:p>
      <w:pPr>
        <w:pStyle w:val="BodyText"/>
        <w:rPr/>
      </w:pPr>
      <w:r>
        <w:rPr/>
        <w:t>The most dangerous shortcut is to place independent domains on a common connected external network and assume the downstream firewall will inspect every packet. Direct forwarding, ARP/ND, a connected gateway or hairpin NAT may avoid it. Shared attachments are therefore admitted only after CT-023 and CT-024 demonstrate identity preservation, enforced paths and return behavior. Where that proof is unavailable, use dedicated contexts rather than relaxing the contract.</w:t>
      </w:r>
    </w:p>
    <w:p>
      <w:pPr>
        <w:pStyle w:val="Requirement"/>
        <w:keepNext w:val="true"/>
        <w:rPr/>
      </w:pPr>
      <w:bookmarkStart w:id="118" w:name="req_EDGE_001"/>
      <w:bookmarkEnd w:id="118"/>
      <w:r>
        <w:rPr>
          <w:rStyle w:val="ReqID"/>
        </w:rPr>
        <w:t xml:space="preserve">EDGE-001  </w:t>
      </w:r>
      <w:r>
        <w:rPr/>
        <w:t>Every domain-to-boundary attachment SHALL have a provider-owned EdgeAttachment record covering forwarding authority, isolation, MTU, HA, capacity and cleanup; consumers SHALL NOT choose its native topology identifiers.</w:t>
      </w:r>
    </w:p>
    <w:p>
      <w:pPr>
        <w:pStyle w:val="ReqMeta"/>
        <w:rPr/>
      </w:pPr>
      <w:r>
        <w:rPr/>
        <w:t xml:space="preserve">Network engineering  |  Verify: </w:t>
      </w:r>
      <w:hyperlink w:anchor="test_CT_023">
        <w:r>
          <w:rPr>
            <w:rStyle w:val="Hyperlink"/>
          </w:rPr>
          <w:t>CT-023</w:t>
        </w:r>
      </w:hyperlink>
      <w:r>
        <w:rPr/>
        <w:t xml:space="preserve">, </w:t>
      </w:r>
      <w:hyperlink w:anchor="test_CT_024">
        <w:r>
          <w:rPr>
            <w:rStyle w:val="Hyperlink"/>
          </w:rPr>
          <w:t>CT-024</w:t>
        </w:r>
      </w:hyperlink>
      <w:r>
        <w:rPr/>
        <w:t xml:space="preserve">, </w:t>
      </w:r>
      <w:hyperlink w:anchor="test_CT_032">
        <w:r>
          <w:rPr>
            <w:rStyle w:val="Hyperlink"/>
          </w:rPr>
          <w:t>CT-032</w:t>
        </w:r>
      </w:hyperlink>
      <w:r>
        <w:rPr/>
        <w:t xml:space="preserve">, </w:t>
      </w:r>
      <w:hyperlink w:anchor="test_CT_071">
        <w:r>
          <w:rPr>
            <w:rStyle w:val="Hyperlink"/>
          </w:rPr>
          <w:t>CT-071</w:t>
        </w:r>
      </w:hyperlink>
      <w:r>
        <w:rPr/>
        <w:t xml:space="preserve">  |  Basis: </w:t>
      </w:r>
      <w:hyperlink w:anchor="S00">
        <w:r>
          <w:rPr>
            <w:rStyle w:val="Hyperlink"/>
          </w:rPr>
          <w:t>S00</w:t>
        </w:r>
      </w:hyperlink>
      <w:r>
        <w:rPr/>
        <w:t xml:space="preserve">  |  new-v1.1</w:t>
      </w:r>
    </w:p>
    <w:p>
      <w:pPr>
        <w:pStyle w:val="Requirement"/>
        <w:keepNext w:val="true"/>
        <w:rPr/>
      </w:pPr>
      <w:bookmarkStart w:id="119" w:name="req_EDGE_002"/>
      <w:bookmarkEnd w:id="119"/>
      <w:r>
        <w:rPr>
          <w:rStyle w:val="ReqID"/>
        </w:rPr>
        <w:t xml:space="preserve">EDGE-002  </w:t>
      </w:r>
      <w:r>
        <w:rPr/>
        <w:t>A shared attachment SHALL be prohibited unless direct connected, neighbor, gateway and NAT/PBR paths preserve the required domain isolation and ZIP enforcement in normal and failure states.</w:t>
      </w:r>
    </w:p>
    <w:p>
      <w:pPr>
        <w:pStyle w:val="ReqMeta"/>
        <w:rPr/>
      </w:pPr>
      <w:r>
        <w:rPr/>
        <w:t xml:space="preserve">Security authority  |  Verify: </w:t>
      </w:r>
      <w:hyperlink w:anchor="test_CT_023">
        <w:r>
          <w:rPr>
            <w:rStyle w:val="Hyperlink"/>
          </w:rPr>
          <w:t>CT-023</w:t>
        </w:r>
      </w:hyperlink>
      <w:r>
        <w:rPr/>
        <w:t xml:space="preserve">, </w:t>
      </w:r>
      <w:hyperlink w:anchor="test_CT_024">
        <w:r>
          <w:rPr>
            <w:rStyle w:val="Hyperlink"/>
          </w:rPr>
          <w:t>CT-024</w:t>
        </w:r>
      </w:hyperlink>
      <w:r>
        <w:rPr/>
        <w:t xml:space="preserve">, </w:t>
      </w:r>
      <w:hyperlink w:anchor="test_CT_080">
        <w:r>
          <w:rPr>
            <w:rStyle w:val="Hyperlink"/>
          </w:rPr>
          <w:t>CT-080</w:t>
        </w:r>
      </w:hyperlink>
      <w:r>
        <w:rPr/>
        <w:t xml:space="preserve">  |  Basis: </w:t>
      </w:r>
      <w:hyperlink w:anchor="S00">
        <w:r>
          <w:rPr>
            <w:rStyle w:val="Hyperlink"/>
          </w:rPr>
          <w:t>S00</w:t>
        </w:r>
      </w:hyperlink>
      <w:r>
        <w:rPr/>
        <w:t xml:space="preserve">  |  new-v1.1</w:t>
      </w:r>
    </w:p>
    <w:p>
      <w:pPr>
        <w:pStyle w:val="Heading2"/>
        <w:numPr>
          <w:ilvl w:val="0"/>
          <w:numId w:val="7"/>
        </w:numPr>
        <w:rPr/>
      </w:pPr>
      <w:bookmarkStart w:id="120" w:name="__RefHeading___Toc13329_1645000677"/>
      <w:bookmarkStart w:id="121" w:name="sec_21"/>
      <w:bookmarkEnd w:id="120"/>
      <w:r>
        <w:rPr/>
        <w:t>Multi-site domains and recovery connectivity</w:t>
      </w:r>
      <w:bookmarkEnd w:id="121"/>
    </w:p>
    <w:p>
      <w:pPr>
        <w:pStyle w:val="BodyText"/>
        <w:rPr/>
      </w:pPr>
      <w:r>
        <w:rPr/>
        <w:t>A WSD can span sites while each site retains independent domain instances, address allocations, security-edge enforcement and failure domains. L2 stretch is not the baseline. Prefer routed replication and service-level failover with explicit security, consistency and capacity requirements. A stretch exception must describe partition behavior, split-brain prevention, quorum location, recovery ownership and the impact on both security and availability.</w:t>
      </w:r>
    </w:p>
    <w:p>
      <w:pPr>
        <w:pStyle w:val="BodyText"/>
        <w:rPr/>
      </w:pPr>
      <w:r>
        <w:rPr/>
        <w:t>An availability zone or site label is not proof of physical independence. Record common power, facility, uplinks, control clusters, storage, KMS, identity, time and logging dependencies. Replication is a declared flow with a data owner; it is not an unrestricted management or migration network. A recovery site inherits the WSD policy and required controls, not a temporary emergency exemption.</w:t>
      </w:r>
    </w:p>
    <w:p>
      <w:pPr>
        <w:pStyle w:val="BodyText"/>
        <w:rPr/>
      </w:pPr>
      <w:r>
        <w:rPr/>
        <w:t>Recovery includes fencing the old writer, selecting a known data-consistency point, reconstructing domain/network/service dependencies, restoring identity/certificates, validating the recovered workload, and only then changing exposure/DNS. Failback is a separate planned migration with new data ownership and consistency checks. See section 53 for the ordered recovery runbooks.</w:t>
      </w:r>
    </w:p>
    <w:p>
      <w:pPr>
        <w:pStyle w:val="Requirement"/>
        <w:keepNext w:val="true"/>
        <w:rPr/>
      </w:pPr>
      <w:bookmarkStart w:id="122" w:name="req_SITE_001"/>
      <w:bookmarkEnd w:id="122"/>
      <w:r>
        <w:rPr>
          <w:rStyle w:val="ReqID"/>
        </w:rPr>
        <w:t xml:space="preserve">SITE-001  </w:t>
      </w:r>
      <w:r>
        <w:rPr/>
        <w:t>Security Domain Instances SHOULD be site-local by default.</w:t>
      </w:r>
    </w:p>
    <w:p>
      <w:pPr>
        <w:pStyle w:val="ReqMeta"/>
        <w:rPr/>
      </w:pPr>
      <w:r>
        <w:rPr/>
        <w:t xml:space="preserve">Platform engineering  |  Verify: </w:t>
      </w:r>
      <w:hyperlink w:anchor="test_CT_054">
        <w:r>
          <w:rPr>
            <w:rStyle w:val="Hyperlink"/>
          </w:rPr>
          <w:t>CT-054</w:t>
        </w:r>
      </w:hyperlink>
      <w:r>
        <w:rPr/>
        <w:t xml:space="preserve">, </w:t>
      </w:r>
      <w:hyperlink w:anchor="test_CT_055">
        <w:r>
          <w:rPr>
            <w:rStyle w:val="Hyperlink"/>
          </w:rPr>
          <w:t>CT-055</w:t>
        </w:r>
      </w:hyperlink>
      <w:r>
        <w:rPr/>
        <w:t xml:space="preserve">  |  Basis: </w:t>
      </w:r>
      <w:hyperlink w:anchor="S00">
        <w:r>
          <w:rPr>
            <w:rStyle w:val="Hyperlink"/>
          </w:rPr>
          <w:t>S00</w:t>
        </w:r>
      </w:hyperlink>
      <w:r>
        <w:rPr/>
        <w:t xml:space="preserve">  |  retained-v1.0</w:t>
      </w:r>
    </w:p>
    <w:p>
      <w:pPr>
        <w:pStyle w:val="Requirement"/>
        <w:keepNext w:val="true"/>
        <w:rPr/>
      </w:pPr>
      <w:bookmarkStart w:id="123" w:name="req_SITE_002"/>
      <w:bookmarkEnd w:id="123"/>
      <w:r>
        <w:rPr>
          <w:rStyle w:val="ReqID"/>
        </w:rPr>
        <w:t xml:space="preserve">SITE-002  </w:t>
      </w:r>
      <w:r>
        <w:rPr/>
        <w:t>Layer-2 stretch across sites SHALL require a documented application/availability requirement and failure-domain analysis.</w:t>
      </w:r>
    </w:p>
    <w:p>
      <w:pPr>
        <w:pStyle w:val="ReqMeta"/>
        <w:rPr/>
      </w:pPr>
      <w:r>
        <w:rPr/>
        <w:t xml:space="preserve">Architecture authority  |  Verify: </w:t>
      </w:r>
      <w:hyperlink w:anchor="test_CT_054">
        <w:r>
          <w:rPr>
            <w:rStyle w:val="Hyperlink"/>
          </w:rPr>
          <w:t>CT-054</w:t>
        </w:r>
      </w:hyperlink>
      <w:r>
        <w:rPr/>
        <w:t xml:space="preserve">  |  Basis: </w:t>
      </w:r>
      <w:hyperlink w:anchor="S00">
        <w:r>
          <w:rPr>
            <w:rStyle w:val="Hyperlink"/>
          </w:rPr>
          <w:t>S00</w:t>
        </w:r>
      </w:hyperlink>
      <w:r>
        <w:rPr/>
        <w:t xml:space="preserve">  |  retained-v1.0</w:t>
      </w:r>
    </w:p>
    <w:p>
      <w:pPr>
        <w:pStyle w:val="Requirement"/>
        <w:keepNext w:val="true"/>
        <w:rPr/>
      </w:pPr>
      <w:bookmarkStart w:id="124" w:name="req_SITE_003"/>
      <w:bookmarkEnd w:id="124"/>
      <w:r>
        <w:rPr>
          <w:rStyle w:val="ReqID"/>
        </w:rPr>
        <w:t xml:space="preserve">SITE-003  </w:t>
      </w:r>
      <w:r>
        <w:rPr/>
        <w:t>Recovery-site connectivity SHALL be pre-authorized and tested; emergency recovery SHALL NOT depend on ad hoc route leaking.</w:t>
      </w:r>
    </w:p>
    <w:p>
      <w:pPr>
        <w:pStyle w:val="ReqMeta"/>
        <w:rPr/>
      </w:pPr>
      <w:r>
        <w:rPr/>
        <w:t xml:space="preserve">Recovery operations  |  Verify: </w:t>
      </w:r>
      <w:hyperlink w:anchor="test_CT_052">
        <w:r>
          <w:rPr>
            <w:rStyle w:val="Hyperlink"/>
          </w:rPr>
          <w:t>CT-052</w:t>
        </w:r>
      </w:hyperlink>
      <w:r>
        <w:rPr/>
        <w:t xml:space="preserve">, </w:t>
      </w:r>
      <w:hyperlink w:anchor="test_CT_054">
        <w:r>
          <w:rPr>
            <w:rStyle w:val="Hyperlink"/>
          </w:rPr>
          <w:t>CT-054</w:t>
        </w:r>
      </w:hyperlink>
      <w:r>
        <w:rPr/>
        <w:t xml:space="preserve">  |  Basis: </w:t>
      </w:r>
      <w:hyperlink w:anchor="S00">
        <w:r>
          <w:rPr>
            <w:rStyle w:val="Hyperlink"/>
          </w:rPr>
          <w:t>S00</w:t>
        </w:r>
      </w:hyperlink>
      <w:r>
        <w:rPr/>
        <w:t xml:space="preserve">  |  retained-v1.0</w:t>
      </w:r>
    </w:p>
    <w:p>
      <w:pPr>
        <w:pStyle w:val="Requirement"/>
        <w:keepNext w:val="true"/>
        <w:rPr/>
      </w:pPr>
      <w:bookmarkStart w:id="125" w:name="req_SITE_004"/>
      <w:bookmarkEnd w:id="125"/>
      <w:r>
        <w:rPr>
          <w:rStyle w:val="ReqID"/>
        </w:rPr>
        <w:t xml:space="preserve">SITE-004  </w:t>
      </w:r>
      <w:r>
        <w:rPr/>
        <w:t>Recovery placement SHALL preserve domain, co-residency, cryptographic, identity and location constraints; writer fencing and failback ownership SHALL be proven before production recovery is offered.</w:t>
      </w:r>
    </w:p>
    <w:p>
      <w:pPr>
        <w:pStyle w:val="ReqMeta"/>
        <w:rPr/>
      </w:pPr>
      <w:r>
        <w:rPr/>
        <w:t xml:space="preserve">Recovery operations  |  Verify: </w:t>
      </w:r>
      <w:hyperlink w:anchor="test_CT_035">
        <w:r>
          <w:rPr>
            <w:rStyle w:val="Hyperlink"/>
          </w:rPr>
          <w:t>CT-035</w:t>
        </w:r>
      </w:hyperlink>
      <w:r>
        <w:rPr/>
        <w:t xml:space="preserve">, </w:t>
      </w:r>
      <w:hyperlink w:anchor="test_CT_038">
        <w:r>
          <w:rPr>
            <w:rStyle w:val="Hyperlink"/>
          </w:rPr>
          <w:t>CT-038</w:t>
        </w:r>
      </w:hyperlink>
      <w:r>
        <w:rPr/>
        <w:t xml:space="preserve">, </w:t>
      </w:r>
      <w:hyperlink w:anchor="test_CT_054">
        <w:r>
          <w:rPr>
            <w:rStyle w:val="Hyperlink"/>
          </w:rPr>
          <w:t>CT-054</w:t>
        </w:r>
      </w:hyperlink>
      <w:r>
        <w:rPr/>
        <w:t xml:space="preserve">, </w:t>
      </w:r>
      <w:hyperlink w:anchor="test_CT_061">
        <w:r>
          <w:rPr>
            <w:rStyle w:val="Hyperlink"/>
          </w:rPr>
          <w:t>CT-061</w:t>
        </w:r>
      </w:hyperlink>
      <w:r>
        <w:rPr/>
        <w:t xml:space="preserve">  |  Basis: </w:t>
      </w:r>
      <w:hyperlink w:anchor="S00">
        <w:r>
          <w:rPr>
            <w:rStyle w:val="Hyperlink"/>
          </w:rPr>
          <w:t>S00</w:t>
        </w:r>
      </w:hyperlink>
      <w:r>
        <w:rPr/>
        <w:t xml:space="preserve">  |  new-v1.1</w:t>
      </w:r>
    </w:p>
    <w:p>
      <w:pPr>
        <w:pStyle w:val="Normal"/>
        <w:rPr/>
      </w:pPr>
      <w:r>
        <w:rPr/>
      </w:r>
      <w:r>
        <w:br w:type="page"/>
      </w:r>
    </w:p>
    <w:p>
      <w:pPr>
        <w:pStyle w:val="Heading1"/>
        <w:spacing w:before="0" w:after="180"/>
        <w:rPr/>
      </w:pPr>
      <w:bookmarkStart w:id="126" w:name="__RefHeading___Toc13331_1645000677"/>
      <w:bookmarkStart w:id="127" w:name="part_3"/>
      <w:bookmarkEnd w:id="126"/>
      <w:r>
        <w:rPr/>
        <w:t>Part III — Portable hosting services</w:t>
      </w:r>
      <w:bookmarkEnd w:id="127"/>
    </w:p>
    <w:p>
      <w:pPr>
        <w:pStyle w:val="Heading2"/>
        <w:numPr>
          <w:ilvl w:val="0"/>
          <w:numId w:val="7"/>
        </w:numPr>
        <w:rPr/>
      </w:pPr>
      <w:bookmarkStart w:id="128" w:name="__RefHeading___Toc13333_1645000677"/>
      <w:bookmarkStart w:id="129" w:name="sec_22"/>
      <w:bookmarkEnd w:id="128"/>
      <w:r>
        <w:rPr/>
        <w:t>Compute, hypervisor security and co-residency</w:t>
      </w:r>
      <w:bookmarkEnd w:id="129"/>
    </w:p>
    <w:p>
      <w:pPr>
        <w:pStyle w:val="BodyText"/>
        <w:rPr/>
      </w:pPr>
      <w:r>
        <w:rPr/>
        <w:t>Compute is a governed service with a profile for virtual hardware, boot mode, CPU/memory performance, host isolation, maintenance and recovery. Security zones are not collapsed merely to improve consolidation. Cyber Centre virtualization guidance strongly recommends that VMs from multiple security zones not share the same physical hardware. This handbook adopts zone-specific host pools as the on-premises baseline; any different model needs an explicit, documented assurance decision and qualified controls. [</w:t>
      </w:r>
      <w:hyperlink w:anchor="S03">
        <w:r>
          <w:rPr>
            <w:rStyle w:val="Hyperlink"/>
          </w:rPr>
          <w:t>S03</w:t>
        </w:r>
      </w:hyperlink>
      <w:r>
        <w:rPr/>
        <w:t>, section 3]</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664"/>
        <w:gridCol w:w="3456"/>
        <w:gridCol w:w="3456"/>
      </w:tblGrid>
      <w:tr>
        <w:trPr>
          <w:tblHeader w:val="true"/>
          <w:cantSplit w:val="true"/>
        </w:trPr>
        <w:tc>
          <w:tcPr>
            <w:tcW w:w="266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Sharing case</w:t>
            </w:r>
          </w:p>
        </w:tc>
        <w:tc>
          <w:tcPr>
            <w:tcW w:w="3456"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Standard baseline</w:t>
            </w:r>
          </w:p>
        </w:tc>
        <w:tc>
          <w:tcPr>
            <w:tcW w:w="3456"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Enhanced / dedicated treatment</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Same tenant and logical domain</w:t>
            </w:r>
          </w:p>
        </w:tc>
        <w:tc>
          <w:tcPr>
            <w:tcW w:w="345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Shared hosts permitted within the qualified profile</w:t>
            </w:r>
          </w:p>
        </w:tc>
        <w:tc>
          <w:tcPr>
            <w:tcW w:w="345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Dedicated hosts where the threat/capacity profile requires</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Different tenants, same zone class</w:t>
            </w:r>
          </w:p>
        </w:tc>
        <w:tc>
          <w:tcPr>
            <w:tcW w:w="345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Only approved same-zone assurance pool; independent domain and workload policies</w:t>
            </w:r>
          </w:p>
        </w:tc>
        <w:tc>
          <w:tcPr>
            <w:tcW w:w="345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Enhanced: dedicated WSD/domain security contexts; Dedicated: no unrelated tenant on assigned hosts</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Different zone classes on one host</w:t>
            </w:r>
          </w:p>
        </w:tc>
        <w:tc>
          <w:tcPr>
            <w:tcW w:w="345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Not baseline; explicit assurance exception required</w:t>
            </w:r>
          </w:p>
        </w:tc>
        <w:tc>
          <w:tcPr>
            <w:tcW w:w="345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 automatic relaxation; dedicated pools as specified</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MZ/control systems with tenant workloads</w:t>
            </w:r>
          </w:p>
        </w:tc>
        <w:tc>
          <w:tcPr>
            <w:tcW w:w="345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Separate management host pool</w:t>
            </w:r>
          </w:p>
        </w:tc>
        <w:tc>
          <w:tcPr>
            <w:tcW w:w="345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Independent management authority and recovery path</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 edge on workload compute</w:t>
            </w:r>
          </w:p>
        </w:tc>
        <w:tc>
          <w:tcPr>
            <w:tcW w:w="345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Only an explicitly qualified service-isolation design</w:t>
            </w:r>
          </w:p>
        </w:tc>
        <w:tc>
          <w:tcPr>
            <w:tcW w:w="345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Dedicated edge capacity/failure boundaries when required</w:t>
            </w:r>
          </w:p>
        </w:tc>
      </w:tr>
      <w:tr>
        <w:trPr>
          <w:cantSplit w:val="true"/>
        </w:trPr>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Shared storage/fabric</w:t>
            </w:r>
          </w:p>
        </w:tc>
        <w:tc>
          <w:tcPr>
            <w:tcW w:w="345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Only where independently isolated and assessed</w:t>
            </w:r>
          </w:p>
        </w:tc>
        <w:tc>
          <w:tcPr>
            <w:tcW w:w="345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Physical/dedicated boundaries according to the exact profile</w:t>
            </w:r>
          </w:p>
        </w:tc>
      </w:tr>
    </w:tbl>
    <w:p>
      <w:pPr>
        <w:pStyle w:val="BodyText"/>
        <w:rPr/>
      </w:pPr>
      <w:r>
        <w:rPr/>
        <w:t>The matrix distinguishes tenants from actual zones: two tenants labelled RZ do not thereby share a zone authority. Their shared host pool, if offered, is an explicit assurance choice. In HCI, separating VM placement without examining storage/controller and management co-residency is insufficient. Publish whether “dedicated” covers hosts only or also storage, edge and control infrastructure; no unstated shared dependency is hidden behind the label.</w:t>
      </w:r>
    </w:p>
    <w:p>
      <w:pPr>
        <w:pStyle w:val="BodyText"/>
        <w:rPr/>
      </w:pPr>
      <w:r>
        <w:rPr/>
        <w:t>Secure boot, TPM/attestation, firmware integrity, supported host OS/hypervisor, restricted management services, controlled consoles and VM isolation form the host baseline where required/supported by the profile. CPU compatibility, NUMA alignment, huge pages, reservations, device passthrough and accelerators are declared capabilities, not implicit guarantees. Overcommit policy separates requested, reserved and consumed resources. Evacuation, live migration and HA restart must preserve all placement restrictions or stop safely when capacity is insufficient.</w:t>
      </w:r>
    </w:p>
    <w:p>
      <w:pPr>
        <w:pStyle w:val="Requirement"/>
        <w:keepNext w:val="true"/>
        <w:rPr/>
      </w:pPr>
      <w:bookmarkStart w:id="130" w:name="req_CMP_001"/>
      <w:bookmarkEnd w:id="130"/>
      <w:r>
        <w:rPr>
          <w:rStyle w:val="ReqID"/>
        </w:rPr>
        <w:t xml:space="preserve">CMP-001  </w:t>
      </w:r>
      <w:r>
        <w:rPr/>
        <w:t>Compute placement, maintenance evacuation, migration and HA restart SHALL enforce the approved tenant/domain/zone co-residency matrix; no scheduler action SHALL silently weaken it.</w:t>
      </w:r>
    </w:p>
    <w:p>
      <w:pPr>
        <w:pStyle w:val="ReqMeta"/>
        <w:rPr/>
      </w:pPr>
      <w:r>
        <w:rPr/>
        <w:t xml:space="preserve">Platform engineering  |  Verify: </w:t>
      </w:r>
      <w:hyperlink w:anchor="test_CT_035">
        <w:r>
          <w:rPr>
            <w:rStyle w:val="Hyperlink"/>
          </w:rPr>
          <w:t>CT-035</w:t>
        </w:r>
      </w:hyperlink>
      <w:r>
        <w:rPr/>
        <w:t xml:space="preserve">, </w:t>
      </w:r>
      <w:hyperlink w:anchor="test_CT_056">
        <w:r>
          <w:rPr>
            <w:rStyle w:val="Hyperlink"/>
          </w:rPr>
          <w:t>CT-056</w:t>
        </w:r>
      </w:hyperlink>
      <w:r>
        <w:rPr/>
        <w:t xml:space="preserve">  |  Basis: </w:t>
      </w:r>
      <w:hyperlink w:anchor="S03">
        <w:r>
          <w:rPr>
            <w:rStyle w:val="Hyperlink"/>
          </w:rPr>
          <w:t>S03</w:t>
        </w:r>
      </w:hyperlink>
      <w:r>
        <w:rPr/>
        <w:t xml:space="preserve">  |  new-v1.1</w:t>
      </w:r>
    </w:p>
    <w:p>
      <w:pPr>
        <w:pStyle w:val="Requirement"/>
        <w:keepNext w:val="true"/>
        <w:rPr/>
      </w:pPr>
      <w:bookmarkStart w:id="131" w:name="req_CMP_002"/>
      <w:bookmarkEnd w:id="131"/>
      <w:r>
        <w:rPr>
          <w:rStyle w:val="ReqID"/>
        </w:rPr>
        <w:t xml:space="preserve">CMP-002  </w:t>
      </w:r>
      <w:r>
        <w:rPr/>
        <w:t>Each compute profile SHALL define supported hardware/software, boot/attestation controls, administrative isolation, resource guarantees, overcommit policy and handling of unsupported devices.</w:t>
      </w:r>
    </w:p>
    <w:p>
      <w:pPr>
        <w:pStyle w:val="ReqMeta"/>
        <w:rPr/>
      </w:pPr>
      <w:r>
        <w:rPr/>
        <w:t xml:space="preserve">Platform engineering  |  Verify: </w:t>
      </w:r>
      <w:hyperlink w:anchor="test_CT_036">
        <w:r>
          <w:rPr>
            <w:rStyle w:val="Hyperlink"/>
          </w:rPr>
          <w:t>CT-036</w:t>
        </w:r>
      </w:hyperlink>
      <w:r>
        <w:rPr/>
        <w:t xml:space="preserve">, </w:t>
      </w:r>
      <w:hyperlink w:anchor="test_CT_039">
        <w:r>
          <w:rPr>
            <w:rStyle w:val="Hyperlink"/>
          </w:rPr>
          <w:t>CT-039</w:t>
        </w:r>
      </w:hyperlink>
      <w:r>
        <w:rPr/>
        <w:t xml:space="preserve">, </w:t>
      </w:r>
      <w:hyperlink w:anchor="test_CT_073">
        <w:r>
          <w:rPr>
            <w:rStyle w:val="Hyperlink"/>
          </w:rPr>
          <w:t>CT-073</w:t>
        </w:r>
      </w:hyperlink>
      <w:r>
        <w:rPr/>
        <w:t xml:space="preserve">  |  Basis: </w:t>
      </w:r>
      <w:hyperlink w:anchor="S03">
        <w:r>
          <w:rPr>
            <w:rStyle w:val="Hyperlink"/>
          </w:rPr>
          <w:t>S03</w:t>
        </w:r>
      </w:hyperlink>
      <w:r>
        <w:rPr/>
        <w:t xml:space="preserve"> / </w:t>
      </w:r>
      <w:hyperlink w:anchor="S07">
        <w:r>
          <w:rPr>
            <w:rStyle w:val="Hyperlink"/>
          </w:rPr>
          <w:t>S07</w:t>
        </w:r>
      </w:hyperlink>
      <w:r>
        <w:rPr/>
        <w:t xml:space="preserve">  |  new-v1.1</w:t>
      </w:r>
    </w:p>
    <w:p>
      <w:pPr>
        <w:pStyle w:val="Requirement"/>
        <w:keepNext w:val="true"/>
        <w:rPr/>
      </w:pPr>
      <w:bookmarkStart w:id="132" w:name="req_CMP_003"/>
      <w:bookmarkEnd w:id="132"/>
      <w:r>
        <w:rPr>
          <w:rStyle w:val="ReqID"/>
        </w:rPr>
        <w:t xml:space="preserve">CMP-003  </w:t>
      </w:r>
      <w:r>
        <w:rPr/>
        <w:t>The meaning of dedicated compute SHALL state its exact physical and administrative scope and disclose any shared storage, network, control, support or recovery dependency.</w:t>
      </w:r>
    </w:p>
    <w:p>
      <w:pPr>
        <w:pStyle w:val="ReqMeta"/>
        <w:rPr/>
      </w:pPr>
      <w:r>
        <w:rPr/>
        <w:t xml:space="preserve">Architecture authority  |  Verify: </w:t>
      </w:r>
      <w:hyperlink w:anchor="test_CT_035">
        <w:r>
          <w:rPr>
            <w:rStyle w:val="Hyperlink"/>
          </w:rPr>
          <w:t>CT-035</w:t>
        </w:r>
      </w:hyperlink>
      <w:r>
        <w:rPr/>
        <w:t xml:space="preserve">, </w:t>
      </w:r>
      <w:hyperlink w:anchor="test_CT_062">
        <w:r>
          <w:rPr>
            <w:rStyle w:val="Hyperlink"/>
          </w:rPr>
          <w:t>CT-062</w:t>
        </w:r>
      </w:hyperlink>
      <w:r>
        <w:rPr/>
        <w:t xml:space="preserve">  |  Basis: </w:t>
      </w:r>
      <w:hyperlink w:anchor="S00">
        <w:r>
          <w:rPr>
            <w:rStyle w:val="Hyperlink"/>
          </w:rPr>
          <w:t>S00</w:t>
        </w:r>
      </w:hyperlink>
      <w:r>
        <w:rPr/>
        <w:t xml:space="preserve">  |  new-v1.1</w:t>
      </w:r>
    </w:p>
    <w:p>
      <w:pPr>
        <w:pStyle w:val="Heading2"/>
        <w:numPr>
          <w:ilvl w:val="0"/>
          <w:numId w:val="7"/>
        </w:numPr>
        <w:rPr/>
      </w:pPr>
      <w:bookmarkStart w:id="133" w:name="__RefHeading___Toc13335_1645000677"/>
      <w:bookmarkStart w:id="134" w:name="sec_23"/>
      <w:bookmarkEnd w:id="133"/>
      <w:r>
        <w:rPr/>
        <w:t>Storage, data services and copy lineage</w:t>
      </w:r>
      <w:bookmarkEnd w:id="134"/>
    </w:p>
    <w:p>
      <w:pPr>
        <w:pStyle w:val="BodyText"/>
        <w:rPr/>
      </w:pPr>
      <w:r>
        <w:rPr/>
        <w:t>The portable storage contract defines block, file and object service semantics rather than a datastore or storage-container name. A StorageProfile specifies capacity, durability/availability expectations, access protocol, performance class, encryption/key policy, snapshot/clone/export rules, replication, retention, backup and sanitization. Distinguish a performance class from a hardware label: measured latency, IOPS/throughput and contention behavior are the acceptance criteria.</w:t>
      </w:r>
    </w:p>
    <w:p>
      <w:pPr>
        <w:pStyle w:val="BodyText"/>
        <w:rPr/>
      </w:pPr>
      <w:r>
        <w:rPr/>
        <w:t>Each volume, share, bucket and recovery copy has a tenant/WSD identity, categorization, domain/location constraints and owner. Enforce authorization at storage APIs and data paths; a network route does not grant data access. Cross-tenant mounts, volume attachment, snapshots, clones and object access are denied unless a specific sharing service authorizes them. Replication, deduplication, cache, tiering and erasure coding are implementation details whose security and failure effects still require assessment.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942"/>
        <w:gridCol w:w="7633"/>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Data operation</w:t>
            </w:r>
          </w:p>
        </w:tc>
        <w:tc>
          <w:tcPr>
            <w:tcW w:w="763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portable semantics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Provision / attach</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Quota reservation, correct tenant/domain, authenticated access, encryption context and performance profile</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Snapshot / clone</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Consistent point and copy lineage; inherited category/access/retention; explicit target authorization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Replicate / tier</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Approved locations and keys; consistency, capacity and recovery dependence recorded</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Export / import</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Documented format/subset, integrity manifest, destination authorization and verified permissions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Retire / reuse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Retention/hold reconciliation, approved sanitization and evidence before reassignment</w:t>
            </w:r>
          </w:p>
        </w:tc>
      </w:tr>
    </w:tbl>
    <w:p>
      <w:pPr>
        <w:pStyle w:val="BodyText"/>
        <w:rPr/>
      </w:pPr>
      <w:r>
        <w:rPr/>
        <w:t>S3-compatible object access is a de facto compatibility surface, not a blanket statement that all implementations have identical semantics. Qualify the required subset: object operations, listing/pagination, multipart, metadata/tags, versions, policy, encryption, retention and lifecycle behavior. Do not assume an object ETag is always a content MD5. For file and block services, qualify authentication/ACL mapping, locking, consistency and snapshot/export behavior across platforms. These are local portability acceptance requirements, not claims that every target supports every feature.</w:t>
      </w:r>
    </w:p>
    <w:p>
      <w:pPr>
        <w:pStyle w:val="BodyText"/>
        <w:rPr/>
      </w:pPr>
      <w:r>
        <w:rPr/>
        <w:t>Storage performance and durability tests include rebuild/degraded operation and noisy-neighbor contention. Separate backup administration and key custody from routine production storage operation. Copy lineage must survive a WSD rename or migration so retained data, keys and deletion authority remain explainable. Disposal follows applicable GC rules and an approved sanitization method; NIST SP 800-88 Rev. 2 is a supporting technical reference, not a replacement for those rules. [</w:t>
      </w:r>
      <w:hyperlink w:anchor="S27">
        <w:r>
          <w:rPr>
            <w:rStyle w:val="Hyperlink"/>
          </w:rPr>
          <w:t>S27</w:t>
        </w:r>
      </w:hyperlink>
      <w:r>
        <w:rPr/>
        <w:t>]</w:t>
      </w:r>
    </w:p>
    <w:p>
      <w:pPr>
        <w:pStyle w:val="Requirement"/>
        <w:keepNext w:val="true"/>
        <w:rPr/>
      </w:pPr>
      <w:bookmarkStart w:id="135" w:name="req_STO_001"/>
      <w:bookmarkEnd w:id="135"/>
      <w:r>
        <w:rPr>
          <w:rStyle w:val="ReqID"/>
        </w:rPr>
        <w:t xml:space="preserve">STO-001  </w:t>
      </w:r>
      <w:r>
        <w:rPr/>
        <w:t>Every storage resource and derivative copy SHALL carry owner, categorization, access scope, key policy, placement/retention constraints and lineage; cross-scope attachment or export SHALL require explicit authorization.</w:t>
      </w:r>
    </w:p>
    <w:p>
      <w:pPr>
        <w:pStyle w:val="ReqMeta"/>
        <w:rPr/>
      </w:pPr>
      <w:r>
        <w:rPr/>
        <w:t xml:space="preserve">Storage operations  |  Verify: </w:t>
      </w:r>
      <w:hyperlink w:anchor="test_CT_037">
        <w:r>
          <w:rPr>
            <w:rStyle w:val="Hyperlink"/>
          </w:rPr>
          <w:t>CT-037</w:t>
        </w:r>
      </w:hyperlink>
      <w:r>
        <w:rPr/>
        <w:t xml:space="preserve">, </w:t>
      </w:r>
      <w:hyperlink w:anchor="test_CT_053">
        <w:r>
          <w:rPr>
            <w:rStyle w:val="Hyperlink"/>
          </w:rPr>
          <w:t>CT-053</w:t>
        </w:r>
      </w:hyperlink>
      <w:r>
        <w:rPr/>
        <w:t xml:space="preserve">, </w:t>
      </w:r>
      <w:hyperlink w:anchor="test_CT_078">
        <w:r>
          <w:rPr>
            <w:rStyle w:val="Hyperlink"/>
          </w:rPr>
          <w:t>CT-078</w:t>
        </w:r>
      </w:hyperlink>
      <w:r>
        <w:rPr/>
        <w:t xml:space="preserve">  |  Basis: </w:t>
      </w:r>
      <w:hyperlink w:anchor="S00">
        <w:r>
          <w:rPr>
            <w:rStyle w:val="Hyperlink"/>
          </w:rPr>
          <w:t>S00</w:t>
        </w:r>
      </w:hyperlink>
      <w:r>
        <w:rPr/>
        <w:t xml:space="preserve">  |  new-v1.1</w:t>
      </w:r>
    </w:p>
    <w:p>
      <w:pPr>
        <w:pStyle w:val="Requirement"/>
        <w:keepNext w:val="true"/>
        <w:rPr/>
      </w:pPr>
      <w:bookmarkStart w:id="136" w:name="req_STO_002"/>
      <w:bookmarkEnd w:id="136"/>
      <w:r>
        <w:rPr>
          <w:rStyle w:val="ReqID"/>
        </w:rPr>
        <w:t xml:space="preserve">STO-002  </w:t>
      </w:r>
      <w:r>
        <w:rPr/>
        <w:t>Storage service profiles SHALL define measurable capacity/performance, consistency, replication, snapshot/clone and portability semantics and SHALL be tested under contention and the accepted failure condition.</w:t>
      </w:r>
    </w:p>
    <w:p>
      <w:pPr>
        <w:pStyle w:val="ReqMeta"/>
        <w:rPr/>
      </w:pPr>
      <w:r>
        <w:rPr/>
        <w:t xml:space="preserve">Storage operations  |  Verify: </w:t>
      </w:r>
      <w:hyperlink w:anchor="test_CT_039">
        <w:r>
          <w:rPr>
            <w:rStyle w:val="Hyperlink"/>
          </w:rPr>
          <w:t>CT-039</w:t>
        </w:r>
      </w:hyperlink>
      <w:r>
        <w:rPr/>
        <w:t xml:space="preserve">, </w:t>
      </w:r>
      <w:hyperlink w:anchor="test_CT_052">
        <w:r>
          <w:rPr>
            <w:rStyle w:val="Hyperlink"/>
          </w:rPr>
          <w:t>CT-052</w:t>
        </w:r>
      </w:hyperlink>
      <w:r>
        <w:rPr/>
        <w:t xml:space="preserve">, </w:t>
      </w:r>
      <w:hyperlink w:anchor="test_CT_060">
        <w:r>
          <w:rPr>
            <w:rStyle w:val="Hyperlink"/>
          </w:rPr>
          <w:t>CT-060</w:t>
        </w:r>
      </w:hyperlink>
      <w:r>
        <w:rPr/>
        <w:t xml:space="preserve">  |  Basis: </w:t>
      </w:r>
      <w:hyperlink w:anchor="S00">
        <w:r>
          <w:rPr>
            <w:rStyle w:val="Hyperlink"/>
          </w:rPr>
          <w:t>S00</w:t>
        </w:r>
      </w:hyperlink>
      <w:r>
        <w:rPr/>
        <w:t xml:space="preserve">  |  new-v1.1</w:t>
      </w:r>
    </w:p>
    <w:p>
      <w:pPr>
        <w:pStyle w:val="Requirement"/>
        <w:keepNext w:val="true"/>
        <w:rPr/>
      </w:pPr>
      <w:bookmarkStart w:id="137" w:name="req_STO_003"/>
      <w:bookmarkEnd w:id="137"/>
      <w:r>
        <w:rPr>
          <w:rStyle w:val="ReqID"/>
        </w:rPr>
        <w:t xml:space="preserve">STO-003  </w:t>
      </w:r>
      <w:r>
        <w:rPr/>
        <w:t>Storage release and reuse SHALL reconcile all known copies and legal/administrative holds, apply an approved sanitization method and retain a receipt describing scope, method, verification and exceptions.</w:t>
      </w:r>
    </w:p>
    <w:p>
      <w:pPr>
        <w:pStyle w:val="ReqMeta"/>
        <w:rPr/>
      </w:pPr>
      <w:r>
        <w:rPr/>
        <w:t xml:space="preserve">Storage operations  |  Verify: </w:t>
      </w:r>
      <w:hyperlink w:anchor="test_CT_053">
        <w:r>
          <w:rPr>
            <w:rStyle w:val="Hyperlink"/>
          </w:rPr>
          <w:t>CT-053</w:t>
        </w:r>
      </w:hyperlink>
      <w:r>
        <w:rPr/>
        <w:t xml:space="preserve">, </w:t>
      </w:r>
      <w:hyperlink w:anchor="test_CT_059">
        <w:r>
          <w:rPr>
            <w:rStyle w:val="Hyperlink"/>
          </w:rPr>
          <w:t>CT-059</w:t>
        </w:r>
      </w:hyperlink>
      <w:r>
        <w:rPr/>
        <w:t xml:space="preserve">, </w:t>
      </w:r>
      <w:hyperlink w:anchor="test_CT_078">
        <w:r>
          <w:rPr>
            <w:rStyle w:val="Hyperlink"/>
          </w:rPr>
          <w:t>CT-078</w:t>
        </w:r>
      </w:hyperlink>
      <w:r>
        <w:rPr/>
        <w:t xml:space="preserve">  |  Basis: </w:t>
      </w:r>
      <w:hyperlink w:anchor="S27">
        <w:r>
          <w:rPr>
            <w:rStyle w:val="Hyperlink"/>
          </w:rPr>
          <w:t>S27</w:t>
        </w:r>
      </w:hyperlink>
      <w:r>
        <w:rPr/>
        <w:t xml:space="preserve">  |  new-v1.1</w:t>
      </w:r>
    </w:p>
    <w:p>
      <w:pPr>
        <w:pStyle w:val="Heading2"/>
        <w:numPr>
          <w:ilvl w:val="0"/>
          <w:numId w:val="7"/>
        </w:numPr>
        <w:rPr/>
      </w:pPr>
      <w:bookmarkStart w:id="138" w:name="__RefHeading___Toc13337_1645000677"/>
      <w:bookmarkStart w:id="139" w:name="sec_24"/>
      <w:bookmarkEnd w:id="138"/>
      <w:r>
        <w:rPr/>
        <w:t>Identity, privileged access and service identities</w:t>
      </w:r>
      <w:bookmarkEnd w:id="139"/>
    </w:p>
    <w:p>
      <w:pPr>
        <w:pStyle w:val="BodyText"/>
        <w:rPr/>
      </w:pPr>
      <w:r>
        <w:rPr/>
        <w:t>Use separate identities for people, workload-to-service authentication and automation actuators. Federation maps authoritative groups to scoped roles; short-lived credentials reduce standing privilege where the product supports them. Authentication does not authorize a route, and network reachability does not authorize an API action. Each privileged role has an approved task set, target scope, expiry/review and auditable owner.</w:t>
      </w:r>
    </w:p>
    <w:p>
      <w:pPr>
        <w:pStyle w:val="BodyText"/>
        <w:rPr/>
      </w:pPr>
      <w:r>
        <w:rPr/>
        <w:t>Privileged access uses hardened administrative devices, phishing-resistant MFA where applicable, role-based task delegation, just-in-time grants and session records. Avoid reusing a high-authority credential on a workload host. Separate issuance, approval and use of security-sensitive credentials where the risk profile calls for it. Workload identities are narrowly scoped to the service and resource they consume; one tenant’s identity cannot enumerate or administer another tenant’s data.</w:t>
      </w:r>
    </w:p>
    <w:p>
      <w:pPr>
        <w:pStyle w:val="BodyText"/>
        <w:rPr/>
      </w:pPr>
      <w:r>
        <w:rPr/>
        <w:t>Service accounts that cannot use short-lived credentials require vaulted secrets, rotation, revocation and a measured residual exposure window. Record credential use in CI/provider APIs without logging the secret. Recovery identities must be independent enough to survive normal IdP failure but remain strongly controlled, time-limited and tested. Offboarding revokes both direct role bindings and indirect group/token/session grants. Third-party support access is task-scoped, recorded and automatically expires. [</w:t>
      </w:r>
      <w:hyperlink w:anchor="S07">
        <w:r>
          <w:rPr>
            <w:rStyle w:val="Hyperlink"/>
          </w:rPr>
          <w:t>S07</w:t>
        </w:r>
      </w:hyperlink>
      <w:r>
        <w:rPr/>
        <w:t>, secure system administration]</w:t>
      </w:r>
    </w:p>
    <w:p>
      <w:pPr>
        <w:pStyle w:val="Requirement"/>
        <w:keepNext w:val="true"/>
        <w:rPr/>
      </w:pPr>
      <w:bookmarkStart w:id="140" w:name="req_IAM_001"/>
      <w:bookmarkEnd w:id="140"/>
      <w:r>
        <w:rPr>
          <w:rStyle w:val="ReqID"/>
        </w:rPr>
        <w:t xml:space="preserve">IAM-001  </w:t>
      </w:r>
      <w:r>
        <w:rPr/>
        <w:t>Human, workload and automation identities SHALL have separately scoped authorization, credential lifecycle and accountability; no tenant identity SHALL acquire provider foundation authority through role or group inheritance.</w:t>
      </w:r>
    </w:p>
    <w:p>
      <w:pPr>
        <w:pStyle w:val="ReqMeta"/>
        <w:rPr/>
      </w:pPr>
      <w:r>
        <w:rPr/>
        <w:t xml:space="preserve">Identity operations  |  Verify: </w:t>
      </w:r>
      <w:hyperlink w:anchor="test_CT_019">
        <w:r>
          <w:rPr>
            <w:rStyle w:val="Hyperlink"/>
          </w:rPr>
          <w:t>CT-019</w:t>
        </w:r>
      </w:hyperlink>
      <w:r>
        <w:rPr/>
        <w:t xml:space="preserve">, </w:t>
      </w:r>
      <w:hyperlink w:anchor="test_CT_027">
        <w:r>
          <w:rPr>
            <w:rStyle w:val="Hyperlink"/>
          </w:rPr>
          <w:t>CT-027</w:t>
        </w:r>
      </w:hyperlink>
      <w:r>
        <w:rPr/>
        <w:t xml:space="preserve">, </w:t>
      </w:r>
      <w:hyperlink w:anchor="test_CT_028">
        <w:r>
          <w:rPr>
            <w:rStyle w:val="Hyperlink"/>
          </w:rPr>
          <w:t>CT-028</w:t>
        </w:r>
      </w:hyperlink>
      <w:r>
        <w:rPr/>
        <w:t xml:space="preserve">  |  Basis: </w:t>
      </w:r>
      <w:hyperlink w:anchor="S07">
        <w:r>
          <w:rPr>
            <w:rStyle w:val="Hyperlink"/>
          </w:rPr>
          <w:t>S07</w:t>
        </w:r>
      </w:hyperlink>
      <w:r>
        <w:rPr/>
        <w:t xml:space="preserve">  |  new-v1.1</w:t>
      </w:r>
    </w:p>
    <w:p>
      <w:pPr>
        <w:pStyle w:val="Requirement"/>
        <w:keepNext w:val="true"/>
        <w:rPr/>
      </w:pPr>
      <w:bookmarkStart w:id="141" w:name="req_IAM_002"/>
      <w:bookmarkEnd w:id="141"/>
      <w:r>
        <w:rPr>
          <w:rStyle w:val="ReqID"/>
        </w:rPr>
        <w:t xml:space="preserve">IAM-002  </w:t>
      </w:r>
      <w:r>
        <w:rPr/>
        <w:t>Privileged access SHALL use the approved hardened path, strong authentication, least privilege and time-bound delegation; emergency and supplier access SHALL be logged, tested and revoked after use.</w:t>
      </w:r>
    </w:p>
    <w:p>
      <w:pPr>
        <w:pStyle w:val="ReqMeta"/>
        <w:rPr/>
      </w:pPr>
      <w:r>
        <w:rPr/>
        <w:t xml:space="preserve">Identity operations  |  Verify: </w:t>
      </w:r>
      <w:hyperlink w:anchor="test_CT_026">
        <w:r>
          <w:rPr>
            <w:rStyle w:val="Hyperlink"/>
          </w:rPr>
          <w:t>CT-026</w:t>
        </w:r>
      </w:hyperlink>
      <w:r>
        <w:rPr/>
        <w:t xml:space="preserve">, </w:t>
      </w:r>
      <w:hyperlink w:anchor="test_CT_027">
        <w:r>
          <w:rPr>
            <w:rStyle w:val="Hyperlink"/>
          </w:rPr>
          <w:t>CT-027</w:t>
        </w:r>
      </w:hyperlink>
      <w:r>
        <w:rPr/>
        <w:t xml:space="preserve">, </w:t>
      </w:r>
      <w:hyperlink w:anchor="test_CT_079">
        <w:r>
          <w:rPr>
            <w:rStyle w:val="Hyperlink"/>
          </w:rPr>
          <w:t>CT-079</w:t>
        </w:r>
      </w:hyperlink>
      <w:r>
        <w:rPr/>
        <w:t xml:space="preserve">  |  Basis: </w:t>
      </w:r>
      <w:hyperlink w:anchor="S07">
        <w:r>
          <w:rPr>
            <w:rStyle w:val="Hyperlink"/>
          </w:rPr>
          <w:t>S07</w:t>
        </w:r>
      </w:hyperlink>
      <w:r>
        <w:rPr/>
        <w:t xml:space="preserve">  |  new-v1.1</w:t>
      </w:r>
    </w:p>
    <w:p>
      <w:pPr>
        <w:pStyle w:val="Requirement"/>
        <w:keepNext w:val="true"/>
        <w:rPr/>
      </w:pPr>
      <w:bookmarkStart w:id="142" w:name="req_IAM_003"/>
      <w:bookmarkEnd w:id="142"/>
      <w:r>
        <w:rPr>
          <w:rStyle w:val="ReqID"/>
        </w:rPr>
        <w:t xml:space="preserve">IAM-003  </w:t>
      </w:r>
      <w:r>
        <w:rPr/>
        <w:t>Credential and session revocation SHALL be verified at the consuming service within the approved propagation interval, including cached tokens and delegated grants.</w:t>
      </w:r>
    </w:p>
    <w:p>
      <w:pPr>
        <w:pStyle w:val="ReqMeta"/>
        <w:rPr/>
      </w:pPr>
      <w:r>
        <w:rPr/>
        <w:t xml:space="preserve">Identity operations  |  Verify: </w:t>
      </w:r>
      <w:hyperlink w:anchor="test_CT_028">
        <w:r>
          <w:rPr>
            <w:rStyle w:val="Hyperlink"/>
          </w:rPr>
          <w:t>CT-028</w:t>
        </w:r>
      </w:hyperlink>
      <w:r>
        <w:rPr/>
        <w:t xml:space="preserve">, </w:t>
      </w:r>
      <w:hyperlink w:anchor="test_CT_077">
        <w:r>
          <w:rPr>
            <w:rStyle w:val="Hyperlink"/>
          </w:rPr>
          <w:t>CT-077</w:t>
        </w:r>
      </w:hyperlink>
      <w:r>
        <w:rPr/>
        <w:t xml:space="preserve">, </w:t>
      </w:r>
      <w:hyperlink w:anchor="test_CT_079">
        <w:r>
          <w:rPr>
            <w:rStyle w:val="Hyperlink"/>
          </w:rPr>
          <w:t>CT-079</w:t>
        </w:r>
      </w:hyperlink>
      <w:r>
        <w:rPr/>
        <w:t xml:space="preserve">  |  Basis: </w:t>
      </w:r>
      <w:hyperlink w:anchor="S00">
        <w:r>
          <w:rPr>
            <w:rStyle w:val="Hyperlink"/>
          </w:rPr>
          <w:t>S00</w:t>
        </w:r>
      </w:hyperlink>
      <w:r>
        <w:rPr/>
        <w:t xml:space="preserve">  |  new-v1.1</w:t>
      </w:r>
    </w:p>
    <w:p>
      <w:pPr>
        <w:pStyle w:val="Heading2"/>
        <w:numPr>
          <w:ilvl w:val="0"/>
          <w:numId w:val="7"/>
        </w:numPr>
        <w:rPr/>
      </w:pPr>
      <w:bookmarkStart w:id="143" w:name="__RefHeading___Toc13339_1645000677"/>
      <w:bookmarkStart w:id="144" w:name="sec_25"/>
      <w:bookmarkEnd w:id="143"/>
      <w:r>
        <w:rPr/>
        <w:t>Cryptography, KMS, certificates and crypto agility</w:t>
      </w:r>
      <w:bookmarkEnd w:id="144"/>
    </w:p>
    <w:p>
      <w:pPr>
        <w:pStyle w:val="BodyText"/>
        <w:rPr/>
      </w:pPr>
      <w:r>
        <w:rPr/>
        <w:t>Cryptography is a service dependency with ownership, lifecycle and failure behavior. The CryptographicProfile names approved algorithms/modes, protocols, trust roots, module-validation requirements, data/key separation, rotation, revocation, recovery and migration policy. Encryption at rest and in transit is the default for protected data paths in this handbook; a profile defines the exact scope, endpoints and exceptions. Encryption alone does not resolve administrator access, workload compromise or jurisdiction. [</w:t>
      </w:r>
      <w:hyperlink w:anchor="S09">
        <w:r>
          <w:rPr>
            <w:rStyle w:val="Hyperlink"/>
          </w:rPr>
          <w:t>S09</w:t>
        </w:r>
      </w:hyperlink>
      <w:r>
        <w:rPr/>
        <w:t xml:space="preserve">; </w:t>
      </w:r>
      <w:hyperlink w:anchor="S10">
        <w:r>
          <w:rPr>
            <w:rStyle w:val="Hyperlink"/>
          </w:rPr>
          <w:t>S10</w:t>
        </w:r>
      </w:hyperlink>
      <w:r>
        <w:rPr/>
        <w:t>]</w:t>
      </w:r>
    </w:p>
    <w:p>
      <w:pPr>
        <w:pStyle w:val="BodyText"/>
        <w:rPr/>
      </w:pPr>
      <w:r>
        <w:rPr/>
        <w:t>A KeyPolicy distinguishes tenant data keys, provider infrastructure keys, backup/recovery keys and signing keys. Record who can use a key, administer it, export/escrow it where permitted, disable it or destroy it. Key lifetime must cover all retained copies that must remain recoverable. A volume deletion is not proof of cryptographic erasure when plaintext copies, exported keys, snapshots or shared encryption contexts remain.</w:t>
      </w:r>
    </w:p>
    <w:p>
      <w:pPr>
        <w:pStyle w:val="BodyText"/>
        <w:rPr/>
      </w:pPr>
      <w:r>
        <w:rPr/>
        <w:t>Test KMS failure before offering a service: determine whether running hosts cache keys, whether new boots/attachments fail, when cached authority expires and how recovery retrieves approved key material. No plaintext or unmanaged-key fallback is permitted. The recovery design avoids circular dependencies such as needing the failed KMS-hosting cluster to unlock its own only recovery copy.</w:t>
      </w:r>
    </w:p>
    <w:p>
      <w:pPr>
        <w:pStyle w:val="BodyText"/>
        <w:rPr/>
      </w:pPr>
      <w:r>
        <w:rPr/>
        <w:t>Certificates have an issuer, subject/service identity, lifetime, trust distribution, renewal owner and revocation process. Validate peer identity, not merely encryption. Prefer modern supported protocol configurations; any legacy protocol exception has a bounded scope and remediation plan. Maintain a cryptographic inventory and a post-quantum transition dependency plan using the adopted current guidance; do not claim that every endpoint already supports new algorithms or that a product feature implies an approved cryptographic module.</w:t>
      </w:r>
    </w:p>
    <w:p>
      <w:pPr>
        <w:pStyle w:val="Requirement"/>
        <w:keepNext w:val="true"/>
        <w:rPr/>
      </w:pPr>
      <w:bookmarkStart w:id="145" w:name="req_CRY_001"/>
      <w:bookmarkEnd w:id="145"/>
      <w:r>
        <w:rPr>
          <w:rStyle w:val="ReqID"/>
        </w:rPr>
        <w:t xml:space="preserve">CRY-001  </w:t>
      </w:r>
      <w:r>
        <w:rPr/>
        <w:t>Protected data services SHALL enforce their versioned cryptographic profile at rest and in transit; the profile SHALL identify approved algorithms/modes, endpoint identity validation, module/operating-environment evidence and exceptions.</w:t>
      </w:r>
    </w:p>
    <w:p>
      <w:pPr>
        <w:pStyle w:val="ReqMeta"/>
        <w:rPr/>
      </w:pPr>
      <w:r>
        <w:rPr/>
        <w:t xml:space="preserve">Security authority  |  Verify: </w:t>
      </w:r>
      <w:hyperlink w:anchor="test_CT_028">
        <w:r>
          <w:rPr>
            <w:rStyle w:val="Hyperlink"/>
          </w:rPr>
          <w:t>CT-028</w:t>
        </w:r>
      </w:hyperlink>
      <w:r>
        <w:rPr/>
        <w:t xml:space="preserve">, </w:t>
      </w:r>
      <w:hyperlink w:anchor="test_CT_038">
        <w:r>
          <w:rPr>
            <w:rStyle w:val="Hyperlink"/>
          </w:rPr>
          <w:t>CT-038</w:t>
        </w:r>
      </w:hyperlink>
      <w:r>
        <w:rPr/>
        <w:t xml:space="preserve">, </w:t>
      </w:r>
      <w:hyperlink w:anchor="test_CT_063">
        <w:r>
          <w:rPr>
            <w:rStyle w:val="Hyperlink"/>
          </w:rPr>
          <w:t>CT-063</w:t>
        </w:r>
      </w:hyperlink>
      <w:r>
        <w:rPr/>
        <w:t xml:space="preserve">  |  Basis: </w:t>
      </w:r>
      <w:hyperlink w:anchor="S09">
        <w:r>
          <w:rPr>
            <w:rStyle w:val="Hyperlink"/>
          </w:rPr>
          <w:t>S09</w:t>
        </w:r>
      </w:hyperlink>
      <w:r>
        <w:rPr/>
        <w:t xml:space="preserve"> / </w:t>
      </w:r>
      <w:hyperlink w:anchor="S10">
        <w:r>
          <w:rPr>
            <w:rStyle w:val="Hyperlink"/>
          </w:rPr>
          <w:t>S10</w:t>
        </w:r>
      </w:hyperlink>
      <w:r>
        <w:rPr/>
        <w:t xml:space="preserve">  |  new-v1.1</w:t>
      </w:r>
    </w:p>
    <w:p>
      <w:pPr>
        <w:pStyle w:val="Requirement"/>
        <w:keepNext w:val="true"/>
        <w:rPr/>
      </w:pPr>
      <w:bookmarkStart w:id="146" w:name="req_CRY_002"/>
      <w:bookmarkEnd w:id="146"/>
      <w:r>
        <w:rPr>
          <w:rStyle w:val="ReqID"/>
        </w:rPr>
        <w:t xml:space="preserve">CRY-002  </w:t>
      </w:r>
      <w:r>
        <w:rPr/>
        <w:t>Key use, administration, recovery and destruction SHALL have explicit separated authority and dependency records; key destruction SHALL NOT invalidate required retained-data recovery without an approved disposition decision.</w:t>
      </w:r>
    </w:p>
    <w:p>
      <w:pPr>
        <w:pStyle w:val="ReqMeta"/>
        <w:rPr/>
      </w:pPr>
      <w:r>
        <w:rPr/>
        <w:t xml:space="preserve">Key-management operations  |  Verify: </w:t>
      </w:r>
      <w:hyperlink w:anchor="test_CT_038">
        <w:r>
          <w:rPr>
            <w:rStyle w:val="Hyperlink"/>
          </w:rPr>
          <w:t>CT-038</w:t>
        </w:r>
      </w:hyperlink>
      <w:r>
        <w:rPr/>
        <w:t xml:space="preserve">, </w:t>
      </w:r>
      <w:hyperlink w:anchor="test_CT_053">
        <w:r>
          <w:rPr>
            <w:rStyle w:val="Hyperlink"/>
          </w:rPr>
          <w:t>CT-053</w:t>
        </w:r>
      </w:hyperlink>
      <w:r>
        <w:rPr/>
        <w:t xml:space="preserve">, </w:t>
      </w:r>
      <w:hyperlink w:anchor="test_CT_059">
        <w:r>
          <w:rPr>
            <w:rStyle w:val="Hyperlink"/>
          </w:rPr>
          <w:t>CT-059</w:t>
        </w:r>
      </w:hyperlink>
      <w:r>
        <w:rPr/>
        <w:t xml:space="preserve">  |  Basis: </w:t>
      </w:r>
      <w:hyperlink w:anchor="S09">
        <w:r>
          <w:rPr>
            <w:rStyle w:val="Hyperlink"/>
          </w:rPr>
          <w:t>S09</w:t>
        </w:r>
      </w:hyperlink>
      <w:r>
        <w:rPr/>
        <w:t xml:space="preserve">  |  new-v1.1</w:t>
      </w:r>
    </w:p>
    <w:p>
      <w:pPr>
        <w:pStyle w:val="Requirement"/>
        <w:keepNext w:val="true"/>
        <w:rPr/>
      </w:pPr>
      <w:bookmarkStart w:id="147" w:name="req_CRY_003"/>
      <w:bookmarkEnd w:id="147"/>
      <w:r>
        <w:rPr>
          <w:rStyle w:val="ReqID"/>
        </w:rPr>
        <w:t xml:space="preserve">CRY-003  </w:t>
      </w:r>
      <w:r>
        <w:rPr/>
        <w:t>KMS/trust-service outage behavior SHALL be tested and SHALL NOT enable plaintext fallback; cryptographic inventory, certificate rotation and algorithm-transition plans SHALL be maintained.</w:t>
      </w:r>
    </w:p>
    <w:p>
      <w:pPr>
        <w:pStyle w:val="ReqMeta"/>
        <w:rPr/>
      </w:pPr>
      <w:r>
        <w:rPr/>
        <w:t xml:space="preserve">Key-management operations  |  Verify: </w:t>
      </w:r>
      <w:hyperlink w:anchor="test_CT_028">
        <w:r>
          <w:rPr>
            <w:rStyle w:val="Hyperlink"/>
          </w:rPr>
          <w:t>CT-028</w:t>
        </w:r>
      </w:hyperlink>
      <w:r>
        <w:rPr/>
        <w:t xml:space="preserve">, </w:t>
      </w:r>
      <w:hyperlink w:anchor="test_CT_038">
        <w:r>
          <w:rPr>
            <w:rStyle w:val="Hyperlink"/>
          </w:rPr>
          <w:t>CT-038</w:t>
        </w:r>
      </w:hyperlink>
      <w:r>
        <w:rPr/>
        <w:t xml:space="preserve">, </w:t>
      </w:r>
      <w:hyperlink w:anchor="test_CT_055">
        <w:r>
          <w:rPr>
            <w:rStyle w:val="Hyperlink"/>
          </w:rPr>
          <w:t>CT-055</w:t>
        </w:r>
      </w:hyperlink>
      <w:r>
        <w:rPr/>
        <w:t xml:space="preserve">  |  Basis: </w:t>
      </w:r>
      <w:hyperlink w:anchor="S09">
        <w:r>
          <w:rPr>
            <w:rStyle w:val="Hyperlink"/>
          </w:rPr>
          <w:t>S09</w:t>
        </w:r>
      </w:hyperlink>
      <w:r>
        <w:rPr/>
        <w:t xml:space="preserve"> / </w:t>
      </w:r>
      <w:hyperlink w:anchor="S10">
        <w:r>
          <w:rPr>
            <w:rStyle w:val="Hyperlink"/>
          </w:rPr>
          <w:t>S10</w:t>
        </w:r>
      </w:hyperlink>
      <w:r>
        <w:rPr/>
        <w:t xml:space="preserve">  |  new-v1.1</w:t>
      </w:r>
    </w:p>
    <w:p>
      <w:pPr>
        <w:pStyle w:val="Heading2"/>
        <w:numPr>
          <w:ilvl w:val="0"/>
          <w:numId w:val="7"/>
        </w:numPr>
        <w:rPr/>
      </w:pPr>
      <w:bookmarkStart w:id="148" w:name="__RefHeading___Toc13341_1645000677"/>
      <w:bookmarkStart w:id="149" w:name="sec_26"/>
      <w:bookmarkEnd w:id="148"/>
      <w:r>
        <w:rPr/>
        <w:t>Images, configuration baselines and endpoint protection</w:t>
      </w:r>
      <w:bookmarkEnd w:id="149"/>
    </w:p>
    <w:p>
      <w:pPr>
        <w:pStyle w:val="BodyText"/>
        <w:rPr/>
      </w:pPr>
      <w:r>
        <w:rPr/>
        <w:t>Approved images and host baselines are versioned service inputs. An ImageProfile identifies operating system, build source, signed digest, boot mode, drivers/agents, hardening baseline, vulnerability disposition, software inventory and support lifecycle. The image pipeline separates building, approving, publishing and deployment. Tenant customization remains inside the declared baseline; changes that disable required protection or expose management interfaces are denied or formally excepted.</w:t>
      </w:r>
    </w:p>
    <w:p>
      <w:pPr>
        <w:pStyle w:val="BodyText"/>
        <w:rPr/>
      </w:pPr>
      <w:r>
        <w:rPr/>
        <w:t>The baseline covers firmware, hypervisor, controller, guest, network/security appliances and automation runners. Harden to necessary functionality, configure authenticated time/logging, remove default credentials, restrict consoles and administrative protocols, and enable supported endpoint monitoring/antimalware as required. An agent must not be installed on a hypervisor contrary to vendor support; use the qualified platform-native protection when appropriate. Supported and tested versions, asset lifecycle and hardening are explicit elements of the applicable GC configuration guidance. [</w:t>
      </w:r>
      <w:hyperlink w:anchor="S07">
        <w:r>
          <w:rPr>
            <w:rStyle w:val="Hyperlink"/>
          </w:rPr>
          <w:t>S07</w:t>
        </w:r>
      </w:hyperlink>
      <w:r>
        <w:rPr/>
        <w:t>, sections 1-3]</w:t>
      </w:r>
    </w:p>
    <w:p>
      <w:pPr>
        <w:pStyle w:val="BodyText"/>
        <w:rPr/>
      </w:pPr>
      <w:r>
        <w:rPr/>
        <w:t>Image signing does not prove the image is safe; it links the deployed bytes to an accountable build. Qualification verifies both provenance and runtime configuration. Rebuild cadence and vulnerability triggers invalidate retired images, and deployed drift is reconciled rather than hidden by a clean image label. Guest workloads retain responsibility for application libraries, service accounts and data handling that infrastructure automation cannot determine.</w:t>
      </w:r>
    </w:p>
    <w:p>
      <w:pPr>
        <w:pStyle w:val="Requirement"/>
        <w:keepNext w:val="true"/>
        <w:rPr/>
      </w:pPr>
      <w:bookmarkStart w:id="150" w:name="req_IMG_001"/>
      <w:bookmarkEnd w:id="150"/>
      <w:r>
        <w:rPr>
          <w:rStyle w:val="ReqID"/>
        </w:rPr>
        <w:t xml:space="preserve">IMG-001  </w:t>
      </w:r>
      <w:r>
        <w:rPr/>
        <w:t>Only approved versioned images and baselines SHALL be deployed; each SHALL include provenance, digest, support status, hardening and vulnerability disposition with a retirement/rebuild policy.</w:t>
      </w:r>
    </w:p>
    <w:p>
      <w:pPr>
        <w:pStyle w:val="ReqMeta"/>
        <w:rPr/>
      </w:pPr>
      <w:r>
        <w:rPr/>
        <w:t xml:space="preserve">Platform engineering  |  Verify: </w:t>
      </w:r>
      <w:hyperlink w:anchor="test_CT_036">
        <w:r>
          <w:rPr>
            <w:rStyle w:val="Hyperlink"/>
          </w:rPr>
          <w:t>CT-036</w:t>
        </w:r>
      </w:hyperlink>
      <w:r>
        <w:rPr/>
        <w:t xml:space="preserve">, </w:t>
      </w:r>
      <w:hyperlink w:anchor="test_CT_040">
        <w:r>
          <w:rPr>
            <w:rStyle w:val="Hyperlink"/>
          </w:rPr>
          <w:t>CT-040</w:t>
        </w:r>
      </w:hyperlink>
      <w:r>
        <w:rPr/>
        <w:t xml:space="preserve">, </w:t>
      </w:r>
      <w:hyperlink w:anchor="test_CT_041">
        <w:r>
          <w:rPr>
            <w:rStyle w:val="Hyperlink"/>
          </w:rPr>
          <w:t>CT-041</w:t>
        </w:r>
      </w:hyperlink>
      <w:r>
        <w:rPr/>
        <w:t xml:space="preserve">  |  Basis: </w:t>
      </w:r>
      <w:hyperlink w:anchor="S07">
        <w:r>
          <w:rPr>
            <w:rStyle w:val="Hyperlink"/>
          </w:rPr>
          <w:t>S07</w:t>
        </w:r>
      </w:hyperlink>
      <w:r>
        <w:rPr/>
        <w:t xml:space="preserve">  |  new-v1.1</w:t>
      </w:r>
    </w:p>
    <w:p>
      <w:pPr>
        <w:pStyle w:val="Requirement"/>
        <w:keepNext w:val="true"/>
        <w:rPr/>
      </w:pPr>
      <w:bookmarkStart w:id="151" w:name="req_IMG_002"/>
      <w:bookmarkEnd w:id="151"/>
      <w:r>
        <w:rPr>
          <w:rStyle w:val="ReqID"/>
        </w:rPr>
        <w:t xml:space="preserve">IMG-002  </w:t>
      </w:r>
      <w:r>
        <w:rPr/>
        <w:t>Runtime configuration SHALL be verified against the required baseline after provisioning and material change; unsupported protection agents or disabled mandatory controls SHALL not be silently accepted.</w:t>
      </w:r>
    </w:p>
    <w:p>
      <w:pPr>
        <w:pStyle w:val="ReqMeta"/>
        <w:rPr/>
      </w:pPr>
      <w:r>
        <w:rPr/>
        <w:t xml:space="preserve">Platform engineering  |  Verify: </w:t>
      </w:r>
      <w:hyperlink w:anchor="test_CT_014">
        <w:r>
          <w:rPr>
            <w:rStyle w:val="Hyperlink"/>
          </w:rPr>
          <w:t>CT-014</w:t>
        </w:r>
      </w:hyperlink>
      <w:r>
        <w:rPr/>
        <w:t xml:space="preserve">, </w:t>
      </w:r>
      <w:hyperlink w:anchor="test_CT_036">
        <w:r>
          <w:rPr>
            <w:rStyle w:val="Hyperlink"/>
          </w:rPr>
          <w:t>CT-036</w:t>
        </w:r>
      </w:hyperlink>
      <w:r>
        <w:rPr/>
        <w:t xml:space="preserve">, </w:t>
      </w:r>
      <w:hyperlink w:anchor="test_CT_040">
        <w:r>
          <w:rPr>
            <w:rStyle w:val="Hyperlink"/>
          </w:rPr>
          <w:t>CT-040</w:t>
        </w:r>
      </w:hyperlink>
      <w:r>
        <w:rPr/>
        <w:t xml:space="preserve">  |  Basis: </w:t>
      </w:r>
      <w:hyperlink w:anchor="S00">
        <w:r>
          <w:rPr>
            <w:rStyle w:val="Hyperlink"/>
          </w:rPr>
          <w:t>S00</w:t>
        </w:r>
      </w:hyperlink>
      <w:r>
        <w:rPr/>
        <w:t xml:space="preserve">  |  new-v1.1</w:t>
      </w:r>
    </w:p>
    <w:p>
      <w:pPr>
        <w:pStyle w:val="Heading2"/>
        <w:numPr>
          <w:ilvl w:val="0"/>
          <w:numId w:val="7"/>
        </w:numPr>
        <w:rPr/>
      </w:pPr>
      <w:bookmarkStart w:id="152" w:name="__RefHeading___Toc13343_1645000677"/>
      <w:bookmarkStart w:id="153" w:name="sec_27"/>
      <w:bookmarkEnd w:id="152"/>
      <w:r>
        <w:rPr/>
        <w:t>Backup, retention and isolated restore</w:t>
      </w:r>
      <w:bookmarkEnd w:id="153"/>
    </w:p>
    <w:p>
      <w:pPr>
        <w:pStyle w:val="BodyText"/>
        <w:rPr/>
      </w:pPr>
      <w:r>
        <w:rPr/>
        <w:t>Backup is a service, not a routing-domain name. Separate its data endpoints from management and repository administration. A BackupPolicy specifies protected objects, application consistency, schedule, retention/hold, independent copies, immutability where required, encryption/key custody, approved locations, recovery access and restore verification. A successful backup job does not prove recovery; acceptance is based on a verified restore of useful data and application state.</w:t>
      </w:r>
    </w:p>
    <w:p>
      <w:pPr>
        <w:pStyle w:val="BodyText"/>
        <w:rPr/>
      </w:pPr>
      <w:r>
        <w:rPr/>
        <w:t>At least one recovery copy for a protected production service should be protected from routine production administrator credentials according to the selected recovery policy. Immutability settings and deletion authority are tested, not assumed from a marketing label. Protect the catalogue, configuration and key dependencies needed to locate and decrypt a copy. Retention changes are security-sensitive and cannot be made by a compromised workload identity.</w:t>
      </w:r>
    </w:p>
    <w:p>
      <w:pPr>
        <w:pStyle w:val="BodyText"/>
        <w:rPr/>
      </w:pPr>
      <w:r>
        <w:rPr/>
        <w:t>Restore into an isolated recovery Security Domain with default-deny connectivity. Validate integrity and consistency markers, malware/risk posture, identity and secrets, required application services and recovery timing. Reconnection to production is a separate authorized transition. A restored image does not inherit old standing privileged sessions. For database/file services, record whether consistency is crash-consistent, application-consistent or transaction-point recovery; do not interchange those claims.</w:t>
      </w:r>
    </w:p>
    <w:p>
      <w:pPr>
        <w:pStyle w:val="BodyText"/>
        <w:rPr/>
      </w:pPr>
      <w:r>
        <w:rPr/>
        <w:t>Retirement preserves required held/retained copies with accountable owners, keys and disposal dates. A production WSD may be retired while retention obligations remain under a retained-data record. Final deletion evidence identifies every known remaining copy and its authority. The service owner selects business recovery requirements; backup operations proves the selected mechanism and reports missed objectives.</w:t>
      </w:r>
    </w:p>
    <w:p>
      <w:pPr>
        <w:pStyle w:val="Requirement"/>
        <w:keepNext w:val="true"/>
        <w:rPr/>
      </w:pPr>
      <w:bookmarkStart w:id="154" w:name="req_BKP_001"/>
      <w:bookmarkEnd w:id="154"/>
      <w:r>
        <w:rPr>
          <w:rStyle w:val="ReqID"/>
        </w:rPr>
        <w:t xml:space="preserve">BKP-001  </w:t>
      </w:r>
      <w:r>
        <w:rPr/>
        <w:t>Backup consumers SHALL NOT receive connectivity to backup management interfaces merely because they consume backup service.</w:t>
      </w:r>
    </w:p>
    <w:p>
      <w:pPr>
        <w:pStyle w:val="ReqMeta"/>
        <w:rPr/>
      </w:pPr>
      <w:r>
        <w:rPr/>
        <w:t xml:space="preserve">Backup operations  |  Verify: </w:t>
      </w:r>
      <w:hyperlink w:anchor="test_CT_004">
        <w:r>
          <w:rPr>
            <w:rStyle w:val="Hyperlink"/>
          </w:rPr>
          <w:t>CT-004</w:t>
        </w:r>
      </w:hyperlink>
      <w:r>
        <w:rPr/>
        <w:t xml:space="preserve">, </w:t>
      </w:r>
      <w:hyperlink w:anchor="test_CT_051">
        <w:r>
          <w:rPr>
            <w:rStyle w:val="Hyperlink"/>
          </w:rPr>
          <w:t>CT-051</w:t>
        </w:r>
      </w:hyperlink>
      <w:r>
        <w:rPr/>
        <w:t xml:space="preserve">  |  Basis: </w:t>
      </w:r>
      <w:hyperlink w:anchor="S00">
        <w:r>
          <w:rPr>
            <w:rStyle w:val="Hyperlink"/>
          </w:rPr>
          <w:t>S00</w:t>
        </w:r>
      </w:hyperlink>
      <w:r>
        <w:rPr/>
        <w:t xml:space="preserve">  |  retained-v1.0</w:t>
      </w:r>
    </w:p>
    <w:p>
      <w:pPr>
        <w:pStyle w:val="Requirement"/>
        <w:keepNext w:val="true"/>
        <w:rPr/>
      </w:pPr>
      <w:bookmarkStart w:id="155" w:name="req_BKP_002"/>
      <w:bookmarkEnd w:id="155"/>
      <w:r>
        <w:rPr>
          <w:rStyle w:val="ReqID"/>
        </w:rPr>
        <w:t xml:space="preserve">BKP-002  </w:t>
      </w:r>
      <w:r>
        <w:rPr/>
        <w:t>Restore workflows SHALL enforce the same tenant, security-zone, identity, and evidence controls as backup ingestion.</w:t>
      </w:r>
    </w:p>
    <w:p>
      <w:pPr>
        <w:pStyle w:val="ReqMeta"/>
        <w:rPr/>
      </w:pPr>
      <w:r>
        <w:rPr/>
        <w:t xml:space="preserve">Backup operations  |  Verify: </w:t>
      </w:r>
      <w:hyperlink w:anchor="test_CT_052">
        <w:r>
          <w:rPr>
            <w:rStyle w:val="Hyperlink"/>
          </w:rPr>
          <w:t>CT-052</w:t>
        </w:r>
      </w:hyperlink>
      <w:r>
        <w:rPr/>
        <w:t xml:space="preserve">, </w:t>
      </w:r>
      <w:hyperlink w:anchor="test_CT_054">
        <w:r>
          <w:rPr>
            <w:rStyle w:val="Hyperlink"/>
          </w:rPr>
          <w:t>CT-054</w:t>
        </w:r>
      </w:hyperlink>
      <w:r>
        <w:rPr/>
        <w:t xml:space="preserve">  |  Basis: </w:t>
      </w:r>
      <w:hyperlink w:anchor="S00">
        <w:r>
          <w:rPr>
            <w:rStyle w:val="Hyperlink"/>
          </w:rPr>
          <w:t>S00</w:t>
        </w:r>
      </w:hyperlink>
      <w:r>
        <w:rPr/>
        <w:t xml:space="preserve">  |  retained-v1.0</w:t>
      </w:r>
    </w:p>
    <w:p>
      <w:pPr>
        <w:pStyle w:val="Requirement"/>
        <w:keepNext w:val="true"/>
        <w:rPr/>
      </w:pPr>
      <w:bookmarkStart w:id="156" w:name="req_BKP_003"/>
      <w:bookmarkEnd w:id="156"/>
      <w:r>
        <w:rPr>
          <w:rStyle w:val="ReqID"/>
        </w:rPr>
        <w:t xml:space="preserve">BKP-003  </w:t>
      </w:r>
      <w:r>
        <w:rPr/>
        <w:t>Every protected production WSD SHALL have a BackupPolicy with consistency, retention, location, key and protected-copy requirements; successful isolated restore SHALL be demonstrated at the policy cadence.</w:t>
      </w:r>
    </w:p>
    <w:p>
      <w:pPr>
        <w:pStyle w:val="ReqMeta"/>
        <w:rPr/>
      </w:pPr>
      <w:r>
        <w:rPr/>
        <w:t xml:space="preserve">Backup operations  |  Verify: </w:t>
      </w:r>
      <w:hyperlink w:anchor="test_CT_051">
        <w:r>
          <w:rPr>
            <w:rStyle w:val="Hyperlink"/>
          </w:rPr>
          <w:t>CT-051</w:t>
        </w:r>
      </w:hyperlink>
      <w:r>
        <w:rPr/>
        <w:t xml:space="preserve">, </w:t>
      </w:r>
      <w:hyperlink w:anchor="test_CT_052">
        <w:r>
          <w:rPr>
            <w:rStyle w:val="Hyperlink"/>
          </w:rPr>
          <w:t>CT-052</w:t>
        </w:r>
      </w:hyperlink>
      <w:r>
        <w:rPr/>
        <w:t xml:space="preserve">, </w:t>
      </w:r>
      <w:hyperlink w:anchor="test_CT_053">
        <w:r>
          <w:rPr>
            <w:rStyle w:val="Hyperlink"/>
          </w:rPr>
          <w:t>CT-053</w:t>
        </w:r>
      </w:hyperlink>
      <w:r>
        <w:rPr/>
        <w:t xml:space="preserve">  |  Basis: </w:t>
      </w:r>
      <w:hyperlink w:anchor="S00">
        <w:r>
          <w:rPr>
            <w:rStyle w:val="Hyperlink"/>
          </w:rPr>
          <w:t>S00</w:t>
        </w:r>
      </w:hyperlink>
      <w:r>
        <w:rPr/>
        <w:t xml:space="preserve">  |  new-v1.1</w:t>
      </w:r>
    </w:p>
    <w:p>
      <w:pPr>
        <w:pStyle w:val="Requirement"/>
        <w:keepNext w:val="true"/>
        <w:rPr/>
      </w:pPr>
      <w:bookmarkStart w:id="157" w:name="req_BKP_004"/>
      <w:bookmarkEnd w:id="157"/>
      <w:r>
        <w:rPr>
          <w:rStyle w:val="ReqID"/>
        </w:rPr>
        <w:t xml:space="preserve">BKP-004  </w:t>
      </w:r>
      <w:r>
        <w:rPr/>
        <w:t>Production credentials SHALL NOT be able to destroy or reduce the protection of recovery copies designated independent/immutable; retained copies SHALL keep the keys and catalogue required for authorized recovery.</w:t>
      </w:r>
    </w:p>
    <w:p>
      <w:pPr>
        <w:pStyle w:val="ReqMeta"/>
        <w:rPr/>
      </w:pPr>
      <w:r>
        <w:rPr/>
        <w:t xml:space="preserve">Backup operations  |  Verify: </w:t>
      </w:r>
      <w:hyperlink w:anchor="test_CT_038">
        <w:r>
          <w:rPr>
            <w:rStyle w:val="Hyperlink"/>
          </w:rPr>
          <w:t>CT-038</w:t>
        </w:r>
      </w:hyperlink>
      <w:r>
        <w:rPr/>
        <w:t xml:space="preserve">, </w:t>
      </w:r>
      <w:hyperlink w:anchor="test_CT_051">
        <w:r>
          <w:rPr>
            <w:rStyle w:val="Hyperlink"/>
          </w:rPr>
          <w:t>CT-051</w:t>
        </w:r>
      </w:hyperlink>
      <w:r>
        <w:rPr/>
        <w:t xml:space="preserve">, </w:t>
      </w:r>
      <w:hyperlink w:anchor="test_CT_053">
        <w:r>
          <w:rPr>
            <w:rStyle w:val="Hyperlink"/>
          </w:rPr>
          <w:t>CT-053</w:t>
        </w:r>
      </w:hyperlink>
      <w:r>
        <w:rPr/>
        <w:t xml:space="preserve">  |  Basis: </w:t>
      </w:r>
      <w:hyperlink w:anchor="S00">
        <w:r>
          <w:rPr>
            <w:rStyle w:val="Hyperlink"/>
          </w:rPr>
          <w:t>S00</w:t>
        </w:r>
      </w:hyperlink>
      <w:r>
        <w:rPr/>
        <w:t xml:space="preserve">  |  new-v1.1</w:t>
      </w:r>
    </w:p>
    <w:p>
      <w:pPr>
        <w:pStyle w:val="Heading2"/>
        <w:numPr>
          <w:ilvl w:val="0"/>
          <w:numId w:val="7"/>
        </w:numPr>
        <w:rPr/>
      </w:pPr>
      <w:bookmarkStart w:id="158" w:name="__RefHeading___Toc13345_1645000677"/>
      <w:bookmarkStart w:id="159" w:name="sec_28"/>
      <w:bookmarkEnd w:id="158"/>
      <w:r>
        <w:rPr/>
        <w:t>Availability and recovery service profiles</w:t>
      </w:r>
      <w:bookmarkEnd w:id="159"/>
    </w:p>
    <w:p>
      <w:pPr>
        <w:pStyle w:val="BodyText"/>
        <w:rPr/>
      </w:pPr>
      <w:r>
        <w:rPr/>
        <w:t>Define service reliability in measurable terms: what endpoint or operation is measured, success criteria, measurement window, permitted maintenance treatment, failure-domain tolerance, degraded behavior and owner. RTO is the target elapsed recovery time for a declared scope; RPO is the tolerated age/data-loss interval for the recovered state. Neither is inferred solely from a storage replication mode or a security “Medium” label.</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880"/>
        <w:gridCol w:w="6695"/>
      </w:tblGrid>
      <w:tr>
        <w:trPr>
          <w:tblHeader w:val="true"/>
          <w:cantSplit w:val="true"/>
        </w:trPr>
        <w:tc>
          <w:tcPr>
            <w:tcW w:w="28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Profile field</w:t>
            </w:r>
          </w:p>
        </w:tc>
        <w:tc>
          <w:tcPr>
            <w:tcW w:w="669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interpretation</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serviceObjectivePercent / window</w:t>
            </w:r>
          </w:p>
        </w:tc>
        <w:tc>
          <w:tcPr>
            <w:tcW w:w="669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Explicit indicator and monthly or other defined observation period; no hidden maintenance exclusions</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failureTolerance / placement</w:t>
            </w:r>
          </w:p>
        </w:tc>
        <w:tc>
          <w:tcPr>
            <w:tcW w:w="669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Named node, rack, edge or site failures and minimum independently available capacity</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recovery scope / RTO / RPO</w:t>
            </w:r>
          </w:p>
        </w:tc>
        <w:tc>
          <w:tcPr>
            <w:tcW w:w="669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Application/service boundary, start/end milestones, consistency point and measured evidence</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maintenance / degraded mode</w:t>
            </w:r>
          </w:p>
        </w:tc>
        <w:tc>
          <w:tcPr>
            <w:tcW w:w="669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Drain, approved interruption, admission restrictions, customer notification and recovery rules</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dependency budgets</w:t>
            </w:r>
          </w:p>
        </w:tc>
        <w:tc>
          <w:tcPr>
            <w:tcW w:w="669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DNS, IdP, KMS, storage, network, control plane and external-service assumptions</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exercise cadence / failback</w:t>
            </w:r>
          </w:p>
        </w:tc>
        <w:tc>
          <w:tcPr>
            <w:tcW w:w="669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Who proves recovery, how often, and how data ownership returns</w:t>
            </w:r>
          </w:p>
        </w:tc>
      </w:tr>
    </w:tbl>
    <w:p>
      <w:pPr>
        <w:pStyle w:val="BodyText"/>
        <w:rPr/>
      </w:pPr>
      <w:r>
        <w:rPr/>
        <w:t>Reference values in Appendix F make the baseline testable but are proposed design targets. Platform certification records actual measured capability; service acceptance requires the owner to approve a profile whose dependencies can support it. A site-recovery RTO can still result in breaching an availability objective: report that breach rather than treating RTO as an automatic SLO exclusion. Capacity reservation includes the tolerated failure and planned maintenance scenario.</w:t>
      </w:r>
    </w:p>
    <w:p>
      <w:pPr>
        <w:pStyle w:val="Requirement"/>
        <w:keepNext w:val="true"/>
        <w:rPr/>
      </w:pPr>
      <w:bookmarkStart w:id="160" w:name="req_REL_001"/>
      <w:bookmarkEnd w:id="160"/>
      <w:r>
        <w:rPr>
          <w:rStyle w:val="ReqID"/>
        </w:rPr>
        <w:t xml:space="preserve">REL-001  </w:t>
      </w:r>
      <w:r>
        <w:rPr/>
        <w:t>Availability and recovery profiles SHALL define measurement scope, SLO, failure tolerance, maintenance treatment, RTO/RPO, consistency, dependencies and test cadence; impact categorization SHALL NOT substitute for these values.</w:t>
      </w:r>
    </w:p>
    <w:p>
      <w:pPr>
        <w:pStyle w:val="ReqMeta"/>
        <w:rPr/>
      </w:pPr>
      <w:r>
        <w:rPr/>
        <w:t xml:space="preserve">Service owner  |  Verify: </w:t>
      </w:r>
      <w:hyperlink w:anchor="test_CT_012">
        <w:r>
          <w:rPr>
            <w:rStyle w:val="Hyperlink"/>
          </w:rPr>
          <w:t>CT-012</w:t>
        </w:r>
      </w:hyperlink>
      <w:r>
        <w:rPr/>
        <w:t xml:space="preserve">, </w:t>
      </w:r>
      <w:hyperlink w:anchor="test_CT_052">
        <w:r>
          <w:rPr>
            <w:rStyle w:val="Hyperlink"/>
          </w:rPr>
          <w:t>CT-052</w:t>
        </w:r>
      </w:hyperlink>
      <w:r>
        <w:rPr/>
        <w:t xml:space="preserve">, </w:t>
      </w:r>
      <w:hyperlink w:anchor="test_CT_054">
        <w:r>
          <w:rPr>
            <w:rStyle w:val="Hyperlink"/>
          </w:rPr>
          <w:t>CT-054</w:t>
        </w:r>
      </w:hyperlink>
      <w:r>
        <w:rPr/>
        <w:t xml:space="preserve">, </w:t>
      </w:r>
      <w:hyperlink w:anchor="test_CT_062">
        <w:r>
          <w:rPr>
            <w:rStyle w:val="Hyperlink"/>
          </w:rPr>
          <w:t>CT-062</w:t>
        </w:r>
      </w:hyperlink>
      <w:r>
        <w:rPr/>
        <w:t xml:space="preserve">  |  Basis: </w:t>
      </w:r>
      <w:hyperlink w:anchor="S00">
        <w:r>
          <w:rPr>
            <w:rStyle w:val="Hyperlink"/>
          </w:rPr>
          <w:t>S00</w:t>
        </w:r>
      </w:hyperlink>
      <w:r>
        <w:rPr/>
        <w:t xml:space="preserve">  |  new-v1.1</w:t>
      </w:r>
    </w:p>
    <w:p>
      <w:pPr>
        <w:pStyle w:val="Requirement"/>
        <w:keepNext w:val="true"/>
        <w:rPr/>
      </w:pPr>
      <w:bookmarkStart w:id="161" w:name="req_REL_002"/>
      <w:bookmarkEnd w:id="161"/>
      <w:r>
        <w:rPr>
          <w:rStyle w:val="ReqID"/>
        </w:rPr>
        <w:t xml:space="preserve">REL-002  </w:t>
      </w:r>
      <w:r>
        <w:rPr/>
        <w:t>Recovery/HA capabilities SHALL be measured under the approved load and failure scenario before a platform offers the profile; reported SLOs SHALL disclose exclusions and actual breaches.</w:t>
      </w:r>
    </w:p>
    <w:p>
      <w:pPr>
        <w:pStyle w:val="ReqMeta"/>
        <w:rPr/>
      </w:pPr>
      <w:r>
        <w:rPr/>
        <w:t xml:space="preserve">Operations/SRE  |  Verify: </w:t>
      </w:r>
      <w:hyperlink w:anchor="test_CT_012">
        <w:r>
          <w:rPr>
            <w:rStyle w:val="Hyperlink"/>
          </w:rPr>
          <w:t>CT-012</w:t>
        </w:r>
      </w:hyperlink>
      <w:r>
        <w:rPr/>
        <w:t xml:space="preserve">, </w:t>
      </w:r>
      <w:hyperlink w:anchor="test_CT_039">
        <w:r>
          <w:rPr>
            <w:rStyle w:val="Hyperlink"/>
          </w:rPr>
          <w:t>CT-039</w:t>
        </w:r>
      </w:hyperlink>
      <w:r>
        <w:rPr/>
        <w:t xml:space="preserve">, </w:t>
      </w:r>
      <w:hyperlink w:anchor="test_CT_054">
        <w:r>
          <w:rPr>
            <w:rStyle w:val="Hyperlink"/>
          </w:rPr>
          <w:t>CT-054</w:t>
        </w:r>
      </w:hyperlink>
      <w:r>
        <w:rPr/>
        <w:t xml:space="preserve">, </w:t>
      </w:r>
      <w:hyperlink w:anchor="test_CT_056">
        <w:r>
          <w:rPr>
            <w:rStyle w:val="Hyperlink"/>
          </w:rPr>
          <w:t>CT-056</w:t>
        </w:r>
      </w:hyperlink>
      <w:r>
        <w:rPr/>
        <w:t xml:space="preserve">  |  Basis: </w:t>
      </w:r>
      <w:hyperlink w:anchor="S00">
        <w:r>
          <w:rPr>
            <w:rStyle w:val="Hyperlink"/>
          </w:rPr>
          <w:t>S00</w:t>
        </w:r>
      </w:hyperlink>
      <w:r>
        <w:rPr/>
        <w:t xml:space="preserve">  |  new-v1.1</w:t>
      </w:r>
    </w:p>
    <w:p>
      <w:pPr>
        <w:pStyle w:val="Heading2"/>
        <w:numPr>
          <w:ilvl w:val="0"/>
          <w:numId w:val="7"/>
        </w:numPr>
        <w:rPr/>
      </w:pPr>
      <w:bookmarkStart w:id="162" w:name="__RefHeading___Toc13347_1645000677"/>
      <w:bookmarkStart w:id="163" w:name="sec_29"/>
      <w:bookmarkEnd w:id="162"/>
      <w:r>
        <w:rPr/>
        <w:t>Placement, data location and sovereign optionality</w:t>
      </w:r>
      <w:bookmarkEnd w:id="163"/>
    </w:p>
    <w:p>
      <w:pPr>
        <w:pStyle w:val="BodyText"/>
        <w:rPr/>
      </w:pPr>
      <w:r>
        <w:rPr/>
        <w:t>Placement is a constraint solver over approved capabilities, security/assurance, location, capacity, lifecycle and service reliability. Consumers normally request outcomes and eligible policy profiles rather than a vendor. “auto” means select a qualified target, not choose any available capacity. The decision records candidates, rejected constraints and the selected profile digest so a later assessor can reconstruct why the placement was allowed.</w:t>
      </w:r>
    </w:p>
    <w:p>
      <w:pPr>
        <w:pStyle w:val="BodyText"/>
        <w:rPr/>
      </w:pPr>
      <w:r>
        <w:rPr/>
        <w:t>Model location/control constraints separately for primary data, replicas, backups, logs, diagnostic exports, control planes, administrators, support personnel and keys. Residency answers where data is stored; it does not alone answer jurisdiction, legal compulsion, administrative control or exit capability. The responsible legal/privacy/security authority determines those obligations. The controller enforces the resulting approved PlacementProfile rather than making legal conclusions.</w:t>
      </w:r>
    </w:p>
    <w:p>
      <w:pPr>
        <w:pStyle w:val="BodyText"/>
        <w:rPr/>
      </w:pPr>
      <w:r>
        <w:rPr/>
        <w:t>Sovereign optionality is supported through usable exports, independently held documentation/keys where appropriate, replaceable identity integrations and tested service contracts. Record dependencies that constrain exit: proprietary snapshots, virtual devices, databases, licenses, agents, operating procedures and data-volume transfer costs. A nominally open file format is not a successful exit until the target recovers the application and its security outcomes. [</w:t>
      </w:r>
      <w:hyperlink w:anchor="S00">
        <w:r>
          <w:rPr>
            <w:rStyle w:val="Hyperlink"/>
          </w:rPr>
          <w:t>S00</w:t>
        </w:r>
      </w:hyperlink>
      <w:r>
        <w:rPr/>
        <w:t xml:space="preserve">, closing statement; </w:t>
      </w:r>
      <w:hyperlink w:anchor="S28">
        <w:r>
          <w:rPr>
            <w:rStyle w:val="Hyperlink"/>
          </w:rPr>
          <w:t>S28</w:t>
        </w:r>
      </w:hyperlink>
      <w:r>
        <w:rPr/>
        <w:t>]</w:t>
      </w:r>
    </w:p>
    <w:p>
      <w:pPr>
        <w:pStyle w:val="Requirement"/>
        <w:keepNext w:val="true"/>
        <w:rPr/>
      </w:pPr>
      <w:bookmarkStart w:id="164" w:name="req_PLACE_001"/>
      <w:bookmarkEnd w:id="164"/>
      <w:r>
        <w:rPr>
          <w:rStyle w:val="ReqID"/>
        </w:rPr>
        <w:t xml:space="preserve">PLACE-001  </w:t>
      </w:r>
      <w:r>
        <w:rPr/>
        <w:t>Placement SHALL satisfy all mandatory security, assurance, location, lifecycle, capacity and recovery constraints using a current qualified platform profile; unresolved or conflicting constraints SHALL reject the request.</w:t>
      </w:r>
    </w:p>
    <w:p>
      <w:pPr>
        <w:pStyle w:val="ReqMeta"/>
        <w:rPr/>
      </w:pPr>
      <w:r>
        <w:rPr/>
        <w:t xml:space="preserve">Automation platform  |  Verify: </w:t>
      </w:r>
      <w:hyperlink w:anchor="test_CT_018">
        <w:r>
          <w:rPr>
            <w:rStyle w:val="Hyperlink"/>
          </w:rPr>
          <w:t>CT-018</w:t>
        </w:r>
      </w:hyperlink>
      <w:r>
        <w:rPr/>
        <w:t xml:space="preserve">, </w:t>
      </w:r>
      <w:hyperlink w:anchor="test_CT_035">
        <w:r>
          <w:rPr>
            <w:rStyle w:val="Hyperlink"/>
          </w:rPr>
          <w:t>CT-035</w:t>
        </w:r>
      </w:hyperlink>
      <w:r>
        <w:rPr/>
        <w:t xml:space="preserve">, </w:t>
      </w:r>
      <w:hyperlink w:anchor="test_CT_056">
        <w:r>
          <w:rPr>
            <w:rStyle w:val="Hyperlink"/>
          </w:rPr>
          <w:t>CT-056</w:t>
        </w:r>
      </w:hyperlink>
      <w:r>
        <w:rPr/>
        <w:t xml:space="preserve">, </w:t>
      </w:r>
      <w:hyperlink w:anchor="test_CT_061">
        <w:r>
          <w:rPr>
            <w:rStyle w:val="Hyperlink"/>
          </w:rPr>
          <w:t>CT-061</w:t>
        </w:r>
      </w:hyperlink>
      <w:r>
        <w:rPr/>
        <w:t xml:space="preserve">  |  Basis: </w:t>
      </w:r>
      <w:hyperlink w:anchor="S00">
        <w:r>
          <w:rPr>
            <w:rStyle w:val="Hyperlink"/>
          </w:rPr>
          <w:t>S00</w:t>
        </w:r>
      </w:hyperlink>
      <w:r>
        <w:rPr/>
        <w:t xml:space="preserve">  |  new-v1.1</w:t>
      </w:r>
    </w:p>
    <w:p>
      <w:pPr>
        <w:pStyle w:val="Requirement"/>
        <w:keepNext w:val="true"/>
        <w:rPr/>
      </w:pPr>
      <w:bookmarkStart w:id="165" w:name="req_PLACE_002"/>
      <w:bookmarkEnd w:id="165"/>
      <w:r>
        <w:rPr>
          <w:rStyle w:val="ReqID"/>
        </w:rPr>
        <w:t xml:space="preserve">PLACE-002  </w:t>
      </w:r>
      <w:r>
        <w:rPr/>
        <w:t>Data, backup, telemetry, diagnostic, control-plane, administrative-access and key locations/control constraints SHALL be represented separately and enforced through approved profiles and agreements.</w:t>
      </w:r>
    </w:p>
    <w:p>
      <w:pPr>
        <w:pStyle w:val="ReqMeta"/>
        <w:rPr/>
      </w:pPr>
      <w:r>
        <w:rPr/>
        <w:t xml:space="preserve">Service owner  |  Verify: </w:t>
      </w:r>
      <w:hyperlink w:anchor="test_CT_061">
        <w:r>
          <w:rPr>
            <w:rStyle w:val="Hyperlink"/>
          </w:rPr>
          <w:t>CT-061</w:t>
        </w:r>
      </w:hyperlink>
      <w:r>
        <w:rPr/>
        <w:t xml:space="preserve">, </w:t>
      </w:r>
      <w:hyperlink w:anchor="test_CT_079">
        <w:r>
          <w:rPr>
            <w:rStyle w:val="Hyperlink"/>
          </w:rPr>
          <w:t>CT-079</w:t>
        </w:r>
      </w:hyperlink>
      <w:r>
        <w:rPr/>
        <w:t xml:space="preserve">  |  Basis: </w:t>
      </w:r>
      <w:hyperlink w:anchor="S00">
        <w:r>
          <w:rPr>
            <w:rStyle w:val="Hyperlink"/>
          </w:rPr>
          <w:t>S00</w:t>
        </w:r>
      </w:hyperlink>
      <w:r>
        <w:rPr/>
        <w:t xml:space="preserve">  |  new-v1.1</w:t>
      </w:r>
    </w:p>
    <w:p>
      <w:pPr>
        <w:pStyle w:val="Requirement"/>
        <w:keepNext w:val="true"/>
        <w:rPr/>
      </w:pPr>
      <w:bookmarkStart w:id="166" w:name="req_PLACE_003"/>
      <w:bookmarkEnd w:id="166"/>
      <w:r>
        <w:rPr>
          <w:rStyle w:val="ReqID"/>
        </w:rPr>
        <w:t xml:space="preserve">PLACE-003  </w:t>
      </w:r>
      <w:r>
        <w:rPr/>
        <w:t>Each portable service class SHALL have a documented exit path, declared proprietary dependencies and representative export/recovery evidence; residency or format support alone SHALL NOT be presented as portability or sovereignty proof.</w:t>
      </w:r>
    </w:p>
    <w:p>
      <w:pPr>
        <w:pStyle w:val="ReqMeta"/>
        <w:rPr/>
      </w:pPr>
      <w:r>
        <w:rPr/>
        <w:t xml:space="preserve">Architecture authority  |  Verify: </w:t>
      </w:r>
      <w:hyperlink w:anchor="test_CT_060">
        <w:r>
          <w:rPr>
            <w:rStyle w:val="Hyperlink"/>
          </w:rPr>
          <w:t>CT-060</w:t>
        </w:r>
      </w:hyperlink>
      <w:r>
        <w:rPr/>
        <w:t xml:space="preserve">, </w:t>
      </w:r>
      <w:hyperlink w:anchor="test_CT_073">
        <w:r>
          <w:rPr>
            <w:rStyle w:val="Hyperlink"/>
          </w:rPr>
          <w:t>CT-073</w:t>
        </w:r>
      </w:hyperlink>
      <w:r>
        <w:rPr/>
        <w:t xml:space="preserve">  |  Basis: </w:t>
      </w:r>
      <w:hyperlink w:anchor="S00">
        <w:r>
          <w:rPr>
            <w:rStyle w:val="Hyperlink"/>
          </w:rPr>
          <w:t>S00</w:t>
        </w:r>
      </w:hyperlink>
      <w:r>
        <w:rPr/>
        <w:t xml:space="preserve">  |  new-v1.1</w:t>
      </w:r>
    </w:p>
    <w:p>
      <w:pPr>
        <w:pStyle w:val="Heading2"/>
        <w:numPr>
          <w:ilvl w:val="0"/>
          <w:numId w:val="7"/>
        </w:numPr>
        <w:rPr/>
      </w:pPr>
      <w:bookmarkStart w:id="167" w:name="__RefHeading___Toc13349_1645000677"/>
      <w:bookmarkStart w:id="168" w:name="sec_30"/>
      <w:bookmarkEnd w:id="167"/>
      <w:r>
        <w:rPr/>
        <w:t>Service catalogue, quotas and capacity on demand</w:t>
      </w:r>
      <w:bookmarkEnd w:id="168"/>
    </w:p>
    <w:p>
      <w:pPr>
        <w:pStyle w:val="BodyText"/>
        <w:rPr/>
      </w:pPr>
      <w:r>
        <w:rPr/>
        <w:t>The provider offers capacity through reusable service classes, not project-specific hardware configurations. Separate entitlement, reservation and measured consumption. A tenant quota limits requests; a committed capacity reservation protects a promised resource; current utilization measures actual use. None is interchangeable with procured or installed inventory. Admission checks both tenant limits and the provider’s failure-headroom budget.</w:t>
      </w:r>
    </w:p>
    <w:p>
      <w:pPr>
        <w:pStyle w:val="BodyText"/>
        <w:rPr/>
      </w:pPr>
      <w:r>
        <w:rPr/>
        <w:t>Capacity inventory tracks ordered, received, staged, commissioned, available, reserved, consumed and retiring resources. Each state has an owner, age, support expiry and reason. Report unused procured capacity and stranded capacity caused by incompatible profiles, missing staff/attachments or delayed commissioning. Expansion is a foundation lifecycle with its own approval and qualification, so routine WSD requests do not carry hardware procurement steps.</w:t>
      </w:r>
    </w:p>
    <w:p>
      <w:pPr>
        <w:pStyle w:val="BodyText"/>
        <w:rPr/>
      </w:pPr>
      <w:r>
        <w:rPr/>
        <w:t>Cost/showback includes compute, storage performance/capacity, backup retention, edge/inspection, external data movement and dedicated isolation where those materially affect service cost. Use unit rates and measurement rules with effective dates; do not promise savings without measured baselines. Tenant-facing limits, service SLOs, supported sizes and rejection reasons are documented. A constrained site must reject or queue safely rather than borrow security-reserved capacity.</w:t>
      </w:r>
    </w:p>
    <w:p>
      <w:pPr>
        <w:pStyle w:val="Requirement"/>
        <w:keepNext w:val="true"/>
        <w:rPr/>
      </w:pPr>
      <w:bookmarkStart w:id="169" w:name="req_SVCM_001"/>
      <w:bookmarkEnd w:id="169"/>
      <w:r>
        <w:rPr>
          <w:rStyle w:val="ReqID"/>
        </w:rPr>
        <w:t xml:space="preserve">SVCM-001  </w:t>
      </w:r>
      <w:r>
        <w:rPr/>
        <w:t>The service catalogue SHALL publish entitlements, hard quotas, reservation semantics, availability/recovery targets, supported capabilities and lifecycle obligations with stable service identifiers.</w:t>
      </w:r>
    </w:p>
    <w:p>
      <w:pPr>
        <w:pStyle w:val="ReqMeta"/>
        <w:rPr/>
      </w:pPr>
      <w:r>
        <w:rPr/>
        <w:t xml:space="preserve">Service owner  |  Verify: </w:t>
      </w:r>
      <w:hyperlink w:anchor="test_CT_019">
        <w:r>
          <w:rPr>
            <w:rStyle w:val="Hyperlink"/>
          </w:rPr>
          <w:t>CT-019</w:t>
        </w:r>
      </w:hyperlink>
      <w:r>
        <w:rPr/>
        <w:t xml:space="preserve">, </w:t>
      </w:r>
      <w:hyperlink w:anchor="test_CT_056">
        <w:r>
          <w:rPr>
            <w:rStyle w:val="Hyperlink"/>
          </w:rPr>
          <w:t>CT-056</w:t>
        </w:r>
      </w:hyperlink>
      <w:r>
        <w:rPr/>
        <w:t xml:space="preserve">, </w:t>
      </w:r>
      <w:hyperlink w:anchor="test_CT_062">
        <w:r>
          <w:rPr>
            <w:rStyle w:val="Hyperlink"/>
          </w:rPr>
          <w:t>CT-062</w:t>
        </w:r>
      </w:hyperlink>
      <w:r>
        <w:rPr/>
        <w:t xml:space="preserve">  |  Basis: </w:t>
      </w:r>
      <w:hyperlink w:anchor="S00">
        <w:r>
          <w:rPr>
            <w:rStyle w:val="Hyperlink"/>
          </w:rPr>
          <w:t>S00</w:t>
        </w:r>
      </w:hyperlink>
      <w:r>
        <w:rPr/>
        <w:t xml:space="preserve">  |  new-v1.1</w:t>
      </w:r>
    </w:p>
    <w:p>
      <w:pPr>
        <w:pStyle w:val="Requirement"/>
        <w:keepNext w:val="true"/>
        <w:rPr/>
      </w:pPr>
      <w:bookmarkStart w:id="170" w:name="req_SVCM_002"/>
      <w:bookmarkEnd w:id="170"/>
      <w:r>
        <w:rPr>
          <w:rStyle w:val="ReqID"/>
        </w:rPr>
        <w:t xml:space="preserve">SVCM-002  </w:t>
      </w:r>
      <w:r>
        <w:rPr/>
        <w:t>Capacity inventory SHALL reconcile procured, staged, commissioned, available, reserved and consumed resources and SHALL report unused/stranded capacity, ownership and support-life exposure.</w:t>
      </w:r>
    </w:p>
    <w:p>
      <w:pPr>
        <w:pStyle w:val="ReqMeta"/>
        <w:rPr/>
      </w:pPr>
      <w:r>
        <w:rPr/>
        <w:t xml:space="preserve">Capacity management  |  Verify: </w:t>
      </w:r>
      <w:hyperlink w:anchor="test_CT_074">
        <w:r>
          <w:rPr>
            <w:rStyle w:val="Hyperlink"/>
          </w:rPr>
          <w:t>CT-074</w:t>
        </w:r>
      </w:hyperlink>
      <w:r>
        <w:rPr/>
        <w:t xml:space="preserve">  |  Basis: </w:t>
      </w:r>
      <w:hyperlink w:anchor="S00">
        <w:r>
          <w:rPr>
            <w:rStyle w:val="Hyperlink"/>
          </w:rPr>
          <w:t>S00</w:t>
        </w:r>
      </w:hyperlink>
      <w:r>
        <w:rPr/>
        <w:t xml:space="preserve">  |  new-v1.1</w:t>
      </w:r>
    </w:p>
    <w:p>
      <w:pPr>
        <w:pStyle w:val="Heading2"/>
        <w:numPr>
          <w:ilvl w:val="0"/>
          <w:numId w:val="7"/>
        </w:numPr>
        <w:rPr/>
      </w:pPr>
      <w:bookmarkStart w:id="171" w:name="__RefHeading___Toc13351_1645000677"/>
      <w:bookmarkStart w:id="172" w:name="sec_31"/>
      <w:bookmarkEnd w:id="171"/>
      <w:r>
        <w:rPr/>
        <w:t>Application responsibilities and end-to-end service readiness</w:t>
      </w:r>
      <w:bookmarkEnd w:id="172"/>
    </w:p>
    <w:p>
      <w:pPr>
        <w:pStyle w:val="BodyText"/>
        <w:rPr/>
      </w:pPr>
      <w:r>
        <w:rPr/>
        <w:t>The infrastructure provider supplies the declared security and hosting service; the workload owner remains accountable for application behavior, business authorization, data categorization and application recovery requirements. Shared responsibility must identify who patches the guest, manages application secrets, configures database permissions, approves public exposure and validates restored business data. A managed service can transfer specific operational tasks, but not by leaving the owner undefined.</w:t>
      </w:r>
    </w:p>
    <w:p>
      <w:pPr>
        <w:pStyle w:val="BodyText"/>
        <w:rPr/>
      </w:pPr>
      <w:r>
        <w:rPr/>
        <w:t>The onboarding record enumerates application dependencies and validates that declared flows are sufficient. Use functional synthetic checks in addition to reachability. Where a service must speak to another system in a different zone, require both application authorization and the infrastructure boundary approval. Infrastructure evidence cannot prove that an application correctly implements privacy, business rules or authorization for individual records.</w:t>
      </w:r>
    </w:p>
    <w:p>
      <w:pPr>
        <w:pStyle w:val="BodyText"/>
        <w:rPr/>
      </w:pPr>
      <w:r>
        <w:rPr/>
        <w:t>A service is ready only when the current desired generation has valid profile resolution, eligible placement, realized infrastructure, passed mandatory tests, protected evidence, inventory ownership and the required authorization decision. Application acceptance is a separately attributable condition. A test endpoint used only to prove the substrate is not evidence that a production application has been validated.</w:t>
      </w:r>
    </w:p>
    <w:p>
      <w:pPr>
        <w:pStyle w:val="Requirement"/>
        <w:keepNext w:val="true"/>
        <w:rPr/>
      </w:pPr>
      <w:bookmarkStart w:id="173" w:name="req_RESP_001"/>
      <w:bookmarkEnd w:id="173"/>
      <w:r>
        <w:rPr>
          <w:rStyle w:val="ReqID"/>
        </w:rPr>
        <w:t xml:space="preserve">RESP-001  </w:t>
      </w:r>
      <w:r>
        <w:rPr/>
        <w:t>Every applicable infrastructure/application control and recovery dependency SHALL have a provider, tenant or shared responsibility assignment and evidence owner; unresolved mandatory responsibilities SHALL block Service Ready.</w:t>
      </w:r>
    </w:p>
    <w:p>
      <w:pPr>
        <w:pStyle w:val="ReqMeta"/>
        <w:rPr/>
      </w:pPr>
      <w:r>
        <w:rPr/>
        <w:t xml:space="preserve">Service owner  |  Verify: </w:t>
      </w:r>
      <w:hyperlink w:anchor="test_CT_062">
        <w:r>
          <w:rPr>
            <w:rStyle w:val="Hyperlink"/>
          </w:rPr>
          <w:t>CT-062</w:t>
        </w:r>
      </w:hyperlink>
      <w:r>
        <w:rPr/>
        <w:t xml:space="preserve">, </w:t>
      </w:r>
      <w:hyperlink w:anchor="test_CT_069">
        <w:r>
          <w:rPr>
            <w:rStyle w:val="Hyperlink"/>
          </w:rPr>
          <w:t>CT-069</w:t>
        </w:r>
      </w:hyperlink>
      <w:r>
        <w:rPr/>
        <w:t xml:space="preserve">  |  Basis: </w:t>
      </w:r>
      <w:hyperlink w:anchor="S05">
        <w:r>
          <w:rPr>
            <w:rStyle w:val="Hyperlink"/>
          </w:rPr>
          <w:t>S05</w:t>
        </w:r>
      </w:hyperlink>
      <w:r>
        <w:rPr/>
        <w:t xml:space="preserve"> / </w:t>
      </w:r>
      <w:hyperlink w:anchor="S08">
        <w:r>
          <w:rPr>
            <w:rStyle w:val="Hyperlink"/>
          </w:rPr>
          <w:t>S08</w:t>
        </w:r>
      </w:hyperlink>
      <w:r>
        <w:rPr/>
        <w:t xml:space="preserve">  |  new-v1.1</w:t>
      </w:r>
    </w:p>
    <w:p>
      <w:pPr>
        <w:pStyle w:val="Normal"/>
        <w:rPr/>
      </w:pPr>
      <w:r>
        <w:rPr/>
      </w:r>
      <w:r>
        <w:br w:type="page"/>
      </w:r>
    </w:p>
    <w:p>
      <w:pPr>
        <w:pStyle w:val="Heading1"/>
        <w:spacing w:before="0" w:after="180"/>
        <w:rPr/>
      </w:pPr>
      <w:bookmarkStart w:id="174" w:name="__RefHeading___Toc13353_1645000677"/>
      <w:bookmarkStart w:id="175" w:name="part_4"/>
      <w:bookmarkEnd w:id="174"/>
      <w:r>
        <w:rPr/>
        <w:t>Part IV — Infrastructure and platform realization</w:t>
      </w:r>
      <w:bookmarkEnd w:id="175"/>
    </w:p>
    <w:p>
      <w:pPr>
        <w:pStyle w:val="Heading2"/>
        <w:numPr>
          <w:ilvl w:val="0"/>
          <w:numId w:val="7"/>
        </w:numPr>
        <w:rPr/>
      </w:pPr>
      <w:bookmarkStart w:id="176" w:name="__RefHeading___Toc13355_1645000677"/>
      <w:bookmarkStart w:id="177" w:name="sec_32"/>
      <w:bookmarkEnd w:id="176"/>
      <w:r>
        <w:rPr/>
        <w:t>Physical fabric foundation and commissioning</w:t>
      </w:r>
      <w:bookmarkEnd w:id="177"/>
    </w:p>
    <w:p>
      <w:pPr>
        <w:pStyle w:val="BodyText"/>
        <w:rPr/>
      </w:pPr>
      <w:r>
        <w:rPr/>
        <w:t>The default large-site foundation is a routed L3 Clos with ECMP. A smaller site may use another explicitly qualified routed topology when its capacity and failure requirements do not justify a full Clos. The fabric supplies stable transport, platform/security-edge attachments and any legitimate physical routing domains. It does not own ordinary WSD firewall policy or expose leaf/spine configuration to workload consumers.</w:t>
      </w:r>
    </w:p>
    <w:p>
      <w:pPr>
        <w:pStyle w:val="BodyText"/>
        <w:rPr/>
      </w:pPr>
      <w:r>
        <w:rPr/>
        <w:t>Commission the management path, addressing, underlay, routing policy, telemetry, platform transport and edge attachment pools before tenant onboarding. Treat hardware expansion, new physical attachment classes and maintenance as foundation changes under separate authority. The original absolute “no fabric changes” statement is narrowed to routine lifecycle within precommissioned overlay service capacity; bare-metal/fabric-routed classes publish their separate foundation workflow.</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374"/>
        <w:gridCol w:w="7201"/>
      </w:tblGrid>
      <w:tr>
        <w:trPr>
          <w:tblHeader w:val="true"/>
          <w:cantSplit w:val="true"/>
        </w:trPr>
        <w:tc>
          <w:tcPr>
            <w:tcW w:w="237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Foundation item</w:t>
            </w:r>
          </w:p>
        </w:tc>
        <w:tc>
          <w:tcPr>
            <w:tcW w:w="720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engineering decision / evidence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Physical inventory and links</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Supported platform/NIC/optic/firmware tuple, port role, speed, redundancy and documented physical failure domains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Underlay addressing and routing</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Loopback/link allocation authority, ASN policy, IPv4/IPv6 families, permitted neighbors and import/export policy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Control-plane protection</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Authenticated administration, routing authentication where supported/required, rate limits, maximum prefixes and alerts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Transport MTU</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End-to-end workload MTU plus every encapsulation layer; PMTU and nested-overlay tests where offered</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Failure and maintenance</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Convergence target, drain/reload sequence, peer-link/multihoming behavior and rollback criteria</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Operational evidence</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Configuration digests, versioned inventory, route snapshots, port/error/optics telemetry and qualified capacity</w:t>
            </w:r>
          </w:p>
        </w:tc>
      </w:tr>
    </w:tbl>
    <w:p>
      <w:pPr>
        <w:pStyle w:val="BodyText"/>
        <w:rPr/>
      </w:pPr>
      <w:r>
        <w:rPr/>
        <w:t>Hardware and operational management stay reachable only through approved management paths. No native VLAN or permissive trunk is assumed acceptable for tenant isolation. Unused interfaces are disabled or bound to an explicit secure commissioning profile. Network configuration has an authoritative source, drift detection and safe rollback; state synchronization between MLAG peers or controllers is itself a protected dependency.</w:t>
      </w:r>
    </w:p>
    <w:p>
      <w:pPr>
        <w:pStyle w:val="Normal"/>
        <w:keepNext w:val="true"/>
        <w:jc w:val="center"/>
        <w:rPr/>
      </w:pPr>
      <w:r>
        <w:rPr/>
        <w:drawing>
          <wp:inline distT="0" distB="0" distL="0" distR="0">
            <wp:extent cx="4740910" cy="5029200"/>
            <wp:effectExtent l="0" t="0" r="0" b="0"/>
            <wp:docPr id="3" name="Picture 3" descr="Routed L3/ECMP fabric connects platform and security-service attachment paths. Tenant state stays in the qualified overlay where available. Inter-domain traffic traverses the security edge. OOB and management access remain a separately controlled foundation path." title="Stable provider fabric and independently governed 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outed L3/ECMP fabric connects platform and security-service attachment paths. Tenant state stays in the qualified overlay where available. Inter-domain traffic traverses the security edge. OOB and management access remain a separately controlled foundation path." title="Stable provider fabric and independently governed attachments"/>
                    <pic:cNvPicPr>
                      <a:picLocks noChangeAspect="1" noChangeArrowheads="1"/>
                    </pic:cNvPicPr>
                  </pic:nvPicPr>
                  <pic:blipFill>
                    <a:blip r:embed="rId4"/>
                    <a:stretch>
                      <a:fillRect/>
                    </a:stretch>
                  </pic:blipFill>
                  <pic:spPr bwMode="auto">
                    <a:xfrm>
                      <a:off x="0" y="0"/>
                      <a:ext cx="4740910" cy="5029200"/>
                    </a:xfrm>
                    <a:prstGeom prst="rect">
                      <a:avLst/>
                    </a:prstGeom>
                    <a:noFill/>
                  </pic:spPr>
                </pic:pic>
              </a:graphicData>
            </a:graphic>
          </wp:inline>
        </w:drawing>
      </w:r>
    </w:p>
    <w:p>
      <w:pPr>
        <w:pStyle w:val="Caption"/>
        <w:jc w:val="center"/>
        <w:rPr/>
      </w:pPr>
      <w:r>
        <w:rPr/>
        <w:t xml:space="preserve">Figure </w:t>
      </w:r>
      <w:bookmarkStart w:id="178" w:name="fig_fabric"/>
      <w:r>
        <w:rPr/>
        <w:fldChar w:fldCharType="begin"/>
      </w:r>
      <w:r>
        <w:rPr/>
        <w:instrText xml:space="preserve"> SEQ Figure \* ARABIC </w:instrText>
      </w:r>
      <w:r>
        <w:rPr/>
        <w:fldChar w:fldCharType="separate"/>
      </w:r>
      <w:r>
        <w:rPr/>
        <w:t>3</w:t>
      </w:r>
      <w:r>
        <w:rPr/>
        <w:fldChar w:fldCharType="end"/>
      </w:r>
      <w:bookmarkEnd w:id="178"/>
      <w:r>
        <w:rPr/>
        <w:t>. Stable provider fabric and independently governed attachments</w:t>
      </w:r>
    </w:p>
    <w:p>
      <w:pPr>
        <w:pStyle w:val="Requirement"/>
        <w:keepNext w:val="true"/>
        <w:rPr/>
      </w:pPr>
      <w:bookmarkStart w:id="179" w:name="req_FAB_001"/>
      <w:bookmarkEnd w:id="179"/>
      <w:r>
        <w:rPr>
          <w:rStyle w:val="ReqID"/>
        </w:rPr>
        <w:t xml:space="preserve">FAB-001  </w:t>
      </w:r>
      <w:r>
        <w:rPr/>
        <w:t>Routine create, update and retirement of tenants/WSDs in a precommissioned overlay service class SHALL NOT require leaf/spine configuration changes; foundation growth and fabric-routed service classes SHALL use separately authorized workflows.</w:t>
      </w:r>
    </w:p>
    <w:p>
      <w:pPr>
        <w:pStyle w:val="ReqMeta"/>
        <w:rPr/>
      </w:pPr>
      <w:r>
        <w:rPr/>
        <w:t xml:space="preserve">Network engineering  |  Verify: </w:t>
      </w:r>
      <w:hyperlink w:anchor="test_CT_071">
        <w:r>
          <w:rPr>
            <w:rStyle w:val="Hyperlink"/>
          </w:rPr>
          <w:t>CT-071</w:t>
        </w:r>
      </w:hyperlink>
      <w:r>
        <w:rPr/>
        <w:t xml:space="preserve">, </w:t>
      </w:r>
      <w:hyperlink w:anchor="test_CT_072">
        <w:r>
          <w:rPr>
            <w:rStyle w:val="Hyperlink"/>
          </w:rPr>
          <w:t>CT-072</w:t>
        </w:r>
      </w:hyperlink>
      <w:r>
        <w:rPr/>
        <w:t xml:space="preserve">  |  Basis: </w:t>
      </w:r>
      <w:hyperlink w:anchor="S00">
        <w:r>
          <w:rPr>
            <w:rStyle w:val="Hyperlink"/>
          </w:rPr>
          <w:t>S00</w:t>
        </w:r>
      </w:hyperlink>
      <w:r>
        <w:rPr/>
        <w:t xml:space="preserve">  |  revised-v1.0</w:t>
      </w:r>
    </w:p>
    <w:p>
      <w:pPr>
        <w:pStyle w:val="Requirement"/>
        <w:keepNext w:val="true"/>
        <w:rPr/>
      </w:pPr>
      <w:bookmarkStart w:id="180" w:name="req_FAB_002"/>
      <w:bookmarkEnd w:id="180"/>
      <w:r>
        <w:rPr>
          <w:rStyle w:val="ReqID"/>
        </w:rPr>
        <w:t xml:space="preserve">FAB-002  </w:t>
      </w:r>
      <w:r>
        <w:rPr/>
        <w:t>A physical VRF SHALL be created only when the physical fabric itself must provide L3 routing for a legitimate routing/security domain.</w:t>
      </w:r>
    </w:p>
    <w:p>
      <w:pPr>
        <w:pStyle w:val="ReqMeta"/>
        <w:rPr/>
      </w:pPr>
      <w:r>
        <w:rPr/>
        <w:t xml:space="preserve">Network engineering  |  Verify: </w:t>
      </w:r>
      <w:hyperlink w:anchor="test_CT_009">
        <w:r>
          <w:rPr>
            <w:rStyle w:val="Hyperlink"/>
          </w:rPr>
          <w:t>CT-009</w:t>
        </w:r>
      </w:hyperlink>
      <w:r>
        <w:rPr/>
        <w:t xml:space="preserve">, </w:t>
      </w:r>
      <w:hyperlink w:anchor="test_CT_072">
        <w:r>
          <w:rPr>
            <w:rStyle w:val="Hyperlink"/>
          </w:rPr>
          <w:t>CT-072</w:t>
        </w:r>
      </w:hyperlink>
      <w:r>
        <w:rPr/>
        <w:t xml:space="preserve">  |  Basis: </w:t>
      </w:r>
      <w:hyperlink w:anchor="S00">
        <w:r>
          <w:rPr>
            <w:rStyle w:val="Hyperlink"/>
          </w:rPr>
          <w:t>S00</w:t>
        </w:r>
      </w:hyperlink>
      <w:r>
        <w:rPr/>
        <w:t xml:space="preserve">  |  retained-v1.0</w:t>
      </w:r>
    </w:p>
    <w:p>
      <w:pPr>
        <w:pStyle w:val="Requirement"/>
        <w:keepNext w:val="true"/>
        <w:rPr/>
      </w:pPr>
      <w:bookmarkStart w:id="181" w:name="req_FAB_003"/>
      <w:bookmarkEnd w:id="181"/>
      <w:r>
        <w:rPr>
          <w:rStyle w:val="ReqID"/>
        </w:rPr>
        <w:t xml:space="preserve">FAB-003  </w:t>
      </w:r>
      <w:r>
        <w:rPr/>
        <w:t>Function names such as backup, migration, platform, ZIP, or generic transit SHALL NOT by themselves justify a VRF.</w:t>
      </w:r>
    </w:p>
    <w:p>
      <w:pPr>
        <w:pStyle w:val="ReqMeta"/>
        <w:rPr/>
      </w:pPr>
      <w:r>
        <w:rPr/>
        <w:t xml:space="preserve">Architecture authority  |  Verify: </w:t>
      </w:r>
      <w:hyperlink w:anchor="test_CT_025">
        <w:r>
          <w:rPr>
            <w:rStyle w:val="Hyperlink"/>
          </w:rPr>
          <w:t>CT-025</w:t>
        </w:r>
      </w:hyperlink>
      <w:r>
        <w:rPr/>
        <w:t xml:space="preserve">, </w:t>
      </w:r>
      <w:hyperlink w:anchor="test_CT_072">
        <w:r>
          <w:rPr>
            <w:rStyle w:val="Hyperlink"/>
          </w:rPr>
          <w:t>CT-072</w:t>
        </w:r>
      </w:hyperlink>
      <w:r>
        <w:rPr/>
        <w:t xml:space="preserve">  |  Basis: </w:t>
      </w:r>
      <w:hyperlink w:anchor="S00">
        <w:r>
          <w:rPr>
            <w:rStyle w:val="Hyperlink"/>
          </w:rPr>
          <w:t>S00</w:t>
        </w:r>
      </w:hyperlink>
      <w:r>
        <w:rPr/>
        <w:t xml:space="preserve">  |  retained-v1.0</w:t>
      </w:r>
    </w:p>
    <w:p>
      <w:pPr>
        <w:pStyle w:val="Requirement"/>
        <w:keepNext w:val="true"/>
        <w:rPr/>
      </w:pPr>
      <w:bookmarkStart w:id="182" w:name="req_FAB_004"/>
      <w:bookmarkEnd w:id="182"/>
      <w:r>
        <w:rPr>
          <w:rStyle w:val="ReqID"/>
        </w:rPr>
        <w:t xml:space="preserve">FAB-004  </w:t>
      </w:r>
      <w:r>
        <w:rPr/>
        <w:t>The fabric profile SHALL define addressing/routing authority, control-plane protection, MTU, fault convergence, management isolation, maintenance and measured scale before platform commissioning.</w:t>
      </w:r>
    </w:p>
    <w:p>
      <w:pPr>
        <w:pStyle w:val="ReqMeta"/>
        <w:rPr/>
      </w:pPr>
      <w:r>
        <w:rPr/>
        <w:t xml:space="preserve">Network engineering  |  Verify: </w:t>
      </w:r>
      <w:hyperlink w:anchor="test_CT_026">
        <w:r>
          <w:rPr>
            <w:rStyle w:val="Hyperlink"/>
          </w:rPr>
          <w:t>CT-026</w:t>
        </w:r>
      </w:hyperlink>
      <w:r>
        <w:rPr/>
        <w:t xml:space="preserve">, </w:t>
      </w:r>
      <w:hyperlink w:anchor="test_CT_032">
        <w:r>
          <w:rPr>
            <w:rStyle w:val="Hyperlink"/>
          </w:rPr>
          <w:t>CT-032</w:t>
        </w:r>
      </w:hyperlink>
      <w:r>
        <w:rPr/>
        <w:t xml:space="preserve">, </w:t>
      </w:r>
      <w:hyperlink w:anchor="test_CT_033">
        <w:r>
          <w:rPr>
            <w:rStyle w:val="Hyperlink"/>
          </w:rPr>
          <w:t>CT-033</w:t>
        </w:r>
      </w:hyperlink>
      <w:r>
        <w:rPr/>
        <w:t xml:space="preserve">, </w:t>
      </w:r>
      <w:hyperlink w:anchor="test_CT_034">
        <w:r>
          <w:rPr>
            <w:rStyle w:val="Hyperlink"/>
          </w:rPr>
          <w:t>CT-034</w:t>
        </w:r>
      </w:hyperlink>
      <w:r>
        <w:rPr/>
        <w:t xml:space="preserve">  |  Basis: </w:t>
      </w:r>
      <w:hyperlink w:anchor="S20">
        <w:r>
          <w:rPr>
            <w:rStyle w:val="Hyperlink"/>
          </w:rPr>
          <w:t>S20</w:t>
        </w:r>
      </w:hyperlink>
      <w:r>
        <w:rPr/>
        <w:t xml:space="preserve"> / </w:t>
      </w:r>
      <w:hyperlink w:anchor="S21">
        <w:r>
          <w:rPr>
            <w:rStyle w:val="Hyperlink"/>
          </w:rPr>
          <w:t>S21</w:t>
        </w:r>
      </w:hyperlink>
      <w:r>
        <w:rPr/>
        <w:t xml:space="preserve"> / </w:t>
      </w:r>
      <w:hyperlink w:anchor="S22">
        <w:r>
          <w:rPr>
            <w:rStyle w:val="Hyperlink"/>
          </w:rPr>
          <w:t>S22</w:t>
        </w:r>
      </w:hyperlink>
      <w:r>
        <w:rPr/>
        <w:t xml:space="preserve">  |  new-v1.1</w:t>
      </w:r>
    </w:p>
    <w:p>
      <w:pPr>
        <w:pStyle w:val="Heading2"/>
        <w:numPr>
          <w:ilvl w:val="0"/>
          <w:numId w:val="7"/>
        </w:numPr>
        <w:rPr/>
      </w:pPr>
      <w:bookmarkStart w:id="183" w:name="__RefHeading___Toc13357_1645000677"/>
      <w:bookmarkStart w:id="184" w:name="sec_33"/>
      <w:bookmarkEnd w:id="183"/>
      <w:r>
        <w:rPr/>
        <w:t>EVPN/VXLAN, multihoming and border engineering</w:t>
      </w:r>
      <w:bookmarkEnd w:id="184"/>
    </w:p>
    <w:p>
      <w:pPr>
        <w:pStyle w:val="BodyText"/>
        <w:rPr/>
      </w:pPr>
      <w:r>
        <w:rPr/>
        <w:t>EVPN/VXLAN is an optional transport/physical-attachment realization, not a required consumer construct. Distinguish the IP underlay from EVPN signaling and overlay forwarding. RFC 7432 supplies foundational EVPN signaling concepts; RFC 8365 addresses network-virtualization overlay use. Product qualification records the implemented extensions and applicable updates/errata rather than claiming that the base RFC number proves full multi-vendor interoperability. [</w:t>
      </w:r>
      <w:hyperlink w:anchor="S21">
        <w:r>
          <w:rPr>
            <w:rStyle w:val="Hyperlink"/>
          </w:rPr>
          <w:t>S21</w:t>
        </w:r>
      </w:hyperlink>
      <w:r>
        <w:rPr/>
        <w:t xml:space="preserve">; </w:t>
      </w:r>
      <w:hyperlink w:anchor="S22">
        <w:r>
          <w:rPr>
            <w:rStyle w:val="Hyperlink"/>
          </w:rPr>
          <w:t>S22</w:t>
        </w:r>
      </w:hyperlink>
      <w:r>
        <w:rPr/>
        <w:t>]</w:t>
      </w:r>
    </w:p>
    <w:p>
      <w:pPr>
        <w:pStyle w:val="BodyText"/>
        <w:rPr/>
      </w:pPr>
      <w:r>
        <w:rPr/>
        <w:t>The fabric authority allocates RD/RT and VNI/VRF identifiers with collision detection and defined administrative scope. Route imports are explicit; a common route target must not join independent security domains. The profile specifies supported EVPN route types, L2/L3 gateway placement, ARP/ND suppression, MAC mobility/duplication controls, BUM handling, route scale and border policy. A physical VRF is introduced only when the fabric is the authorized L3 realization for a real domain, not because the function is called backup, transit or platform.</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374"/>
        <w:gridCol w:w="7201"/>
      </w:tblGrid>
      <w:tr>
        <w:trPr>
          <w:tblHeader w:val="true"/>
          <w:cantSplit w:val="true"/>
        </w:trPr>
        <w:tc>
          <w:tcPr>
            <w:tcW w:w="237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Design area</w:t>
            </w:r>
          </w:p>
        </w:tc>
        <w:tc>
          <w:tcPr>
            <w:tcW w:w="720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decision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Underlay/overlay routing</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eBGP/other qualified underlay, overlay peering model, address families and control-plane independence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Route import/export</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Per-domain permitted RT/prefix sets, default-deny policy, maximum routes and summary boundaries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Gateway placement</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Anycast/local gateway ownership, symmetric or other qualified IRB model, edge/service attachment paths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Host multihoming</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Choose qualified MLAG or EVPN multihoming; identify peer-link/ESI, split-brain and orphan-port behavior</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Border interoperability</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Explicit standard BGP/VLAN/routed handoff with tested MTU, communities, next hops and failure modes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Overlay on overlay</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Avoid needless encapsulation stacking; if offered, budget MTU, offload, ECMP entropy and troubleshooting</w:t>
            </w:r>
          </w:p>
        </w:tc>
      </w:tr>
    </w:tbl>
    <w:p>
      <w:pPr>
        <w:pStyle w:val="BodyText"/>
        <w:rPr/>
      </w:pPr>
      <w:r>
        <w:rPr/>
        <w:t>Do not assume that two vendors interoperate as one MLAG pair; ordinary inter-vendor L3/BGP or other documented interfaces are the preferred boundary. EVPN multihoming has a different control model from vendor-specific MLAG. Stateful security paths require special attention to asymmetric routing and active/active behavior. RFC 8212 supports explicit external BGP import/export policy; the implementation must verify the vendor’s actual defaults and configured behavior. [</w:t>
      </w:r>
      <w:hyperlink w:anchor="S20">
        <w:r>
          <w:rPr>
            <w:rStyle w:val="Hyperlink"/>
          </w:rPr>
          <w:t>S20</w:t>
        </w:r>
      </w:hyperlink>
      <w:r>
        <w:rPr/>
        <w:t>]</w:t>
      </w:r>
    </w:p>
    <w:p>
      <w:pPr>
        <w:pStyle w:val="BodyText"/>
        <w:rPr/>
      </w:pPr>
      <w:r>
        <w:rPr/>
        <w:t>Commissioning tests include single link/leaf loss, peer-link/keepalive failure, route withdrawal, MAC move, MTU/PMTU, unauthorized route import and control-plane load. A layer-2 storage transport network can exist without inventing a fabric security-zone VRF, but its host/port membership and non-routing constraints remain governed. Firmware upgrade tests recheck the exact interface behavior used by attached HCI platforms.</w:t>
      </w:r>
    </w:p>
    <w:p>
      <w:pPr>
        <w:pStyle w:val="Requirement"/>
        <w:keepNext w:val="true"/>
        <w:rPr/>
      </w:pPr>
      <w:bookmarkStart w:id="185" w:name="req_EVPN_001"/>
      <w:bookmarkEnd w:id="185"/>
      <w:r>
        <w:rPr>
          <w:rStyle w:val="ReqID"/>
        </w:rPr>
        <w:t xml:space="preserve">EVPN-001  </w:t>
      </w:r>
      <w:r>
        <w:rPr/>
        <w:t>When EVPN is used, RD/RT/VNI, gateway and multihoming policies SHALL be provider-owned, collision-checked and domain-scoped; unapproved route imports SHALL be denied.</w:t>
      </w:r>
    </w:p>
    <w:p>
      <w:pPr>
        <w:pStyle w:val="ReqMeta"/>
        <w:rPr/>
      </w:pPr>
      <w:r>
        <w:rPr/>
        <w:t xml:space="preserve">Network engineering  |  Verify: </w:t>
      </w:r>
      <w:hyperlink w:anchor="test_CT_009">
        <w:r>
          <w:rPr>
            <w:rStyle w:val="Hyperlink"/>
          </w:rPr>
          <w:t>CT-009</w:t>
        </w:r>
      </w:hyperlink>
      <w:r>
        <w:rPr/>
        <w:t xml:space="preserve">, </w:t>
      </w:r>
      <w:hyperlink w:anchor="test_CT_033">
        <w:r>
          <w:rPr>
            <w:rStyle w:val="Hyperlink"/>
          </w:rPr>
          <w:t>CT-033</w:t>
        </w:r>
      </w:hyperlink>
      <w:r>
        <w:rPr/>
        <w:t xml:space="preserve">, </w:t>
      </w:r>
      <w:hyperlink w:anchor="test_CT_072">
        <w:r>
          <w:rPr>
            <w:rStyle w:val="Hyperlink"/>
          </w:rPr>
          <w:t>CT-072</w:t>
        </w:r>
      </w:hyperlink>
      <w:r>
        <w:rPr/>
        <w:t xml:space="preserve">  |  Basis: </w:t>
      </w:r>
      <w:hyperlink w:anchor="S20">
        <w:r>
          <w:rPr>
            <w:rStyle w:val="Hyperlink"/>
          </w:rPr>
          <w:t>S20</w:t>
        </w:r>
      </w:hyperlink>
      <w:r>
        <w:rPr/>
        <w:t xml:space="preserve"> / </w:t>
      </w:r>
      <w:hyperlink w:anchor="S21">
        <w:r>
          <w:rPr>
            <w:rStyle w:val="Hyperlink"/>
          </w:rPr>
          <w:t>S21</w:t>
        </w:r>
      </w:hyperlink>
      <w:r>
        <w:rPr/>
        <w:t xml:space="preserve"> / </w:t>
      </w:r>
      <w:hyperlink w:anchor="S22">
        <w:r>
          <w:rPr>
            <w:rStyle w:val="Hyperlink"/>
          </w:rPr>
          <w:t>S22</w:t>
        </w:r>
      </w:hyperlink>
      <w:r>
        <w:rPr/>
        <w:t xml:space="preserve">  |  new-v1.1</w:t>
      </w:r>
    </w:p>
    <w:p>
      <w:pPr>
        <w:pStyle w:val="Requirement"/>
        <w:keepNext w:val="true"/>
        <w:rPr/>
      </w:pPr>
      <w:bookmarkStart w:id="186" w:name="req_EVPN_002"/>
      <w:bookmarkEnd w:id="186"/>
      <w:r>
        <w:rPr>
          <w:rStyle w:val="ReqID"/>
        </w:rPr>
        <w:t xml:space="preserve">EVPN-002  </w:t>
      </w:r>
      <w:r>
        <w:rPr/>
        <w:t>Every multihoming and border interoperability profile SHALL be tested for split-brain, link/peer failure, MTU, route withdrawal and stateful-path behavior; vendor-specific MLAG interoperability SHALL NOT be assumed.</w:t>
      </w:r>
    </w:p>
    <w:p>
      <w:pPr>
        <w:pStyle w:val="ReqMeta"/>
        <w:rPr/>
      </w:pPr>
      <w:r>
        <w:rPr/>
        <w:t xml:space="preserve">Network engineering  |  Verify: </w:t>
      </w:r>
      <w:hyperlink w:anchor="test_CT_024">
        <w:r>
          <w:rPr>
            <w:rStyle w:val="Hyperlink"/>
          </w:rPr>
          <w:t>CT-024</w:t>
        </w:r>
      </w:hyperlink>
      <w:r>
        <w:rPr/>
        <w:t xml:space="preserve">, </w:t>
      </w:r>
      <w:hyperlink w:anchor="test_CT_032">
        <w:r>
          <w:rPr>
            <w:rStyle w:val="Hyperlink"/>
          </w:rPr>
          <w:t>CT-032</w:t>
        </w:r>
      </w:hyperlink>
      <w:r>
        <w:rPr/>
        <w:t xml:space="preserve">, </w:t>
      </w:r>
      <w:hyperlink w:anchor="test_CT_034">
        <w:r>
          <w:rPr>
            <w:rStyle w:val="Hyperlink"/>
          </w:rPr>
          <w:t>CT-034</w:t>
        </w:r>
      </w:hyperlink>
      <w:r>
        <w:rPr/>
        <w:t xml:space="preserve">  |  Basis: </w:t>
      </w:r>
      <w:hyperlink w:anchor="S21">
        <w:r>
          <w:rPr>
            <w:rStyle w:val="Hyperlink"/>
          </w:rPr>
          <w:t>S21</w:t>
        </w:r>
      </w:hyperlink>
      <w:r>
        <w:rPr/>
        <w:t xml:space="preserve"> / </w:t>
      </w:r>
      <w:hyperlink w:anchor="S22">
        <w:r>
          <w:rPr>
            <w:rStyle w:val="Hyperlink"/>
          </w:rPr>
          <w:t>S22</w:t>
        </w:r>
      </w:hyperlink>
      <w:r>
        <w:rPr/>
        <w:t xml:space="preserve">  |  new-v1.1</w:t>
      </w:r>
    </w:p>
    <w:p>
      <w:pPr>
        <w:pStyle w:val="Heading2"/>
        <w:numPr>
          <w:ilvl w:val="0"/>
          <w:numId w:val="7"/>
        </w:numPr>
        <w:rPr/>
      </w:pPr>
      <w:bookmarkStart w:id="187" w:name="__RefHeading___Toc13359_1645000677"/>
      <w:bookmarkStart w:id="188" w:name="sec_34"/>
      <w:bookmarkEnd w:id="187"/>
      <w:r>
        <w:rPr/>
        <w:t>Portability dimensions and platform qualification</w:t>
      </w:r>
      <w:bookmarkEnd w:id="188"/>
    </w:p>
    <w:p>
      <w:pPr>
        <w:pStyle w:val="BodyText"/>
        <w:rPr/>
      </w:pPr>
      <w:r>
        <w:rPr/>
        <w:t>Portability has four distinct dimensions: the same consumer contract can be admitted; equivalent security/service semantics can be realized; workload images/data can be recovered on the target; and operators can run, monitor, patch and retire the result. Passing one dimension does not prove the others. A networking adapter can be contract-conformant while an application remains dependent on a proprietary device or database format.</w:t>
      </w:r>
    </w:p>
    <w:p>
      <w:pPr>
        <w:pStyle w:val="BodyText"/>
        <w:rPr/>
      </w:pPr>
      <w:r>
        <w:rPr/>
        <w:t>Every platform has a capability record tied to product versions, APIs, Terraform provider source/version, licensing/entitlements, enabled features, hardware profile, site/failure topology and conformance evidence. A documentation-only candidate is not production eligible. Qualification changes are versioned; security-impacting upgrade, expiry, significant drift or unsupported lifecycle status can suspend new placement until assessed.</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942"/>
        <w:gridCol w:w="7633"/>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Capability state</w:t>
            </w:r>
          </w:p>
        </w:tc>
        <w:tc>
          <w:tcPr>
            <w:tcW w:w="763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Meaning / placement treatment</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Candidate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Mapping/design exists; exact tuple or evidence not yet approved. Production placement denied.</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Testing</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Tuple and test campaign assigned; failures and limitations visible. Production placement denied.</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Qualified</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All mandatory tests and approvals for named profiles are current. Only those profiles can be placed.</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Restricted</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Specific capability or service classes are suspended; safe existing operation is separately assessed.</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Expired / Revoked</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New placement denied; existing workloads follow the approved risk/continuity decision.</w:t>
            </w:r>
          </w:p>
        </w:tc>
      </w:tr>
    </w:tbl>
    <w:p>
      <w:pPr>
        <w:pStyle w:val="BodyText"/>
        <w:rPr/>
      </w:pPr>
      <w:r>
        <w:rPr/>
        <w:t>The initial profiles in sections 35-38 are target designs, not invented certification records. Product/provider versions unavailable from the user’s environment are deliberately not labelled tested. The companion schema enforces that a qualified record contains a full tuple, evidence digest, tested profiles, validity interval and approving authority. A feature advertised in vendor documentation remains insufficient until the selected deployment proves the required behavior.</w:t>
      </w:r>
    </w:p>
    <w:p>
      <w:pPr>
        <w:pStyle w:val="Requirement"/>
        <w:keepNext w:val="true"/>
        <w:rPr/>
      </w:pPr>
      <w:bookmarkStart w:id="189" w:name="req_PORT_001"/>
      <w:bookmarkEnd w:id="189"/>
      <w:r>
        <w:rPr>
          <w:rStyle w:val="ReqID"/>
        </w:rPr>
        <w:t xml:space="preserve">PORT-001  </w:t>
      </w:r>
      <w:r>
        <w:rPr/>
        <w:t>Every platform SHALL publish a machine-readable capability profile and a tested implementation profile.</w:t>
      </w:r>
    </w:p>
    <w:p>
      <w:pPr>
        <w:pStyle w:val="ReqMeta"/>
        <w:rPr/>
      </w:pPr>
      <w:r>
        <w:rPr/>
        <w:t xml:space="preserve">Platform engineering  |  Verify: </w:t>
      </w:r>
      <w:hyperlink w:anchor="test_CT_015">
        <w:r>
          <w:rPr>
            <w:rStyle w:val="Hyperlink"/>
          </w:rPr>
          <w:t>CT-015</w:t>
        </w:r>
      </w:hyperlink>
      <w:r>
        <w:rPr/>
        <w:t xml:space="preserve">, </w:t>
      </w:r>
      <w:hyperlink w:anchor="test_CT_018">
        <w:r>
          <w:rPr>
            <w:rStyle w:val="Hyperlink"/>
          </w:rPr>
          <w:t>CT-018</w:t>
        </w:r>
      </w:hyperlink>
      <w:r>
        <w:rPr/>
        <w:t xml:space="preserve">, </w:t>
      </w:r>
      <w:hyperlink w:anchor="test_CT_080">
        <w:r>
          <w:rPr>
            <w:rStyle w:val="Hyperlink"/>
          </w:rPr>
          <w:t>CT-080</w:t>
        </w:r>
      </w:hyperlink>
      <w:r>
        <w:rPr/>
        <w:t xml:space="preserve">  |  Basis: </w:t>
      </w:r>
      <w:hyperlink w:anchor="S00">
        <w:r>
          <w:rPr>
            <w:rStyle w:val="Hyperlink"/>
          </w:rPr>
          <w:t>S00</w:t>
        </w:r>
      </w:hyperlink>
      <w:r>
        <w:rPr/>
        <w:t xml:space="preserve">  |  retained-v1.0</w:t>
      </w:r>
    </w:p>
    <w:p>
      <w:pPr>
        <w:pStyle w:val="Requirement"/>
        <w:keepNext w:val="true"/>
        <w:rPr/>
      </w:pPr>
      <w:bookmarkStart w:id="190" w:name="req_PORT_002"/>
      <w:bookmarkEnd w:id="190"/>
      <w:r>
        <w:rPr>
          <w:rStyle w:val="ReqID"/>
        </w:rPr>
        <w:t xml:space="preserve">PORT-002  </w:t>
      </w:r>
      <w:r>
        <w:rPr/>
        <w:t>A placement decision SHALL fail rather than silently reduce a requested security or availability capability.</w:t>
      </w:r>
    </w:p>
    <w:p>
      <w:pPr>
        <w:pStyle w:val="ReqMeta"/>
        <w:rPr/>
      </w:pPr>
      <w:r>
        <w:rPr/>
        <w:t xml:space="preserve">Automation platform  |  Verify: </w:t>
      </w:r>
      <w:hyperlink w:anchor="test_CT_018">
        <w:r>
          <w:rPr>
            <w:rStyle w:val="Hyperlink"/>
          </w:rPr>
          <w:t>CT-018</w:t>
        </w:r>
      </w:hyperlink>
      <w:r>
        <w:rPr/>
        <w:t xml:space="preserve">, </w:t>
      </w:r>
      <w:hyperlink w:anchor="test_CT_061">
        <w:r>
          <w:rPr>
            <w:rStyle w:val="Hyperlink"/>
          </w:rPr>
          <w:t>CT-061</w:t>
        </w:r>
      </w:hyperlink>
      <w:r>
        <w:rPr/>
        <w:t xml:space="preserve">  |  Basis: </w:t>
      </w:r>
      <w:hyperlink w:anchor="S00">
        <w:r>
          <w:rPr>
            <w:rStyle w:val="Hyperlink"/>
          </w:rPr>
          <w:t>S00</w:t>
        </w:r>
      </w:hyperlink>
      <w:r>
        <w:rPr/>
        <w:t xml:space="preserve">  |  retained-v1.0</w:t>
      </w:r>
    </w:p>
    <w:p>
      <w:pPr>
        <w:pStyle w:val="Requirement"/>
        <w:keepNext w:val="true"/>
        <w:rPr/>
      </w:pPr>
      <w:bookmarkStart w:id="191" w:name="req_PORT_003"/>
      <w:bookmarkEnd w:id="191"/>
      <w:r>
        <w:rPr>
          <w:rStyle w:val="ReqID"/>
        </w:rPr>
        <w:t xml:space="preserve">PORT-003  </w:t>
      </w:r>
      <w:r>
        <w:rPr/>
        <w:t>Platform-specific features MAY be exposed as optional extensions provided the WSD declares the dependency and portability impact.</w:t>
      </w:r>
    </w:p>
    <w:p>
      <w:pPr>
        <w:pStyle w:val="ReqMeta"/>
        <w:rPr/>
      </w:pPr>
      <w:r>
        <w:rPr/>
        <w:t xml:space="preserve">Architecture authority  |  Verify: </w:t>
      </w:r>
      <w:hyperlink w:anchor="test_CT_016">
        <w:r>
          <w:rPr>
            <w:rStyle w:val="Hyperlink"/>
          </w:rPr>
          <w:t>CT-016</w:t>
        </w:r>
      </w:hyperlink>
      <w:r>
        <w:rPr/>
        <w:t xml:space="preserve">, </w:t>
      </w:r>
      <w:hyperlink w:anchor="test_CT_060">
        <w:r>
          <w:rPr>
            <w:rStyle w:val="Hyperlink"/>
          </w:rPr>
          <w:t>CT-060</w:t>
        </w:r>
      </w:hyperlink>
      <w:r>
        <w:rPr/>
        <w:t xml:space="preserve">, </w:t>
      </w:r>
      <w:hyperlink w:anchor="test_CT_073">
        <w:r>
          <w:rPr>
            <w:rStyle w:val="Hyperlink"/>
          </w:rPr>
          <w:t>CT-073</w:t>
        </w:r>
      </w:hyperlink>
      <w:r>
        <w:rPr/>
        <w:t xml:space="preserve">  |  Basis: </w:t>
      </w:r>
      <w:hyperlink w:anchor="S00">
        <w:r>
          <w:rPr>
            <w:rStyle w:val="Hyperlink"/>
          </w:rPr>
          <w:t>S00</w:t>
        </w:r>
      </w:hyperlink>
      <w:r>
        <w:rPr/>
        <w:t xml:space="preserve">  |  retained-v1.0</w:t>
      </w:r>
    </w:p>
    <w:p>
      <w:pPr>
        <w:pStyle w:val="Requirement"/>
        <w:keepNext w:val="true"/>
        <w:rPr/>
      </w:pPr>
      <w:bookmarkStart w:id="192" w:name="req_QUAL_001"/>
      <w:bookmarkEnd w:id="192"/>
      <w:r>
        <w:rPr>
          <w:rStyle w:val="ReqID"/>
        </w:rPr>
        <w:t xml:space="preserve">QUAL-001  </w:t>
      </w:r>
      <w:r>
        <w:rPr/>
        <w:t>Production placement SHALL require a current qualified PlatformProfile containing the exact product/API/provider/hardware tuple, applicable features/licenses, tested limits, evidence and approval; a candidate or documentation snapshot SHALL be ineligible.</w:t>
      </w:r>
    </w:p>
    <w:p>
      <w:pPr>
        <w:pStyle w:val="ReqMeta"/>
        <w:rPr/>
      </w:pPr>
      <w:r>
        <w:rPr/>
        <w:t xml:space="preserve">Security authority  |  Verify: </w:t>
      </w:r>
      <w:hyperlink w:anchor="test_CT_015">
        <w:r>
          <w:rPr>
            <w:rStyle w:val="Hyperlink"/>
          </w:rPr>
          <w:t>CT-015</w:t>
        </w:r>
      </w:hyperlink>
      <w:r>
        <w:rPr/>
        <w:t xml:space="preserve">, </w:t>
      </w:r>
      <w:hyperlink w:anchor="test_CT_018">
        <w:r>
          <w:rPr>
            <w:rStyle w:val="Hyperlink"/>
          </w:rPr>
          <w:t>CT-018</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Heading2"/>
        <w:numPr>
          <w:ilvl w:val="0"/>
          <w:numId w:val="7"/>
        </w:numPr>
        <w:rPr/>
      </w:pPr>
      <w:bookmarkStart w:id="193" w:name="__RefHeading___Toc13361_1645000677"/>
      <w:bookmarkStart w:id="194" w:name="sec_35"/>
      <w:bookmarkEnd w:id="193"/>
      <w:r>
        <w:rPr/>
        <w:t>Nutanix implementation profile</w:t>
      </w:r>
      <w:bookmarkEnd w:id="194"/>
    </w:p>
    <w:p>
      <w:pPr>
        <w:pStyle w:val="BodyText"/>
        <w:rPr/>
      </w:pPr>
      <w:r>
        <w:rPr/>
        <w:t>The candidate Nutanix realization maps tenant administration to approved project/RBAC scopes, logical security domains to controlled metadata, and domain instances to qualified Flow Virtual Networking/VPC constructions. Networks are overlay subnets; mandatory workload policy uses the qualified Flow security mechanism; external attachments connect toward the declared ZIP or service edge. Project ownership, VPC routing, categories and security policy are distinct control functions, not interchangeable isolation proofs.</w:t>
      </w:r>
    </w:p>
    <w:p>
      <w:pPr>
        <w:pStyle w:val="BodyText"/>
        <w:rPr/>
      </w:pPr>
      <w:r>
        <w:rPr/>
        <w:t>The official Nutanix provider repository reviewed for this revision identifies release 2.4.2 and lists v2 resources including VPCs, subnets, PBR, routes and network security policy. It also publishes platform compatibility notes. This is a documentation reference only: the installed AOS, Prism Central, Flow versions and licensed features must be confirmed before selecting a provider version or claiming support. A v2 resource name alone does not establish that every requested feature is available on the target. [</w:t>
      </w:r>
      <w:hyperlink w:anchor="S17">
        <w:r>
          <w:rPr>
            <w:rStyle w:val="Hyperlink"/>
          </w:rPr>
          <w:t>S17</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872"/>
        <w:gridCol w:w="3816"/>
        <w:gridCol w:w="3888"/>
      </w:tblGrid>
      <w:tr>
        <w:trPr>
          <w:tblHeader w:val="true"/>
          <w:cantSplit w:val="true"/>
        </w:trPr>
        <w:tc>
          <w:tcPr>
            <w:tcW w:w="187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Portable element</w:t>
            </w:r>
          </w:p>
        </w:tc>
        <w:tc>
          <w:tcPr>
            <w:tcW w:w="3816"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Candidate realization</w:t>
            </w:r>
          </w:p>
        </w:tc>
        <w:tc>
          <w:tcPr>
            <w:tcW w:w="388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Qualification focus</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Tenant / domain</w:t>
            </w:r>
          </w:p>
        </w:tc>
        <w:tc>
          <w:tcPr>
            <w:tcW w:w="381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Project/RBAC plus provider-owned security metadata; VPC or approved routing construction</w:t>
            </w:r>
          </w:p>
        </w:tc>
        <w:tc>
          <w:tcPr>
            <w:tcW w:w="38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Tenant cannot alter global administration or mandatory selectors</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Network / flow</w:t>
            </w:r>
          </w:p>
        </w:tc>
        <w:tc>
          <w:tcPr>
            <w:tcW w:w="381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Overlay subnet, scoped Flow policy and explicit edge flow</w:t>
            </w:r>
          </w:p>
        </w:tc>
        <w:tc>
          <w:tcPr>
            <w:tcW w:w="38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Default routing, label precedence and same-host enforcement</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EdgeAttachment</w:t>
            </w:r>
          </w:p>
        </w:tc>
        <w:tc>
          <w:tcPr>
            <w:tcW w:w="381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Qualified external subnet, gateway/routing/PBR and security-edge context</w:t>
            </w:r>
          </w:p>
        </w:tc>
        <w:tc>
          <w:tcPr>
            <w:tcW w:w="38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Shared external connectivity, connected routes, NAT/PBR and return symmetry</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Compute / data</w:t>
            </w:r>
          </w:p>
        </w:tc>
        <w:tc>
          <w:tcPr>
            <w:tcW w:w="3816"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Qualified VM, image, affinity, storage and protection functions</w:t>
            </w:r>
          </w:p>
        </w:tc>
        <w:tc>
          <w:tcPr>
            <w:tcW w:w="38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Co-residency, lifecycle support, copies, encryption and recovery</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Automation</w:t>
            </w:r>
          </w:p>
        </w:tc>
        <w:tc>
          <w:tcPr>
            <w:tcW w:w="3816"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Pinned official provider and documented API tuple</w:t>
            </w:r>
          </w:p>
        </w:tc>
        <w:tc>
          <w:tcPr>
            <w:tcW w:w="38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Readiness polling, idempotency, updates, imports, deletion and secret handling</w:t>
            </w:r>
          </w:p>
        </w:tc>
      </w:tr>
    </w:tbl>
    <w:p>
      <w:pPr>
        <w:pStyle w:val="BodyText"/>
        <w:rPr/>
      </w:pPr>
      <w:r>
        <w:rPr/>
        <w:t>Commission reusable attachment capacity where isolation permits, but do not assume that multiple VPCs on a common external subnet are isolated from each other. CT-023 is a mandatory gate for sharing. Protect provider-owned categories and baseline rules from tenant modification; validate effective policy and the enforcement path before connecting workloads. Capture Prism/Flow readiness rather than treating asynchronous API acceptance as complete. HCI co-residency analysis covers controller/storage services as well as VM scheduling.</w:t>
      </w:r>
    </w:p>
    <w:p>
      <w:pPr>
        <w:pStyle w:val="Requirement"/>
        <w:keepNext w:val="true"/>
        <w:rPr/>
      </w:pPr>
      <w:bookmarkStart w:id="195" w:name="req_NUT_001"/>
      <w:bookmarkEnd w:id="195"/>
      <w:r>
        <w:rPr>
          <w:rStyle w:val="ReqID"/>
        </w:rPr>
        <w:t xml:space="preserve">NUT-001  </w:t>
      </w:r>
      <w:r>
        <w:rPr/>
        <w:t>New Nutanix automation SHOULD use current supported v2/v4-backed provider resources where those resources satisfy the requirement; legacy resources require an explicit compatibility rationale.</w:t>
      </w:r>
    </w:p>
    <w:p>
      <w:pPr>
        <w:pStyle w:val="ReqMeta"/>
        <w:rPr/>
      </w:pPr>
      <w:r>
        <w:rPr/>
        <w:t xml:space="preserve">Platform engineering  |  Verify: </w:t>
      </w:r>
      <w:hyperlink w:anchor="test_CT_015">
        <w:r>
          <w:rPr>
            <w:rStyle w:val="Hyperlink"/>
          </w:rPr>
          <w:t>CT-015</w:t>
        </w:r>
      </w:hyperlink>
      <w:r>
        <w:rPr/>
        <w:t xml:space="preserve">, </w:t>
      </w:r>
      <w:hyperlink w:anchor="test_CT_018">
        <w:r>
          <w:rPr>
            <w:rStyle w:val="Hyperlink"/>
          </w:rPr>
          <w:t>CT-018</w:t>
        </w:r>
      </w:hyperlink>
      <w:r>
        <w:rPr/>
        <w:t xml:space="preserve">  |  Basis: </w:t>
      </w:r>
      <w:hyperlink w:anchor="S00">
        <w:r>
          <w:rPr>
            <w:rStyle w:val="Hyperlink"/>
          </w:rPr>
          <w:t>S00</w:t>
        </w:r>
      </w:hyperlink>
      <w:r>
        <w:rPr/>
        <w:t xml:space="preserve"> / </w:t>
      </w:r>
      <w:hyperlink w:anchor="S17">
        <w:r>
          <w:rPr>
            <w:rStyle w:val="Hyperlink"/>
          </w:rPr>
          <w:t>S17</w:t>
        </w:r>
      </w:hyperlink>
      <w:r>
        <w:rPr/>
        <w:t xml:space="preserve">  |  retained-v1.0</w:t>
      </w:r>
    </w:p>
    <w:p>
      <w:pPr>
        <w:pStyle w:val="Requirement"/>
        <w:keepNext w:val="true"/>
        <w:rPr/>
      </w:pPr>
      <w:bookmarkStart w:id="196" w:name="req_NUT_002"/>
      <w:bookmarkEnd w:id="196"/>
      <w:r>
        <w:rPr>
          <w:rStyle w:val="ReqID"/>
        </w:rPr>
        <w:t xml:space="preserve">NUT-002  </w:t>
      </w:r>
      <w:r>
        <w:rPr/>
        <w:t>Nutanix VPC internal routing SHALL NOT be used to bypass a required inter-zone ZIP.</w:t>
      </w:r>
    </w:p>
    <w:p>
      <w:pPr>
        <w:pStyle w:val="ReqMeta"/>
        <w:rPr/>
      </w:pPr>
      <w:r>
        <w:rPr/>
        <w:t xml:space="preserve">Platform engineering  |  Verify: </w:t>
      </w:r>
      <w:hyperlink w:anchor="test_CT_003">
        <w:r>
          <w:rPr>
            <w:rStyle w:val="Hyperlink"/>
          </w:rPr>
          <w:t>CT-003</w:t>
        </w:r>
      </w:hyperlink>
      <w:r>
        <w:rPr/>
        <w:t xml:space="preserve">, </w:t>
      </w:r>
      <w:hyperlink w:anchor="test_CT_023">
        <w:r>
          <w:rPr>
            <w:rStyle w:val="Hyperlink"/>
          </w:rPr>
          <w:t>CT-023</w:t>
        </w:r>
      </w:hyperlink>
      <w:r>
        <w:rPr/>
        <w:t xml:space="preserve">, </w:t>
      </w:r>
      <w:hyperlink w:anchor="test_CT_024">
        <w:r>
          <w:rPr>
            <w:rStyle w:val="Hyperlink"/>
          </w:rPr>
          <w:t>CT-024</w:t>
        </w:r>
      </w:hyperlink>
      <w:r>
        <w:rPr/>
        <w:t xml:space="preserve">  |  Basis: </w:t>
      </w:r>
      <w:hyperlink w:anchor="S00">
        <w:r>
          <w:rPr>
            <w:rStyle w:val="Hyperlink"/>
          </w:rPr>
          <w:t>S00</w:t>
        </w:r>
      </w:hyperlink>
      <w:r>
        <w:rPr/>
        <w:t xml:space="preserve">  |  retained-v1.0</w:t>
      </w:r>
    </w:p>
    <w:p>
      <w:pPr>
        <w:pStyle w:val="Requirement"/>
        <w:keepNext w:val="true"/>
        <w:rPr/>
      </w:pPr>
      <w:bookmarkStart w:id="197" w:name="req_NUT_003"/>
      <w:bookmarkEnd w:id="197"/>
      <w:r>
        <w:rPr>
          <w:rStyle w:val="ReqID"/>
        </w:rPr>
        <w:t xml:space="preserve">NUT-003  </w:t>
      </w:r>
      <w:r>
        <w:rPr/>
        <w:t>Provider-managed categories/metadata used for security SHALL be protected from tenant modification.</w:t>
      </w:r>
    </w:p>
    <w:p>
      <w:pPr>
        <w:pStyle w:val="ReqMeta"/>
        <w:rPr/>
      </w:pPr>
      <w:r>
        <w:rPr/>
        <w:t xml:space="preserve">Platform engineering  |  Verify: </w:t>
      </w:r>
      <w:hyperlink w:anchor="test_CT_020">
        <w:r>
          <w:rPr>
            <w:rStyle w:val="Hyperlink"/>
          </w:rPr>
          <w:t>CT-020</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retained-v1.0</w:t>
      </w:r>
    </w:p>
    <w:p>
      <w:pPr>
        <w:pStyle w:val="Requirement"/>
        <w:keepNext w:val="true"/>
        <w:rPr/>
      </w:pPr>
      <w:bookmarkStart w:id="198" w:name="req_NUT_004"/>
      <w:bookmarkEnd w:id="198"/>
      <w:r>
        <w:rPr>
          <w:rStyle w:val="ReqID"/>
        </w:rPr>
        <w:t xml:space="preserve">NUT-004  </w:t>
      </w:r>
      <w:r>
        <w:rPr/>
        <w:t>The Nutanix profile SHALL qualify the actual AOS/Prism/Flow/provider tuple and external-attachment behavior; unresolved licensing, routing, policy precedence or asynchronous realization limitations SHALL block the affected capability.</w:t>
      </w:r>
    </w:p>
    <w:p>
      <w:pPr>
        <w:pStyle w:val="ReqMeta"/>
        <w:rPr/>
      </w:pPr>
      <w:r>
        <w:rPr/>
        <w:t xml:space="preserve">Platform engineering  |  Verify: </w:t>
      </w:r>
      <w:hyperlink w:anchor="test_CT_015">
        <w:r>
          <w:rPr>
            <w:rStyle w:val="Hyperlink"/>
          </w:rPr>
          <w:t>CT-015</w:t>
        </w:r>
      </w:hyperlink>
      <w:r>
        <w:rPr/>
        <w:t xml:space="preserve">, </w:t>
      </w:r>
      <w:hyperlink w:anchor="test_CT_023">
        <w:r>
          <w:rPr>
            <w:rStyle w:val="Hyperlink"/>
          </w:rPr>
          <w:t>CT-023</w:t>
        </w:r>
      </w:hyperlink>
      <w:r>
        <w:rPr/>
        <w:t xml:space="preserve">, </w:t>
      </w:r>
      <w:hyperlink w:anchor="test_CT_045">
        <w:r>
          <w:rPr>
            <w:rStyle w:val="Hyperlink"/>
          </w:rPr>
          <w:t>CT-045</w:t>
        </w:r>
      </w:hyperlink>
      <w:r>
        <w:rPr/>
        <w:t xml:space="preserve">, </w:t>
      </w:r>
      <w:hyperlink w:anchor="test_CT_080">
        <w:r>
          <w:rPr>
            <w:rStyle w:val="Hyperlink"/>
          </w:rPr>
          <w:t>CT-080</w:t>
        </w:r>
      </w:hyperlink>
      <w:r>
        <w:rPr/>
        <w:t xml:space="preserve">  |  Basis: </w:t>
      </w:r>
      <w:hyperlink w:anchor="S17">
        <w:r>
          <w:rPr>
            <w:rStyle w:val="Hyperlink"/>
          </w:rPr>
          <w:t>S17</w:t>
        </w:r>
      </w:hyperlink>
      <w:r>
        <w:rPr/>
        <w:t xml:space="preserve">  |  new-v1.1</w:t>
      </w:r>
    </w:p>
    <w:p>
      <w:pPr>
        <w:pStyle w:val="Heading2"/>
        <w:numPr>
          <w:ilvl w:val="0"/>
          <w:numId w:val="7"/>
        </w:numPr>
        <w:rPr/>
      </w:pPr>
      <w:bookmarkStart w:id="199" w:name="__RefHeading___Toc13363_1645000677"/>
      <w:bookmarkStart w:id="200" w:name="sec_36"/>
      <w:bookmarkEnd w:id="199"/>
      <w:r>
        <w:rPr/>
        <w:t>VMware and NSX implementation profile</w:t>
      </w:r>
      <w:bookmarkEnd w:id="200"/>
    </w:p>
    <w:p>
      <w:pPr>
        <w:pStyle w:val="BodyText"/>
        <w:rPr/>
      </w:pPr>
      <w:r>
        <w:rPr/>
        <w:t>The full portable network/security profile requires a qualified networking/security layer such as NSX; plain vSphere networking is not assumed equivalent. The candidate design maps tenant administration to scoped IAM/NSX project constructs, domain instances to qualified routing contexts, workload networks to segments, microsegmentation to distributed policy and zone transitions to a tested gateway/edge or equivalent logical ZIP. All mappings are conditional on the selected release and supported resource model. [</w:t>
      </w:r>
      <w:hyperlink w:anchor="S00">
        <w:r>
          <w:rPr>
            <w:rStyle w:val="Hyperlink"/>
          </w:rPr>
          <w:t>S00</w:t>
        </w:r>
      </w:hyperlink>
      <w:r>
        <w:rPr/>
        <w:t xml:space="preserve">, section 24; </w:t>
      </w:r>
      <w:hyperlink w:anchor="S18">
        <w:r>
          <w:rPr>
            <w:rStyle w:val="Hyperlink"/>
          </w:rPr>
          <w:t>S18</w:t>
        </w:r>
      </w:hyperlink>
      <w:r>
        <w:rPr/>
        <w:t>]</w:t>
      </w:r>
    </w:p>
    <w:p>
      <w:pPr>
        <w:pStyle w:val="BodyText"/>
        <w:rPr/>
      </w:pPr>
      <w:r>
        <w:rPr/>
        <w:t>Distinguish a Tier-1 routing function from the service components that actually provide stateful gateway enforcement. A project boundary or tag is not a complete security authority by itself. The profile records distributed versus centralized routing, edge/service-router placement, Tier-0/external attachment authority, policy precedence, service insertion and failover. Test same-host distributed paths and inter-domain paths rather than inferring an appliance hop from the conceptual diagram.</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592"/>
        <w:gridCol w:w="6983"/>
      </w:tblGrid>
      <w:tr>
        <w:trPr>
          <w:tblHeader w:val="true"/>
          <w:cantSplit w:val="true"/>
        </w:trPr>
        <w:tc>
          <w:tcPr>
            <w:tcW w:w="259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Portable concern</w:t>
            </w:r>
          </w:p>
        </w:tc>
        <w:tc>
          <w:tcPr>
            <w:tcW w:w="698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profile evidence</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Administrative tenancy</w:t>
            </w:r>
          </w:p>
        </w:tc>
        <w:tc>
          <w:tcPr>
            <w:tcW w:w="698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Scoped project/IAM roles, provider/global policy ownership and tenant visibility restrictions</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Routing and boundary enforcement</w:t>
            </w:r>
          </w:p>
        </w:tc>
        <w:tc>
          <w:tcPr>
            <w:tcW w:w="698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Actual Tier-1/Tier-0/edge topology, native route propagation, gateway policy and return-path behavior</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Mandatory segmentation</w:t>
            </w:r>
          </w:p>
        </w:tc>
        <w:tc>
          <w:tcPr>
            <w:tcW w:w="698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Provider-owned groups/tags, rule hierarchy and protection against tenant override</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Compute/storage integration</w:t>
            </w:r>
          </w:p>
        </w:tc>
        <w:tc>
          <w:tcPr>
            <w:tcW w:w="698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Placement/co-residency, image boot/vTPM dependencies, datastore policy and backup/restore</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Automation and upgrades</w:t>
            </w:r>
          </w:p>
        </w:tc>
        <w:tc>
          <w:tcPr>
            <w:tcW w:w="698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Exact NSX/vSphere/provider tuple, API/resource coverage, import/update/delete and canary regression</w:t>
            </w:r>
          </w:p>
        </w:tc>
      </w:tr>
    </w:tbl>
    <w:p>
      <w:pPr>
        <w:pStyle w:val="BodyText"/>
        <w:rPr/>
      </w:pPr>
      <w:r>
        <w:rPr/>
        <w:t>Workload owners never receive unrestricted global route or gateway-policy authority. Mandatory and tenant rules are generated from the same portable intent so they cannot silently diverge. Provider-managed tags and groups are reconciled with source identity, and native default connectivity is removed or constrained before attachment. A profile lacking the required edge inspection or isolation uses another qualified service or rejects placement; it does not downgrade the ZIP definition.</w:t>
      </w:r>
    </w:p>
    <w:p>
      <w:pPr>
        <w:pStyle w:val="Requirement"/>
        <w:keepNext w:val="true"/>
        <w:rPr/>
      </w:pPr>
      <w:bookmarkStart w:id="201" w:name="req_NSX_001"/>
      <w:bookmarkEnd w:id="201"/>
      <w:r>
        <w:rPr>
          <w:rStyle w:val="ReqID"/>
        </w:rPr>
        <w:t xml:space="preserve">NSX-001  </w:t>
      </w:r>
      <w:r>
        <w:rPr/>
        <w:t>An NSX implementation SHALL keep tenant/project policy distinct from provider/global management and security policy.</w:t>
      </w:r>
    </w:p>
    <w:p>
      <w:pPr>
        <w:pStyle w:val="ReqMeta"/>
        <w:rPr/>
      </w:pPr>
      <w:r>
        <w:rPr/>
        <w:t xml:space="preserve">Platform engineering  |  Verify: </w:t>
      </w:r>
      <w:hyperlink w:anchor="test_CT_019">
        <w:r>
          <w:rPr>
            <w:rStyle w:val="Hyperlink"/>
          </w:rPr>
          <w:t>CT-019</w:t>
        </w:r>
      </w:hyperlink>
      <w:r>
        <w:rPr/>
        <w:t xml:space="preserve">, </w:t>
      </w:r>
      <w:hyperlink w:anchor="test_CT_020">
        <w:r>
          <w:rPr>
            <w:rStyle w:val="Hyperlink"/>
          </w:rPr>
          <w:t>CT-020</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retained-v1.0</w:t>
      </w:r>
    </w:p>
    <w:p>
      <w:pPr>
        <w:pStyle w:val="Requirement"/>
        <w:keepNext w:val="true"/>
        <w:rPr/>
      </w:pPr>
      <w:bookmarkStart w:id="202" w:name="req_NSX_002"/>
      <w:bookmarkEnd w:id="202"/>
      <w:r>
        <w:rPr>
          <w:rStyle w:val="ReqID"/>
        </w:rPr>
        <w:t xml:space="preserve">NSX-002  </w:t>
      </w:r>
      <w:r>
        <w:rPr/>
        <w:t>Gateway policy used for zone transitions SHALL be generated from portable Flow/ZIP intent rather than manually duplicated per workload.</w:t>
      </w:r>
    </w:p>
    <w:p>
      <w:pPr>
        <w:pStyle w:val="ReqMeta"/>
        <w:rPr/>
      </w:pPr>
      <w:r>
        <w:rPr/>
        <w:t xml:space="preserve">Platform engineering  |  Verify: </w:t>
      </w:r>
      <w:hyperlink w:anchor="test_CT_003">
        <w:r>
          <w:rPr>
            <w:rStyle w:val="Hyperlink"/>
          </w:rPr>
          <w:t>CT-003</w:t>
        </w:r>
      </w:hyperlink>
      <w:r>
        <w:rPr/>
        <w:t xml:space="preserve">, </w:t>
      </w:r>
      <w:hyperlink w:anchor="test_CT_007">
        <w:r>
          <w:rPr>
            <w:rStyle w:val="Hyperlink"/>
          </w:rPr>
          <w:t>CT-007</w:t>
        </w:r>
      </w:hyperlink>
      <w:r>
        <w:rPr/>
        <w:t xml:space="preserve">, </w:t>
      </w:r>
      <w:hyperlink w:anchor="test_CT_009">
        <w:r>
          <w:rPr>
            <w:rStyle w:val="Hyperlink"/>
          </w:rPr>
          <w:t>CT-009</w:t>
        </w:r>
      </w:hyperlink>
      <w:r>
        <w:rPr/>
        <w:t xml:space="preserve">  |  Basis: </w:t>
      </w:r>
      <w:hyperlink w:anchor="S00">
        <w:r>
          <w:rPr>
            <w:rStyle w:val="Hyperlink"/>
          </w:rPr>
          <w:t>S00</w:t>
        </w:r>
      </w:hyperlink>
      <w:r>
        <w:rPr/>
        <w:t xml:space="preserve">  |  retained-v1.0</w:t>
      </w:r>
    </w:p>
    <w:p>
      <w:pPr>
        <w:pStyle w:val="Requirement"/>
        <w:keepNext w:val="true"/>
        <w:rPr/>
      </w:pPr>
      <w:bookmarkStart w:id="203" w:name="req_NSX_003"/>
      <w:bookmarkEnd w:id="203"/>
      <w:r>
        <w:rPr>
          <w:rStyle w:val="ReqID"/>
        </w:rPr>
        <w:t xml:space="preserve">NSX-003  </w:t>
      </w:r>
      <w:r>
        <w:rPr/>
        <w:t>The NSX profile SHALL identify actual routing and enforcement components, global/project authority and policy precedence, and SHALL qualify their behavior on the selected product/provider tuple rather than equating a Tier-1 or project with a ZIP.</w:t>
      </w:r>
    </w:p>
    <w:p>
      <w:pPr>
        <w:pStyle w:val="ReqMeta"/>
        <w:rPr/>
      </w:pPr>
      <w:r>
        <w:rPr/>
        <w:t xml:space="preserve">Platform engineering  |  Verify: </w:t>
      </w:r>
      <w:hyperlink w:anchor="test_CT_003">
        <w:r>
          <w:rPr>
            <w:rStyle w:val="Hyperlink"/>
          </w:rPr>
          <w:t>CT-003</w:t>
        </w:r>
      </w:hyperlink>
      <w:r>
        <w:rPr/>
        <w:t xml:space="preserve">, </w:t>
      </w:r>
      <w:hyperlink w:anchor="test_CT_015">
        <w:r>
          <w:rPr>
            <w:rStyle w:val="Hyperlink"/>
          </w:rPr>
          <w:t>CT-015</w:t>
        </w:r>
      </w:hyperlink>
      <w:r>
        <w:rPr/>
        <w:t xml:space="preserve">, </w:t>
      </w:r>
      <w:hyperlink w:anchor="test_CT_024">
        <w:r>
          <w:rPr>
            <w:rStyle w:val="Hyperlink"/>
          </w:rPr>
          <w:t>CT-024</w:t>
        </w:r>
      </w:hyperlink>
      <w:r>
        <w:rPr/>
        <w:t xml:space="preserve">, </w:t>
      </w:r>
      <w:hyperlink w:anchor="test_CT_080">
        <w:r>
          <w:rPr>
            <w:rStyle w:val="Hyperlink"/>
          </w:rPr>
          <w:t>CT-080</w:t>
        </w:r>
      </w:hyperlink>
      <w:r>
        <w:rPr/>
        <w:t xml:space="preserve">  |  Basis: </w:t>
      </w:r>
      <w:hyperlink w:anchor="S18">
        <w:r>
          <w:rPr>
            <w:rStyle w:val="Hyperlink"/>
          </w:rPr>
          <w:t>S18</w:t>
        </w:r>
      </w:hyperlink>
      <w:r>
        <w:rPr/>
        <w:t xml:space="preserve">  |  new-v1.1</w:t>
      </w:r>
    </w:p>
    <w:p>
      <w:pPr>
        <w:pStyle w:val="Heading2"/>
        <w:numPr>
          <w:ilvl w:val="0"/>
          <w:numId w:val="7"/>
        </w:numPr>
        <w:rPr/>
      </w:pPr>
      <w:bookmarkStart w:id="204" w:name="__RefHeading___Toc13365_1645000677"/>
      <w:bookmarkStart w:id="205" w:name="sec_37"/>
      <w:bookmarkEnd w:id="204"/>
      <w:r>
        <w:rPr/>
        <w:t>OpenStack implementation profile</w:t>
      </w:r>
      <w:bookmarkEnd w:id="205"/>
    </w:p>
    <w:p>
      <w:pPr>
        <w:pStyle w:val="BodyText"/>
        <w:rPr/>
      </w:pPr>
      <w:r>
        <w:rPr/>
        <w:t>OpenStack administration maps to Keystone project/role scope; domain instances use qualified Neutron routing/address contexts, networks/subnets and a defined boundary enforcement design. Nova, Cinder and the selected image/key/backup services provide the other hosting functions. The distribution, Neutron backend, enabled extensions, API policy and supporting services are part of the capability record. The existence of a generic OpenStack provider does not imply every distribution exposes identical behavior. [</w:t>
      </w:r>
      <w:hyperlink w:anchor="S00">
        <w:r>
          <w:rPr>
            <w:rStyle w:val="Hyperlink"/>
          </w:rPr>
          <w:t>S00</w:t>
        </w:r>
      </w:hyperlink>
      <w:r>
        <w:rPr/>
        <w:t xml:space="preserve">, section 25; </w:t>
      </w:r>
      <w:hyperlink w:anchor="S19">
        <w:r>
          <w:rPr>
            <w:rStyle w:val="Hyperlink"/>
          </w:rPr>
          <w:t>S19</w:t>
        </w:r>
      </w:hyperlink>
      <w:r>
        <w:rPr/>
        <w:t>]</w:t>
      </w:r>
    </w:p>
    <w:p>
      <w:pPr>
        <w:pStyle w:val="BodyText"/>
        <w:rPr/>
      </w:pPr>
      <w:r>
        <w:rPr/>
        <w:t>Normalize all applicable security-group defaults rather than assuming they already implement the service deny baseline. Control external network/router access, floating addresses, additional ports, port-security settings and allowed address pairs. Native Neutron routers provide connectivity; stateful inter-zone inspection, shared-service isolation, policy precedence and management separation need an explicit qualified construction. Tenant API permissions must prevent creation of alternate paths outside the contract.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160"/>
        <w:gridCol w:w="7415"/>
      </w:tblGrid>
      <w:tr>
        <w:trPr>
          <w:tblHeader w:val="true"/>
          <w:cantSplit w:val="true"/>
        </w:trPr>
        <w:tc>
          <w:tcPr>
            <w:tcW w:w="216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Portable concern</w:t>
            </w:r>
          </w:p>
        </w:tc>
        <w:tc>
          <w:tcPr>
            <w:tcW w:w="741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profile evidence</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Tenant / identity</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Keystone project scope, roles, application credentials and provider-owned API policy</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Routing / external paths</w:t>
            </w:r>
          </w:p>
        </w:tc>
        <w:tc>
          <w:tcPr>
            <w:tcW w:w="741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Neutron backend, router/namespace or logical-routing behavior, provider/external network scope and floating-address authority</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Segmentation</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Security-group defaults, port security, permitted address pairs and immutable mandatory policy</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Data / compute</w:t>
            </w:r>
          </w:p>
        </w:tc>
        <w:tc>
          <w:tcPr>
            <w:tcW w:w="741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Nova placement, Cinder storage scope, image provenance, key integration and recovery support</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Operations</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Exact distribution/service/provider versions, quotas, API throttling, eventual consistency and cleanup behavior</w:t>
            </w:r>
          </w:p>
        </w:tc>
      </w:tr>
    </w:tbl>
    <w:p>
      <w:pPr>
        <w:pStyle w:val="BodyText"/>
        <w:rPr/>
      </w:pPr>
      <w:r>
        <w:rPr/>
        <w:t>An administrator-controlled policy layer may be needed when tenant-editable security groups cannot express the mandatory boundary hierarchy. Shared networks are not an isolation shortcut. Confirm whether enabled backend features support the required address families, failure modes and inspection; unsupported functionality is recorded in the registry. Test project deletion and asynchronous port/router removal for stale routes, leases and addresses, not just successful Terraform deletion messages.</w:t>
      </w:r>
    </w:p>
    <w:p>
      <w:pPr>
        <w:pStyle w:val="Requirement"/>
        <w:keepNext w:val="true"/>
        <w:rPr/>
      </w:pPr>
      <w:bookmarkStart w:id="206" w:name="req_OS_001"/>
      <w:bookmarkEnd w:id="206"/>
      <w:r>
        <w:rPr>
          <w:rStyle w:val="ReqID"/>
        </w:rPr>
        <w:t xml:space="preserve">OS-001  </w:t>
      </w:r>
      <w:r>
        <w:rPr/>
        <w:t>Default OpenStack security-group behaviour SHALL be reviewed and normalized to the secure-by-default service baseline.</w:t>
      </w:r>
    </w:p>
    <w:p>
      <w:pPr>
        <w:pStyle w:val="ReqMeta"/>
        <w:rPr/>
      </w:pPr>
      <w:r>
        <w:rPr/>
        <w:t xml:space="preserve">Platform engineering  |  Verify: </w:t>
      </w:r>
      <w:hyperlink w:anchor="test_CT_005">
        <w:r>
          <w:rPr>
            <w:rStyle w:val="Hyperlink"/>
          </w:rPr>
          <w:t>CT-005</w:t>
        </w:r>
      </w:hyperlink>
      <w:r>
        <w:rPr/>
        <w:t xml:space="preserve">, </w:t>
      </w:r>
      <w:hyperlink w:anchor="test_CT_021">
        <w:r>
          <w:rPr>
            <w:rStyle w:val="Hyperlink"/>
          </w:rPr>
          <w:t>CT-021</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retained-v1.0</w:t>
      </w:r>
    </w:p>
    <w:p>
      <w:pPr>
        <w:pStyle w:val="Requirement"/>
        <w:keepNext w:val="true"/>
        <w:rPr/>
      </w:pPr>
      <w:bookmarkStart w:id="207" w:name="req_OS_002"/>
      <w:bookmarkEnd w:id="207"/>
      <w:r>
        <w:rPr>
          <w:rStyle w:val="ReqID"/>
        </w:rPr>
        <w:t xml:space="preserve">OS-002  </w:t>
      </w:r>
      <w:r>
        <w:rPr/>
        <w:t>Provider networks and external-router capabilities SHALL remain provider controlled and SHALL not become unrestricted tenant escape paths.</w:t>
      </w:r>
    </w:p>
    <w:p>
      <w:pPr>
        <w:pStyle w:val="ReqMeta"/>
        <w:rPr/>
      </w:pPr>
      <w:r>
        <w:rPr/>
        <w:t xml:space="preserve">Platform engineering  |  Verify: </w:t>
      </w:r>
      <w:hyperlink w:anchor="test_CT_019">
        <w:r>
          <w:rPr>
            <w:rStyle w:val="Hyperlink"/>
          </w:rPr>
          <w:t>CT-019</w:t>
        </w:r>
      </w:hyperlink>
      <w:r>
        <w:rPr/>
        <w:t xml:space="preserve">, </w:t>
      </w:r>
      <w:hyperlink w:anchor="test_CT_022">
        <w:r>
          <w:rPr>
            <w:rStyle w:val="Hyperlink"/>
          </w:rPr>
          <w:t>CT-022</w:t>
        </w:r>
      </w:hyperlink>
      <w:r>
        <w:rPr/>
        <w:t xml:space="preserve">, </w:t>
      </w:r>
      <w:hyperlink w:anchor="test_CT_023">
        <w:r>
          <w:rPr>
            <w:rStyle w:val="Hyperlink"/>
          </w:rPr>
          <w:t>CT-023</w:t>
        </w:r>
      </w:hyperlink>
      <w:r>
        <w:rPr/>
        <w:t xml:space="preserve">  |  Basis: </w:t>
      </w:r>
      <w:hyperlink w:anchor="S00">
        <w:r>
          <w:rPr>
            <w:rStyle w:val="Hyperlink"/>
          </w:rPr>
          <w:t>S00</w:t>
        </w:r>
      </w:hyperlink>
      <w:r>
        <w:rPr/>
        <w:t xml:space="preserve">  |  retained-v1.0</w:t>
      </w:r>
    </w:p>
    <w:p>
      <w:pPr>
        <w:pStyle w:val="Requirement"/>
        <w:keepNext w:val="true"/>
        <w:rPr/>
      </w:pPr>
      <w:bookmarkStart w:id="208" w:name="req_OS_003"/>
      <w:bookmarkEnd w:id="208"/>
      <w:r>
        <w:rPr>
          <w:rStyle w:val="ReqID"/>
        </w:rPr>
        <w:t xml:space="preserve">OS-003  </w:t>
      </w:r>
      <w:r>
        <w:rPr/>
        <w:t>The OpenStack profile SHALL record distribution, service/API versions, Neutron backend/extensions and provider authority over external/port-security operations; native routing or editable security groups SHALL NOT be assumed to satisfy all ZIP functions.</w:t>
      </w:r>
    </w:p>
    <w:p>
      <w:pPr>
        <w:pStyle w:val="ReqMeta"/>
        <w:rPr/>
      </w:pPr>
      <w:r>
        <w:rPr/>
        <w:t xml:space="preserve">Platform engineering  |  Verify: </w:t>
      </w:r>
      <w:hyperlink w:anchor="test_CT_015">
        <w:r>
          <w:rPr>
            <w:rStyle w:val="Hyperlink"/>
          </w:rPr>
          <w:t>CT-015</w:t>
        </w:r>
      </w:hyperlink>
      <w:r>
        <w:rPr/>
        <w:t xml:space="preserve">, </w:t>
      </w:r>
      <w:hyperlink w:anchor="test_CT_018">
        <w:r>
          <w:rPr>
            <w:rStyle w:val="Hyperlink"/>
          </w:rPr>
          <w:t>CT-018</w:t>
        </w:r>
      </w:hyperlink>
      <w:r>
        <w:rPr/>
        <w:t xml:space="preserve">, </w:t>
      </w:r>
      <w:hyperlink w:anchor="test_CT_022">
        <w:r>
          <w:rPr>
            <w:rStyle w:val="Hyperlink"/>
          </w:rPr>
          <w:t>CT-022</w:t>
        </w:r>
      </w:hyperlink>
      <w:r>
        <w:rPr/>
        <w:t xml:space="preserve">, </w:t>
      </w:r>
      <w:hyperlink w:anchor="test_CT_080">
        <w:r>
          <w:rPr>
            <w:rStyle w:val="Hyperlink"/>
          </w:rPr>
          <w:t>CT-080</w:t>
        </w:r>
      </w:hyperlink>
      <w:r>
        <w:rPr/>
        <w:t xml:space="preserve">  |  Basis: </w:t>
      </w:r>
      <w:hyperlink w:anchor="S19">
        <w:r>
          <w:rPr>
            <w:rStyle w:val="Hyperlink"/>
          </w:rPr>
          <w:t>S19</w:t>
        </w:r>
      </w:hyperlink>
      <w:r>
        <w:rPr/>
        <w:t xml:space="preserve">  |  new-v1.1</w:t>
      </w:r>
    </w:p>
    <w:p>
      <w:pPr>
        <w:pStyle w:val="Heading2"/>
        <w:numPr>
          <w:ilvl w:val="0"/>
          <w:numId w:val="7"/>
        </w:numPr>
        <w:rPr/>
      </w:pPr>
      <w:bookmarkStart w:id="209" w:name="__RefHeading___Toc13367_1645000677"/>
      <w:bookmarkStart w:id="210" w:name="sec_38"/>
      <w:bookmarkEnd w:id="209"/>
      <w:r>
        <w:rPr/>
        <w:t>Bare metal, containers and future platforms</w:t>
      </w:r>
      <w:bookmarkEnd w:id="210"/>
    </w:p>
    <w:p>
      <w:pPr>
        <w:pStyle w:val="BodyText"/>
        <w:rPr/>
      </w:pPr>
      <w:r>
        <w:rPr/>
        <w:t>Bare-metal workloads can use the same WSD contract when their physical attachment, lifecycle, identity, storage and boundary controls are qualified. If the physical fabric provides their L3 domain, declare a fabric-routed service class and route its changes through foundation automation. This is a published realization path, not an undisclosed exception to routine overlay lifecycle. Bare-metal reuse includes firmware/boot control, BMC separation and media sanitization.</w:t>
      </w:r>
    </w:p>
    <w:p>
      <w:pPr>
        <w:pStyle w:val="BodyText"/>
        <w:rPr/>
      </w:pPr>
      <w:r>
        <w:rPr/>
        <w:t>A Kubernetes namespace is an administrative scope, not by itself a complete hostile-tenant or security-zone boundary. A container profile must qualify API/RBAC, workload admission, node/host isolation, network-policy enforcement, privileged/host-network restrictions, secrets, storage, image provenance and recovery. Kubernetes documentation separately discusses multi-tenancy and the dependence of NetworkPolicy on the networking implementation. [</w:t>
      </w:r>
      <w:hyperlink w:anchor="S25">
        <w:r>
          <w:rPr>
            <w:rStyle w:val="Hyperlink"/>
          </w:rPr>
          <w:t>S25</w:t>
        </w:r>
      </w:hyperlink>
      <w:r>
        <w:rPr/>
        <w:t xml:space="preserve">; </w:t>
      </w:r>
      <w:hyperlink w:anchor="S26">
        <w:r>
          <w:rPr>
            <w:rStyle w:val="Hyperlink"/>
          </w:rPr>
          <w:t>S26</w:t>
        </w:r>
      </w:hyperlink>
      <w:r>
        <w:rPr/>
        <w:t>]</w:t>
      </w:r>
    </w:p>
    <w:p>
      <w:pPr>
        <w:pStyle w:val="BodyText"/>
        <w:rPr/>
      </w:pPr>
      <w:r>
        <w:rPr/>
        <w:t>The portable model does not require every platform to expose the same topology or every optional feature. A dedicated cluster, namespace, virtual control plane or other pattern is selected by the threat/assurance analysis. Declared extensions include accelerators, passthrough, unusual packet processing and stateful application features. A future platform joins only after passing the relevant conformance profile and providing an exit/recovery path; it is not admitted because its API resembles an existing target.</w:t>
      </w:r>
    </w:p>
    <w:p>
      <w:pPr>
        <w:pStyle w:val="Requirement"/>
        <w:keepNext w:val="true"/>
        <w:rPr/>
      </w:pPr>
      <w:bookmarkStart w:id="211" w:name="req_FUT_001"/>
      <w:bookmarkEnd w:id="211"/>
      <w:r>
        <w:rPr>
          <w:rStyle w:val="ReqID"/>
        </w:rPr>
        <w:t xml:space="preserve">FUT-001  </w:t>
      </w:r>
      <w:r>
        <w:rPr/>
        <w:t>A new platform SHALL pass the applicable conformance suite before it is approved for production placement.</w:t>
      </w:r>
    </w:p>
    <w:p>
      <w:pPr>
        <w:pStyle w:val="ReqMeta"/>
        <w:rPr/>
      </w:pPr>
      <w:r>
        <w:rPr/>
        <w:t xml:space="preserve">Platform engineering  |  Verify: </w:t>
      </w:r>
      <w:hyperlink w:anchor="test_CT_015">
        <w:r>
          <w:rPr>
            <w:rStyle w:val="Hyperlink"/>
          </w:rPr>
          <w:t>CT-015</w:t>
        </w:r>
      </w:hyperlink>
      <w:r>
        <w:rPr/>
        <w:t xml:space="preserve">, </w:t>
      </w:r>
      <w:hyperlink w:anchor="test_CT_018">
        <w:r>
          <w:rPr>
            <w:rStyle w:val="Hyperlink"/>
          </w:rPr>
          <w:t>CT-018</w:t>
        </w:r>
      </w:hyperlink>
      <w:r>
        <w:rPr/>
        <w:t xml:space="preserve">, </w:t>
      </w:r>
      <w:hyperlink w:anchor="test_CT_065">
        <w:r>
          <w:rPr>
            <w:rStyle w:val="Hyperlink"/>
          </w:rPr>
          <w:t>CT-065</w:t>
        </w:r>
      </w:hyperlink>
      <w:r>
        <w:rPr/>
        <w:t xml:space="preserve">, </w:t>
      </w:r>
      <w:hyperlink w:anchor="test_CT_080">
        <w:r>
          <w:rPr>
            <w:rStyle w:val="Hyperlink"/>
          </w:rPr>
          <w:t>CT-080</w:t>
        </w:r>
      </w:hyperlink>
      <w:r>
        <w:rPr/>
        <w:t xml:space="preserve">  |  Basis: </w:t>
      </w:r>
      <w:hyperlink w:anchor="S00">
        <w:r>
          <w:rPr>
            <w:rStyle w:val="Hyperlink"/>
          </w:rPr>
          <w:t>S00</w:t>
        </w:r>
      </w:hyperlink>
      <w:r>
        <w:rPr/>
        <w:t xml:space="preserve">  |  retained-v1.0</w:t>
      </w:r>
    </w:p>
    <w:p>
      <w:pPr>
        <w:pStyle w:val="Requirement"/>
        <w:keepNext w:val="true"/>
        <w:rPr/>
      </w:pPr>
      <w:bookmarkStart w:id="212" w:name="req_FUT_002"/>
      <w:bookmarkEnd w:id="212"/>
      <w:r>
        <w:rPr>
          <w:rStyle w:val="ReqID"/>
        </w:rPr>
        <w:t xml:space="preserve">FUT-002  </w:t>
      </w:r>
      <w:r>
        <w:rPr/>
        <w:t>A platform SHALL declare unsupported capabilities explicitly; unsupported capabilities SHALL NOT be emulated by weakening a mandatory control.</w:t>
      </w:r>
    </w:p>
    <w:p>
      <w:pPr>
        <w:pStyle w:val="ReqMeta"/>
        <w:rPr/>
      </w:pPr>
      <w:r>
        <w:rPr/>
        <w:t xml:space="preserve">Platform engineering  |  Verify: </w:t>
      </w:r>
      <w:hyperlink w:anchor="test_CT_018">
        <w:r>
          <w:rPr>
            <w:rStyle w:val="Hyperlink"/>
          </w:rPr>
          <w:t>CT-018</w:t>
        </w:r>
      </w:hyperlink>
      <w:r>
        <w:rPr/>
        <w:t xml:space="preserve">, </w:t>
      </w:r>
      <w:hyperlink w:anchor="test_CT_065">
        <w:r>
          <w:rPr>
            <w:rStyle w:val="Hyperlink"/>
          </w:rPr>
          <w:t>CT-065</w:t>
        </w:r>
      </w:hyperlink>
      <w:r>
        <w:rPr/>
        <w:t xml:space="preserve">  |  Basis: </w:t>
      </w:r>
      <w:hyperlink w:anchor="S00">
        <w:r>
          <w:rPr>
            <w:rStyle w:val="Hyperlink"/>
          </w:rPr>
          <w:t>S00</w:t>
        </w:r>
      </w:hyperlink>
      <w:r>
        <w:rPr/>
        <w:t xml:space="preserve">  |  retained-v1.0</w:t>
      </w:r>
    </w:p>
    <w:p>
      <w:pPr>
        <w:pStyle w:val="Requirement"/>
        <w:keepNext w:val="true"/>
        <w:rPr/>
      </w:pPr>
      <w:bookmarkStart w:id="213" w:name="req_FUT_003"/>
      <w:bookmarkEnd w:id="213"/>
      <w:r>
        <w:rPr>
          <w:rStyle w:val="ReqID"/>
        </w:rPr>
        <w:t xml:space="preserve">FUT-003  </w:t>
      </w:r>
      <w:r>
        <w:rPr/>
        <w:t>Bare-metal and container profiles SHALL explicitly qualify host/control-plane, network, storage and lifecycle isolation; namespaces, projects and physical VRFs SHALL NOT alone be accepted as evidence of a complete security boundary.</w:t>
      </w:r>
    </w:p>
    <w:p>
      <w:pPr>
        <w:pStyle w:val="ReqMeta"/>
        <w:rPr/>
      </w:pPr>
      <w:r>
        <w:rPr/>
        <w:t xml:space="preserve">Platform engineering  |  Verify: </w:t>
      </w:r>
      <w:hyperlink w:anchor="test_CT_035">
        <w:r>
          <w:rPr>
            <w:rStyle w:val="Hyperlink"/>
          </w:rPr>
          <w:t>CT-035</w:t>
        </w:r>
      </w:hyperlink>
      <w:r>
        <w:rPr/>
        <w:t xml:space="preserve">, </w:t>
      </w:r>
      <w:hyperlink w:anchor="test_CT_037">
        <w:r>
          <w:rPr>
            <w:rStyle w:val="Hyperlink"/>
          </w:rPr>
          <w:t>CT-037</w:t>
        </w:r>
      </w:hyperlink>
      <w:r>
        <w:rPr/>
        <w:t xml:space="preserve">, </w:t>
      </w:r>
      <w:hyperlink w:anchor="test_CT_059">
        <w:r>
          <w:rPr>
            <w:rStyle w:val="Hyperlink"/>
          </w:rPr>
          <w:t>CT-059</w:t>
        </w:r>
      </w:hyperlink>
      <w:r>
        <w:rPr/>
        <w:t xml:space="preserve">, </w:t>
      </w:r>
      <w:hyperlink w:anchor="test_CT_065">
        <w:r>
          <w:rPr>
            <w:rStyle w:val="Hyperlink"/>
          </w:rPr>
          <w:t>CT-065</w:t>
        </w:r>
      </w:hyperlink>
      <w:r>
        <w:rPr/>
        <w:t xml:space="preserve">, </w:t>
      </w:r>
      <w:hyperlink w:anchor="test_CT_072">
        <w:r>
          <w:rPr>
            <w:rStyle w:val="Hyperlink"/>
          </w:rPr>
          <w:t>CT-072</w:t>
        </w:r>
      </w:hyperlink>
      <w:r>
        <w:rPr/>
        <w:t xml:space="preserve">  |  Basis: </w:t>
      </w:r>
      <w:hyperlink w:anchor="S25">
        <w:r>
          <w:rPr>
            <w:rStyle w:val="Hyperlink"/>
          </w:rPr>
          <w:t>S25</w:t>
        </w:r>
      </w:hyperlink>
      <w:r>
        <w:rPr/>
        <w:t xml:space="preserve"> / </w:t>
      </w:r>
      <w:hyperlink w:anchor="S26">
        <w:r>
          <w:rPr>
            <w:rStyle w:val="Hyperlink"/>
          </w:rPr>
          <w:t>S26</w:t>
        </w:r>
      </w:hyperlink>
      <w:r>
        <w:rPr/>
        <w:t xml:space="preserve">  |  new-v1.1</w:t>
      </w:r>
    </w:p>
    <w:p>
      <w:pPr>
        <w:pStyle w:val="Normal"/>
        <w:rPr/>
      </w:pPr>
      <w:r>
        <w:rPr/>
      </w:r>
      <w:r>
        <w:br w:type="page"/>
      </w:r>
    </w:p>
    <w:p>
      <w:pPr>
        <w:pStyle w:val="Heading1"/>
        <w:spacing w:before="0" w:after="180"/>
        <w:rPr/>
      </w:pPr>
      <w:bookmarkStart w:id="214" w:name="__RefHeading___Toc13369_1645000677"/>
      <w:bookmarkStart w:id="215" w:name="part_5"/>
      <w:bookmarkEnd w:id="214"/>
      <w:r>
        <w:rPr/>
        <w:t>Part V — Service control plane and automation</w:t>
      </w:r>
      <w:bookmarkEnd w:id="215"/>
    </w:p>
    <w:p>
      <w:pPr>
        <w:pStyle w:val="Heading2"/>
        <w:numPr>
          <w:ilvl w:val="0"/>
          <w:numId w:val="7"/>
        </w:numPr>
        <w:rPr/>
      </w:pPr>
      <w:bookmarkStart w:id="216" w:name="__RefHeading___Toc13371_1645000677"/>
      <w:bookmarkStart w:id="217" w:name="sec_39"/>
      <w:bookmarkEnd w:id="216"/>
      <w:r>
        <w:rPr/>
        <w:t>Canonical API, object ownership and status</w:t>
      </w:r>
      <w:bookmarkEnd w:id="217"/>
    </w:p>
    <w:p>
      <w:pPr>
        <w:pStyle w:val="BodyText"/>
        <w:rPr/>
      </w:pPr>
      <w:r>
        <w:rPr/>
        <w:t>The API exposes versioned desired intent. The object envelope contains apiVersion, kind, metadata and spec; the controller maintains status through a separate authorization path. Metadata includes immutable identity, tenant scope, generation/resource version, ownership and lifecycle references. Status records observedGeneration, conditions, operation ID, qualified realization references and current evidence. A consumer-supplied “approved” or “compliant” value is never authoritative.</w:t>
      </w:r>
    </w:p>
    <w:p>
      <w:pPr>
        <w:pStyle w:val="BodyText"/>
        <w:rPr/>
      </w:pPr>
      <w:r>
        <w:rPr/>
        <w:t>The companion JSON Schema uses Draft 2020-12 and closes normal object fields to prevent silent acceptance of misspellings or vendor-specific escape hatches. Syntax validation is only the first gate: semantic admission resolves references and versions, checks role authority, rejects cross-tenant references, validates zone adjacency, and proves capability/placement compatibility. Arrays with identity-bearing members are unique by logical ID, not merely by identical JSON bytes. [</w:t>
      </w:r>
      <w:hyperlink w:anchor="S30">
        <w:r>
          <w:rPr>
            <w:rStyle w:val="Hyperlink"/>
          </w:rPr>
          <w:t>S30</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014"/>
        <w:gridCol w:w="7561"/>
      </w:tblGrid>
      <w:tr>
        <w:trPr>
          <w:tblHeader w:val="true"/>
          <w:cantSplit w:val="true"/>
        </w:trPr>
        <w:tc>
          <w:tcPr>
            <w:tcW w:w="201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API behavior</w:t>
            </w:r>
          </w:p>
        </w:tc>
        <w:tc>
          <w:tcPr>
            <w:tcW w:w="756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contract</w:t>
            </w:r>
          </w:p>
        </w:tc>
      </w:tr>
      <w:tr>
        <w:trPr>
          <w:cantSplit w:val="true"/>
        </w:trPr>
        <w:tc>
          <w:tcPr>
            <w:tcW w:w="20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Create</w:t>
            </w:r>
          </w:p>
        </w:tc>
        <w:tc>
          <w:tcPr>
            <w:tcW w:w="756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Idempotency key; explicit owner and entitled profile references; no raw vendor topology</w:t>
            </w:r>
          </w:p>
        </w:tc>
      </w:tr>
      <w:tr>
        <w:trPr>
          <w:cantSplit w:val="true"/>
        </w:trPr>
        <w:tc>
          <w:tcPr>
            <w:tcW w:w="20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Update</w:t>
            </w:r>
          </w:p>
        </w:tc>
        <w:tc>
          <w:tcPr>
            <w:tcW w:w="756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Expected generation/resource version; reject stale updates; separate security-sensitive approval</w:t>
            </w:r>
          </w:p>
        </w:tc>
      </w:tr>
      <w:tr>
        <w:trPr>
          <w:cantSplit w:val="true"/>
        </w:trPr>
        <w:tc>
          <w:tcPr>
            <w:tcW w:w="20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Observe</w:t>
            </w:r>
          </w:p>
        </w:tc>
        <w:tc>
          <w:tcPr>
            <w:tcW w:w="756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Current desired and observed generation, non-secret conditions and operation history</w:t>
            </w:r>
          </w:p>
        </w:tc>
      </w:tr>
      <w:tr>
        <w:trPr>
          <w:cantSplit w:val="true"/>
        </w:trPr>
        <w:tc>
          <w:tcPr>
            <w:tcW w:w="20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Delete</w:t>
            </w:r>
          </w:p>
        </w:tc>
        <w:tc>
          <w:tcPr>
            <w:tcW w:w="756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Retirement request with dependency/retention finalizers; not an immediate blind destroy</w:t>
            </w:r>
          </w:p>
        </w:tc>
      </w:tr>
      <w:tr>
        <w:trPr>
          <w:cantSplit w:val="true"/>
        </w:trPr>
        <w:tc>
          <w:tcPr>
            <w:tcW w:w="201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Convert version</w:t>
            </w:r>
          </w:p>
        </w:tc>
        <w:tc>
          <w:tcPr>
            <w:tcW w:w="756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Published conversion, explicit defaults and no silent expansion of security permissions</w:t>
            </w:r>
          </w:p>
        </w:tc>
      </w:tr>
      <w:tr>
        <w:trPr>
          <w:cantSplit w:val="true"/>
        </w:trPr>
        <w:tc>
          <w:tcPr>
            <w:tcW w:w="201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Errors</w:t>
            </w:r>
          </w:p>
        </w:tc>
        <w:tc>
          <w:tcPr>
            <w:tcW w:w="756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Machine-readable reason, failing field/constraint and retry classification; no secret leakage</w:t>
            </w:r>
          </w:p>
        </w:tc>
      </w:tr>
    </w:tbl>
    <w:p>
      <w:pPr>
        <w:pStyle w:val="BodyText"/>
        <w:rPr/>
      </w:pPr>
      <w:r>
        <w:rPr/>
        <w:t>Use a major-version change for a breaking semantic change; a compatible minor revision can add optional capabilities only with explicit safe defaults. The package’s hosting.platform/v1.1 contract is the proposed revision baseline, not a claim that an existing controller already supports it. Legacy illustrative v1 requests require an explicit migration because the new contract separates category fields, references typed profiles and removes REZ from internal domain enums.</w:t>
      </w:r>
    </w:p>
    <w:p>
      <w:pPr>
        <w:pStyle w:val="Requirement"/>
        <w:keepNext w:val="true"/>
        <w:rPr/>
      </w:pPr>
      <w:bookmarkStart w:id="218" w:name="req_API_001"/>
      <w:bookmarkEnd w:id="218"/>
      <w:r>
        <w:rPr>
          <w:rStyle w:val="ReqID"/>
        </w:rPr>
        <w:t xml:space="preserve">API-001  </w:t>
      </w:r>
      <w:r>
        <w:rPr/>
        <w:t>The portable API SHALL be versioned and backward-compatibility rules SHALL be published.</w:t>
      </w:r>
    </w:p>
    <w:p>
      <w:pPr>
        <w:pStyle w:val="ReqMeta"/>
        <w:rPr/>
      </w:pPr>
      <w:r>
        <w:rPr/>
        <w:t xml:space="preserve">Automation platform  |  Verify: </w:t>
      </w:r>
      <w:hyperlink w:anchor="test_CT_016">
        <w:r>
          <w:rPr>
            <w:rStyle w:val="Hyperlink"/>
          </w:rPr>
          <w:t>CT-016</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retained-v1.0</w:t>
      </w:r>
    </w:p>
    <w:p>
      <w:pPr>
        <w:pStyle w:val="Requirement"/>
        <w:keepNext w:val="true"/>
        <w:rPr/>
      </w:pPr>
      <w:bookmarkStart w:id="219" w:name="req_API_002"/>
      <w:bookmarkEnd w:id="219"/>
      <w:r>
        <w:rPr>
          <w:rStyle w:val="ReqID"/>
        </w:rPr>
        <w:t xml:space="preserve">API-002  </w:t>
      </w:r>
      <w:r>
        <w:rPr/>
        <w:t>Vendor identifiers, VLAN/VNI/VRF details, route targets, raw firewall rules and raw next-hop routes SHALL NOT be part of the normal consumer contract.</w:t>
      </w:r>
    </w:p>
    <w:p>
      <w:pPr>
        <w:pStyle w:val="ReqMeta"/>
        <w:rPr/>
      </w:pPr>
      <w:r>
        <w:rPr/>
        <w:t xml:space="preserve">Automation platform  |  Verify: </w:t>
      </w:r>
      <w:hyperlink w:anchor="test_CT_017">
        <w:r>
          <w:rPr>
            <w:rStyle w:val="Hyperlink"/>
          </w:rPr>
          <w:t>CT-017</w:t>
        </w:r>
      </w:hyperlink>
      <w:r>
        <w:rPr/>
        <w:t xml:space="preserve">, </w:t>
      </w:r>
      <w:hyperlink w:anchor="test_CT_019">
        <w:r>
          <w:rPr>
            <w:rStyle w:val="Hyperlink"/>
          </w:rPr>
          <w:t>CT-019</w:t>
        </w:r>
      </w:hyperlink>
      <w:r>
        <w:rPr/>
        <w:t xml:space="preserve">  |  Basis: </w:t>
      </w:r>
      <w:hyperlink w:anchor="S00">
        <w:r>
          <w:rPr>
            <w:rStyle w:val="Hyperlink"/>
          </w:rPr>
          <w:t>S00</w:t>
        </w:r>
      </w:hyperlink>
      <w:r>
        <w:rPr/>
        <w:t xml:space="preserve">  |  retained-v1.0</w:t>
      </w:r>
    </w:p>
    <w:p>
      <w:pPr>
        <w:pStyle w:val="Requirement"/>
        <w:keepNext w:val="true"/>
        <w:rPr/>
      </w:pPr>
      <w:bookmarkStart w:id="220" w:name="req_API_003"/>
      <w:bookmarkEnd w:id="220"/>
      <w:r>
        <w:rPr>
          <w:rStyle w:val="ReqID"/>
        </w:rPr>
        <w:t xml:space="preserve">API-003  </w:t>
      </w:r>
      <w:r>
        <w:rPr/>
        <w:t>The API SHALL enforce immutable IDs, idempotent create, optimistic concurrency, typed/closed schemas, authorized references and controller-owned status; stale or unauthorized updates SHALL fail before side effects.</w:t>
      </w:r>
    </w:p>
    <w:p>
      <w:pPr>
        <w:pStyle w:val="ReqMeta"/>
        <w:rPr/>
      </w:pPr>
      <w:r>
        <w:rPr/>
        <w:t xml:space="preserve">Automation platform  |  Verify: </w:t>
      </w:r>
      <w:hyperlink w:anchor="test_CT_017">
        <w:r>
          <w:rPr>
            <w:rStyle w:val="Hyperlink"/>
          </w:rPr>
          <w:t>CT-017</w:t>
        </w:r>
      </w:hyperlink>
      <w:r>
        <w:rPr/>
        <w:t xml:space="preserve">, </w:t>
      </w:r>
      <w:hyperlink w:anchor="test_CT_046">
        <w:r>
          <w:rPr>
            <w:rStyle w:val="Hyperlink"/>
          </w:rPr>
          <w:t>CT-046</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new-v1.1</w:t>
      </w:r>
    </w:p>
    <w:p>
      <w:pPr>
        <w:pStyle w:val="Heading2"/>
        <w:numPr>
          <w:ilvl w:val="0"/>
          <w:numId w:val="7"/>
        </w:numPr>
        <w:rPr/>
      </w:pPr>
      <w:bookmarkStart w:id="221" w:name="__RefHeading___Toc13373_1645000677"/>
      <w:bookmarkStart w:id="222" w:name="sec_40"/>
      <w:bookmarkEnd w:id="221"/>
      <w:r>
        <w:rPr/>
        <w:t>Admission, Flow Intention and policy compilation</w:t>
      </w:r>
      <w:bookmarkEnd w:id="222"/>
    </w:p>
    <w:p>
      <w:pPr>
        <w:pStyle w:val="BodyText"/>
        <w:rPr/>
      </w:pPr>
      <w:r>
        <w:rPr/>
        <w:t>Admission evaluates portable intent first, then checks provider plans as a second layer. A Flow Intention identifies source and destination workload/service identity, a versioned FlowProfile, permitted initiation direction, purpose, owner, lifetime and logging requirement. The profile resolves protocol/ports, statefulness, required TLS/application identity and optional L7/FQDN controls. A flow request is not a raw firewall rule or a substitute for application authorization.</w:t>
      </w:r>
    </w:p>
    <w:p>
      <w:pPr>
        <w:pStyle w:val="BodyText"/>
        <w:rPr/>
      </w:pPr>
      <w:r>
        <w:rPr/>
        <w:t>The compiler resolves labels to authoritative identities and networks; classifies same-domain, cross-domain, management or external traffic; validates the zone graph; selects an eligible enforcement pattern; computes required routes and service attachments; and emits policies with a stable intent-to-rule mapping. Mandatory provider denies and incident containment dominate ordinary tenant allow policy. Rule changes include established-session handling and membership convergence.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374"/>
        <w:gridCol w:w="7201"/>
      </w:tblGrid>
      <w:tr>
        <w:trPr>
          <w:tblHeader w:val="true"/>
          <w:cantSplit w:val="true"/>
        </w:trPr>
        <w:tc>
          <w:tcPr>
            <w:tcW w:w="237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Admission input</w:t>
            </w:r>
          </w:p>
        </w:tc>
        <w:tc>
          <w:tcPr>
            <w:tcW w:w="720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Reject when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Owner / tenant / entitlement</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Identity cannot act for the referenced tenant or exceeds service scope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Profiles / category</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Reference is unknown, mutable, expired, ineligible or contradicts a mandatory requirement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Zone / external graph</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Direct public/internal attachment, unapproved partner relation or missing ZIP authority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Flow / service binding</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Unknown identity/service, missing direction, unsupported security function or hidden broad scope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Placement / capacity</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 qualified tuple, insufficient failure headroom or prohibited co-residency/location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Plan / approval</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Unapproved topology, secret exposure, stale state/policy generation or expired approval</w:t>
            </w:r>
          </w:p>
        </w:tc>
      </w:tr>
    </w:tbl>
    <w:p>
      <w:pPr>
        <w:pStyle w:val="BodyText"/>
        <w:rPr/>
      </w:pPr>
      <w:r>
        <w:rPr/>
        <w:t>The control plane records both the admitted request and normalized intent. It should explain denial in terms of consumer outcomes rather than exposing internal route targets. No tenant-created exception object grants a waiver: the exception must resolve to an approved, scoped and current authority record. An admission-engine outage prevents new security-significant changes while preserving the existing verified data-plane policy.</w:t>
      </w:r>
    </w:p>
    <w:p>
      <w:pPr>
        <w:pStyle w:val="Requirement"/>
        <w:keepNext w:val="true"/>
        <w:rPr/>
      </w:pPr>
      <w:bookmarkStart w:id="223" w:name="req_POL_001"/>
      <w:bookmarkEnd w:id="223"/>
      <w:r>
        <w:rPr>
          <w:rStyle w:val="ReqID"/>
        </w:rPr>
        <w:t xml:space="preserve">POL-001  </w:t>
      </w:r>
      <w:r>
        <w:rPr/>
        <w:t>Admission policy SHALL be provider independent wherever the rule expresses an architectural invariant.</w:t>
      </w:r>
    </w:p>
    <w:p>
      <w:pPr>
        <w:pStyle w:val="ReqMeta"/>
        <w:rPr/>
      </w:pPr>
      <w:r>
        <w:rPr/>
        <w:t xml:space="preserve">Automation platform  |  Verify: </w:t>
      </w:r>
      <w:hyperlink w:anchor="test_CT_017">
        <w:r>
          <w:rPr>
            <w:rStyle w:val="Hyperlink"/>
          </w:rPr>
          <w:t>CT-017</w:t>
        </w:r>
      </w:hyperlink>
      <w:r>
        <w:rPr/>
        <w:t xml:space="preserve">, </w:t>
      </w:r>
      <w:hyperlink w:anchor="test_CT_025">
        <w:r>
          <w:rPr>
            <w:rStyle w:val="Hyperlink"/>
          </w:rPr>
          <w:t>CT-025</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retained-v1.0</w:t>
      </w:r>
    </w:p>
    <w:p>
      <w:pPr>
        <w:pStyle w:val="Requirement"/>
        <w:keepNext w:val="true"/>
        <w:rPr/>
      </w:pPr>
      <w:bookmarkStart w:id="224" w:name="req_POL_002"/>
      <w:bookmarkEnd w:id="224"/>
      <w:r>
        <w:rPr>
          <w:rStyle w:val="ReqID"/>
        </w:rPr>
        <w:t xml:space="preserve">POL-002  </w:t>
      </w:r>
      <w:r>
        <w:rPr/>
        <w:t>Provider-specific plan checks SHOULD validate that the adapter compiled the intent into the expected native constructs.</w:t>
      </w:r>
    </w:p>
    <w:p>
      <w:pPr>
        <w:pStyle w:val="ReqMeta"/>
        <w:rPr/>
      </w:pPr>
      <w:r>
        <w:rPr/>
        <w:t xml:space="preserve">Automation platform  |  Verify: </w:t>
      </w:r>
      <w:hyperlink w:anchor="test_CT_009">
        <w:r>
          <w:rPr>
            <w:rStyle w:val="Hyperlink"/>
          </w:rPr>
          <w:t>CT-009</w:t>
        </w:r>
      </w:hyperlink>
      <w:r>
        <w:rPr/>
        <w:t xml:space="preserve">, </w:t>
      </w:r>
      <w:hyperlink w:anchor="test_CT_048">
        <w:r>
          <w:rPr>
            <w:rStyle w:val="Hyperlink"/>
          </w:rPr>
          <w:t>CT-048</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retained-v1.0</w:t>
      </w:r>
    </w:p>
    <w:p>
      <w:pPr>
        <w:pStyle w:val="Requirement"/>
        <w:keepNext w:val="true"/>
        <w:rPr/>
      </w:pPr>
      <w:bookmarkStart w:id="225" w:name="req_FLOW_001"/>
      <w:bookmarkEnd w:id="225"/>
      <w:r>
        <w:rPr>
          <w:rStyle w:val="ReqID"/>
        </w:rPr>
        <w:t xml:space="preserve">FLOW-001  </w:t>
      </w:r>
      <w:r>
        <w:rPr/>
        <w:t>Flow Intentions SHALL resolve explicit identities, service/profile version, initiation direction, lifetime, purpose and logging; compilation SHALL preserve mandatory policy precedence and enforce approved session-revocation behavior.</w:t>
      </w:r>
    </w:p>
    <w:p>
      <w:pPr>
        <w:pStyle w:val="ReqMeta"/>
        <w:rPr/>
      </w:pPr>
      <w:r>
        <w:rPr/>
        <w:t xml:space="preserve">Security-edge operations  |  Verify: </w:t>
      </w:r>
      <w:hyperlink w:anchor="test_CT_007">
        <w:r>
          <w:rPr>
            <w:rStyle w:val="Hyperlink"/>
          </w:rPr>
          <w:t>CT-007</w:t>
        </w:r>
      </w:hyperlink>
      <w:r>
        <w:rPr/>
        <w:t xml:space="preserve">, </w:t>
      </w:r>
      <w:hyperlink w:anchor="test_CT_020">
        <w:r>
          <w:rPr>
            <w:rStyle w:val="Hyperlink"/>
          </w:rPr>
          <w:t>CT-020</w:t>
        </w:r>
      </w:hyperlink>
      <w:r>
        <w:rPr/>
        <w:t xml:space="preserve">, </w:t>
      </w:r>
      <w:hyperlink w:anchor="test_CT_066">
        <w:r>
          <w:rPr>
            <w:rStyle w:val="Hyperlink"/>
          </w:rPr>
          <w:t>CT-066</w:t>
        </w:r>
      </w:hyperlink>
      <w:r>
        <w:rPr/>
        <w:t xml:space="preserve">, </w:t>
      </w:r>
      <w:hyperlink w:anchor="test_CT_077">
        <w:r>
          <w:rPr>
            <w:rStyle w:val="Hyperlink"/>
          </w:rPr>
          <w:t>CT-077</w:t>
        </w:r>
      </w:hyperlink>
      <w:r>
        <w:rPr/>
        <w:t xml:space="preserve">  |  Basis: </w:t>
      </w:r>
      <w:hyperlink w:anchor="S00">
        <w:r>
          <w:rPr>
            <w:rStyle w:val="Hyperlink"/>
          </w:rPr>
          <w:t>S00</w:t>
        </w:r>
      </w:hyperlink>
      <w:r>
        <w:rPr/>
        <w:t xml:space="preserve">  |  new-v1.1</w:t>
      </w:r>
    </w:p>
    <w:p>
      <w:pPr>
        <w:pStyle w:val="Heading2"/>
        <w:numPr>
          <w:ilvl w:val="0"/>
          <w:numId w:val="7"/>
        </w:numPr>
        <w:rPr/>
      </w:pPr>
      <w:bookmarkStart w:id="226" w:name="__RefHeading___Toc13375_1645000677"/>
      <w:bookmarkStart w:id="227" w:name="sec_41"/>
      <w:bookmarkEnd w:id="226"/>
      <w:r>
        <w:rPr/>
        <w:t>Zero-touch provisioning and reconciliation workflow</w:t>
      </w:r>
      <w:bookmarkEnd w:id="227"/>
    </w:p>
    <w:p>
      <w:pPr>
        <w:pStyle w:val="BodyText"/>
        <w:rPr/>
      </w:pPr>
      <w:r>
        <w:rPr/>
        <w:t>Zero-touch means routine approved intent can be realized without manual device editing; it does not remove risk-based approval, initial platform commissioning or safe failure handling. Placement, IPAM and route compilation are mutually constrained: first resolve candidate site/domain/address eligibility, reserve the selected resources, then compile the final graph. Do not allocate a site-specific address before knowing that the selected platform can satisfy it.</w:t>
      </w:r>
    </w:p>
    <w:p>
      <w:pPr>
        <w:pStyle w:val="Normal"/>
        <w:keepNext w:val="true"/>
        <w:jc w:val="center"/>
        <w:rPr/>
      </w:pPr>
      <w:r>
        <w:rPr/>
        <w:drawing>
          <wp:inline distT="0" distB="0" distL="0" distR="0">
            <wp:extent cx="3883025" cy="5029200"/>
            <wp:effectExtent l="0" t="0" r="0" b="0"/>
            <wp:docPr id="4" name="Picture 4" descr="Request enters authorization/schema/profile admission, then candidate placement and reservation. Policy and route compilation precede immutable planning and approval. Authority-specific actuators create deny-protected resources, then realization tests and evidence complete. Only the final readiness gate enables exposure. Failures return to journaled reconciliation or restricted state, not an alternate permissive path." title="A journaled reconciliation pipeline with readiness as a gat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quest enters authorization/schema/profile admission, then candidate placement and reservation. Policy and route compilation precede immutable planning and approval. Authority-specific actuators create deny-protected resources, then realization tests and evidence complete. Only the final readiness gate enables exposure. Failures return to journaled reconciliation or restricted state, not an alternate permissive path." title="A journaled reconciliation pipeline with readiness as a gated state"/>
                    <pic:cNvPicPr>
                      <a:picLocks noChangeAspect="1" noChangeArrowheads="1"/>
                    </pic:cNvPicPr>
                  </pic:nvPicPr>
                  <pic:blipFill>
                    <a:blip r:embed="rId5"/>
                    <a:stretch>
                      <a:fillRect/>
                    </a:stretch>
                  </pic:blipFill>
                  <pic:spPr bwMode="auto">
                    <a:xfrm>
                      <a:off x="0" y="0"/>
                      <a:ext cx="3883025" cy="5029200"/>
                    </a:xfrm>
                    <a:prstGeom prst="rect">
                      <a:avLst/>
                    </a:prstGeom>
                    <a:noFill/>
                  </pic:spPr>
                </pic:pic>
              </a:graphicData>
            </a:graphic>
          </wp:inline>
        </w:drawing>
      </w:r>
    </w:p>
    <w:p>
      <w:pPr>
        <w:pStyle w:val="Caption"/>
        <w:jc w:val="center"/>
        <w:rPr/>
      </w:pPr>
      <w:r>
        <w:rPr/>
        <w:t xml:space="preserve">Figure </w:t>
      </w:r>
      <w:bookmarkStart w:id="228" w:name="fig_pipeline"/>
      <w:r>
        <w:rPr/>
        <w:fldChar w:fldCharType="begin"/>
      </w:r>
      <w:r>
        <w:rPr/>
        <w:instrText xml:space="preserve"> SEQ Figure \* ARABIC </w:instrText>
      </w:r>
      <w:r>
        <w:rPr/>
        <w:fldChar w:fldCharType="separate"/>
      </w:r>
      <w:r>
        <w:rPr/>
        <w:t>4</w:t>
      </w:r>
      <w:r>
        <w:rPr/>
        <w:fldChar w:fldCharType="end"/>
      </w:r>
      <w:bookmarkEnd w:id="228"/>
      <w:r>
        <w:rPr/>
        <w:t>. A journaled reconciliation pipeline with readiness as a gated state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232"/>
        <w:gridCol w:w="7343"/>
      </w:tblGrid>
      <w:tr>
        <w:trPr>
          <w:tblHeader w:val="true"/>
          <w:cantSplit w:val="true"/>
        </w:trPr>
        <w:tc>
          <w:tcPr>
            <w:tcW w:w="223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Stage</w:t>
            </w:r>
          </w:p>
        </w:tc>
        <w:tc>
          <w:tcPr>
            <w:tcW w:w="734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Commit condition and failure handling</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 Admit intent</w:t>
            </w:r>
          </w:p>
        </w:tc>
        <w:tc>
          <w:tcPr>
            <w:tcW w:w="734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Resolve identity/profiles, schema and semantic constraints; reject before allocation on failure.</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 Select and reserve</w:t>
            </w:r>
          </w:p>
        </w:tc>
        <w:tc>
          <w:tcPr>
            <w:tcW w:w="734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Choose qualified candidate; atomically reserve quota, capacity and addresses with operation ID.</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 Compile and plan</w:t>
            </w:r>
          </w:p>
        </w:tc>
        <w:tc>
          <w:tcPr>
            <w:tcW w:w="734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Generate route/policy/attachment graph; create immutable input and provider-plan digests.</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 Approve and execute</w:t>
            </w:r>
          </w:p>
        </w:tc>
        <w:tc>
          <w:tcPr>
            <w:tcW w:w="734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Check fresh approval/state generations; run separate least-privileged actuators in dependency order.</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 Realize under deny</w:t>
            </w:r>
          </w:p>
        </w:tc>
        <w:tc>
          <w:tcPr>
            <w:tcW w:w="734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Wait for native readiness; maintain quarantine/default deny before exposure.</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 Verify and record</w:t>
            </w:r>
          </w:p>
        </w:tc>
        <w:tc>
          <w:tcPr>
            <w:tcW w:w="734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Run required tests; reconcile inventory and protected evidence for current generation.</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7. Activate service</w:t>
            </w:r>
          </w:p>
        </w:tc>
        <w:tc>
          <w:tcPr>
            <w:tcW w:w="734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Evaluate technical and authorization conditions, then enable approved exposure and mark Ready.</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8. Reconcile continuously</w:t>
            </w:r>
          </w:p>
        </w:tc>
        <w:tc>
          <w:tcPr>
            <w:tcW w:w="734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Detect drift/dependency changes; journal retries, compensation or operator intervention.</w:t>
            </w:r>
          </w:p>
        </w:tc>
      </w:tr>
    </w:tbl>
    <w:p>
      <w:pPr>
        <w:pStyle w:val="BodyText"/>
        <w:rPr/>
      </w:pPr>
      <w:r>
        <w:rPr/>
        <w:t>The controller owns an operation journal containing idempotency keys, resource identities, reservation leases, intended steps, executed actions, state generations, native request IDs and evidence. Retrying reuses identities and discovers actual state; it does not assume the previous operation failed because its response was lost. A failed operation enters Restricted or Failed with a resumable plan. Partial infrastructure remains denied and owned until safely converged or removed.</w:t>
      </w:r>
    </w:p>
    <w:p>
      <w:pPr>
        <w:pStyle w:val="Requirement"/>
        <w:keepNext w:val="true"/>
        <w:rPr/>
      </w:pPr>
      <w:bookmarkStart w:id="229" w:name="req_AUTO_001"/>
      <w:bookmarkEnd w:id="229"/>
      <w:r>
        <w:rPr>
          <w:rStyle w:val="ReqID"/>
        </w:rPr>
        <w:t xml:space="preserve">AUTO-001  </w:t>
      </w:r>
      <w:r>
        <w:rPr/>
        <w:t>If security admission, IPAM, route authority, or mandatory policy validation is unavailable, new provisioning SHALL stop rather than inventing or bypassing required state.</w:t>
      </w:r>
    </w:p>
    <w:p>
      <w:pPr>
        <w:pStyle w:val="ReqMeta"/>
        <w:rPr/>
      </w:pPr>
      <w:r>
        <w:rPr/>
        <w:t xml:space="preserve">Automation platform  |  Verify: </w:t>
      </w:r>
      <w:hyperlink w:anchor="test_CT_011">
        <w:r>
          <w:rPr>
            <w:rStyle w:val="Hyperlink"/>
          </w:rPr>
          <w:t>CT-011</w:t>
        </w:r>
      </w:hyperlink>
      <w:r>
        <w:rPr/>
        <w:t xml:space="preserve">, </w:t>
      </w:r>
      <w:hyperlink w:anchor="test_CT_029">
        <w:r>
          <w:rPr>
            <w:rStyle w:val="Hyperlink"/>
          </w:rPr>
          <w:t>CT-029</w:t>
        </w:r>
      </w:hyperlink>
      <w:r>
        <w:rPr/>
        <w:t xml:space="preserve">, </w:t>
      </w:r>
      <w:hyperlink w:anchor="test_CT_045">
        <w:r>
          <w:rPr>
            <w:rStyle w:val="Hyperlink"/>
          </w:rPr>
          <w:t>CT-045</w:t>
        </w:r>
      </w:hyperlink>
      <w:r>
        <w:rPr/>
        <w:t xml:space="preserve">  |  Basis: </w:t>
      </w:r>
      <w:hyperlink w:anchor="S00">
        <w:r>
          <w:rPr>
            <w:rStyle w:val="Hyperlink"/>
          </w:rPr>
          <w:t>S00</w:t>
        </w:r>
      </w:hyperlink>
      <w:r>
        <w:rPr/>
        <w:t xml:space="preserve">  |  retained-v1.0</w:t>
      </w:r>
    </w:p>
    <w:p>
      <w:pPr>
        <w:pStyle w:val="Requirement"/>
        <w:keepNext w:val="true"/>
        <w:rPr/>
      </w:pPr>
      <w:bookmarkStart w:id="230" w:name="req_AUTO_002"/>
      <w:bookmarkEnd w:id="230"/>
      <w:r>
        <w:rPr>
          <w:rStyle w:val="ReqID"/>
        </w:rPr>
        <w:t xml:space="preserve">AUTO-002  </w:t>
      </w:r>
      <w:r>
        <w:rPr/>
        <w:t>Provisioning SHALL be journaled and idempotent, reserve only eligible capacity/addresses, enforce deny before attachment/exposure, and gate activation on realized current-generation evidence and authorization.</w:t>
      </w:r>
    </w:p>
    <w:p>
      <w:pPr>
        <w:pStyle w:val="ReqMeta"/>
        <w:rPr/>
      </w:pPr>
      <w:r>
        <w:rPr/>
        <w:t xml:space="preserve">Automation platform  |  Verify: </w:t>
      </w:r>
      <w:hyperlink w:anchor="test_CT_045">
        <w:r>
          <w:rPr>
            <w:rStyle w:val="Hyperlink"/>
          </w:rPr>
          <w:t>CT-045</w:t>
        </w:r>
      </w:hyperlink>
      <w:r>
        <w:rPr/>
        <w:t xml:space="preserve">, </w:t>
      </w:r>
      <w:hyperlink w:anchor="test_CT_046">
        <w:r>
          <w:rPr>
            <w:rStyle w:val="Hyperlink"/>
          </w:rPr>
          <w:t>CT-046</w:t>
        </w:r>
      </w:hyperlink>
      <w:r>
        <w:rPr/>
        <w:t xml:space="preserve">, </w:t>
      </w:r>
      <w:hyperlink w:anchor="test_CT_048">
        <w:r>
          <w:rPr>
            <w:rStyle w:val="Hyperlink"/>
          </w:rPr>
          <w:t>CT-048</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Requirement"/>
        <w:keepNext w:val="true"/>
        <w:rPr/>
      </w:pPr>
      <w:bookmarkStart w:id="231" w:name="req_AUTO_003"/>
      <w:bookmarkEnd w:id="231"/>
      <w:r>
        <w:rPr>
          <w:rStyle w:val="ReqID"/>
        </w:rPr>
        <w:t xml:space="preserve">AUTO-003  </w:t>
      </w:r>
      <w:r>
        <w:rPr/>
        <w:t>Retries SHALL distinguish transient, permanent and conflict failures, use bounded backoff/deadlines and preserve resource identity; uncertain outcomes SHALL be discovered and reconciled rather than duplicated.</w:t>
      </w:r>
    </w:p>
    <w:p>
      <w:pPr>
        <w:pStyle w:val="ReqMeta"/>
        <w:rPr/>
      </w:pPr>
      <w:r>
        <w:rPr/>
        <w:t xml:space="preserve">Automation platform  |  Verify: </w:t>
      </w:r>
      <w:hyperlink w:anchor="test_CT_045">
        <w:r>
          <w:rPr>
            <w:rStyle w:val="Hyperlink"/>
          </w:rPr>
          <w:t>CT-045</w:t>
        </w:r>
      </w:hyperlink>
      <w:r>
        <w:rPr/>
        <w:t xml:space="preserve">, </w:t>
      </w:r>
      <w:hyperlink w:anchor="test_CT_046">
        <w:r>
          <w:rPr>
            <w:rStyle w:val="Hyperlink"/>
          </w:rPr>
          <w:t>CT-046</w:t>
        </w:r>
      </w:hyperlink>
      <w:r>
        <w:rPr/>
        <w:t xml:space="preserve">, </w:t>
      </w:r>
      <w:hyperlink w:anchor="test_CT_047">
        <w:r>
          <w:rPr>
            <w:rStyle w:val="Hyperlink"/>
          </w:rPr>
          <w:t>CT-047</w:t>
        </w:r>
      </w:hyperlink>
      <w:r>
        <w:rPr/>
        <w:t xml:space="preserve">  |  Basis: </w:t>
      </w:r>
      <w:hyperlink w:anchor="S00">
        <w:r>
          <w:rPr>
            <w:rStyle w:val="Hyperlink"/>
          </w:rPr>
          <w:t>S00</w:t>
        </w:r>
      </w:hyperlink>
      <w:r>
        <w:rPr/>
        <w:t xml:space="preserve">  |  new-v1.1</w:t>
      </w:r>
    </w:p>
    <w:p>
      <w:pPr>
        <w:pStyle w:val="Heading2"/>
        <w:numPr>
          <w:ilvl w:val="0"/>
          <w:numId w:val="7"/>
        </w:numPr>
        <w:rPr/>
      </w:pPr>
      <w:bookmarkStart w:id="232" w:name="__RefHeading___Toc13377_1645000677"/>
      <w:bookmarkStart w:id="233" w:name="sec_42"/>
      <w:bookmarkEnd w:id="232"/>
      <w:r>
        <w:rPr/>
        <w:t>Terraform roots, adapters and reproducible inputs</w:t>
      </w:r>
      <w:bookmarkEnd w:id="233"/>
    </w:p>
    <w:p>
      <w:pPr>
        <w:pStyle w:val="BodyText"/>
        <w:rPr/>
      </w:pPr>
      <w:r>
        <w:rPr/>
        <w:t>Terraform is an actuator for an approved plan, not the consumer API, placement solver or authorization engine. The orchestrator selects a platform adapter before Terraform runs. Root modules configure providers and pass explicit aliases to focused child modules; reusable modules declare provider requirements rather than embedding credentials. Provider configuration in roots follows HashiCorp’s module guidance. [</w:t>
      </w:r>
      <w:hyperlink w:anchor="S13">
        <w:r>
          <w:rPr>
            <w:rStyle w:val="Hyperlink"/>
          </w:rPr>
          <w:t>S13</w:t>
        </w:r>
      </w:hyperlink>
      <w:r>
        <w:rPr/>
        <w:t>]</w:t>
      </w:r>
    </w:p>
    <w:p>
      <w:pPr>
        <w:pStyle w:val="BodyText"/>
        <w:rPr/>
      </w:pPr>
      <w:r>
        <w:rPr/>
        <w:t>Separate contracts, policy, registries, provider adapters, reusable modules, authority-specific root stacks, tests and evidence. A module interface represents one controlled lifecycle/authority scope. Do not create one giant cross-provider conditional module or a monolithic all-tenant state. Inputs are normalized JSON/YAML with secret references resolved only by the authorized runner. Native object IDs can appear in provider-internal outputs and evidence, not the public WSD contract.</w:t>
      </w:r>
    </w:p>
    <w:p>
      <w:pPr>
        <w:pStyle w:val="CodeBlock"/>
        <w:spacing w:lineRule="exact" w:line="210"/>
        <w:rPr/>
      </w:pPr>
      <w:r>
        <w:rPr/>
        <w:t>repository/</w:t>
        <w:br/>
        <w:t xml:space="preserve">  contracts/          # versioned object schemas and examples</w:t>
        <w:br/>
        <w:t xml:space="preserve">  profiles/           # controlled security/service/capability records</w:t>
        <w:br/>
        <w:t xml:space="preserve">  policy/             # admission, routing and readiness decisions</w:t>
        <w:br/>
        <w:t xml:space="preserve">  adapters/           # nutanix, nsx, openstack, qualified future targets</w:t>
        <w:br/>
        <w:t xml:space="preserve">  modules/            # provider-native, focused reusable resources</w:t>
        <w:br/>
        <w:t xml:space="preserve">  stacks/             # foundation, management, edge, domain, workload</w:t>
        <w:br/>
        <w:t xml:space="preserve">  tests/              # contract, semantic, integration, conformance</w:t>
        <w:br/>
        <w:t xml:space="preserve">  evidence/           # manifests and references; not plaintext secrets</w:t>
      </w:r>
    </w:p>
    <w:p>
      <w:pPr>
        <w:pStyle w:val="BodyText"/>
        <w:rPr/>
      </w:pPr>
      <w:r>
        <w:rPr/>
        <w:t>Commit provider dependency lockfiles and verify package checksums. The Terraform lockfile does not lock remote module selections, so modules use immutable registry versions or full commit identifiers and a separately recorded source digest. The build/run environment is also pinned and scanned. Upgrades are explicit dependency changes with a canary plan and conformance tests, not automatic drift to a moving “latest” release. [</w:t>
      </w:r>
      <w:hyperlink w:anchor="S14">
        <w:r>
          <w:rPr>
            <w:rStyle w:val="Hyperlink"/>
          </w:rPr>
          <w:t>S14</w:t>
        </w:r>
      </w:hyperlink>
      <w:r>
        <w:rPr/>
        <w:t>]</w:t>
      </w:r>
    </w:p>
    <w:p>
      <w:pPr>
        <w:pStyle w:val="Requirement"/>
        <w:keepNext w:val="true"/>
        <w:rPr/>
      </w:pPr>
      <w:bookmarkStart w:id="234" w:name="req_TF_001"/>
      <w:bookmarkEnd w:id="234"/>
      <w:r>
        <w:rPr>
          <w:rStyle w:val="ReqID"/>
        </w:rPr>
        <w:t xml:space="preserve">TF-001  </w:t>
      </w:r>
      <w:r>
        <w:rPr/>
        <w:t>Provider configuration SHALL be defined in root modules and passed to child modules; reusable child modules SHOULD NOT embed provider credentials/configuration.</w:t>
      </w:r>
    </w:p>
    <w:p>
      <w:pPr>
        <w:pStyle w:val="ReqMeta"/>
        <w:rPr/>
      </w:pPr>
      <w:r>
        <w:rPr/>
        <w:t xml:space="preserve">Automation platform  |  Verify: </w:t>
      </w:r>
      <w:hyperlink w:anchor="test_CT_042">
        <w:r>
          <w:rPr>
            <w:rStyle w:val="Hyperlink"/>
          </w:rPr>
          <w:t>CT-042</w:t>
        </w:r>
      </w:hyperlink>
      <w:r>
        <w:rPr/>
        <w:t xml:space="preserve">, </w:t>
      </w:r>
      <w:hyperlink w:anchor="test_CT_043">
        <w:r>
          <w:rPr>
            <w:rStyle w:val="Hyperlink"/>
          </w:rPr>
          <w:t>CT-043</w:t>
        </w:r>
      </w:hyperlink>
      <w:r>
        <w:rPr/>
        <w:t xml:space="preserve">  |  Basis: </w:t>
      </w:r>
      <w:hyperlink w:anchor="S00">
        <w:r>
          <w:rPr>
            <w:rStyle w:val="Hyperlink"/>
          </w:rPr>
          <w:t>S00</w:t>
        </w:r>
      </w:hyperlink>
      <w:r>
        <w:rPr/>
        <w:t xml:space="preserve"> / </w:t>
      </w:r>
      <w:hyperlink w:anchor="S13">
        <w:r>
          <w:rPr>
            <w:rStyle w:val="Hyperlink"/>
          </w:rPr>
          <w:t>S13</w:t>
        </w:r>
      </w:hyperlink>
      <w:r>
        <w:rPr/>
        <w:t xml:space="preserve">  |  retained-v1.0</w:t>
      </w:r>
    </w:p>
    <w:p>
      <w:pPr>
        <w:pStyle w:val="Requirement"/>
        <w:keepNext w:val="true"/>
        <w:rPr/>
      </w:pPr>
      <w:bookmarkStart w:id="235" w:name="req_TF_002"/>
      <w:bookmarkEnd w:id="235"/>
      <w:r>
        <w:rPr>
          <w:rStyle w:val="ReqID"/>
        </w:rPr>
        <w:t xml:space="preserve">TF-002  </w:t>
      </w:r>
      <w:r>
        <w:rPr/>
        <w:t>Provider versions SHALL be constrained and dependency lock files SHALL be committed and reviewed.</w:t>
      </w:r>
    </w:p>
    <w:p>
      <w:pPr>
        <w:pStyle w:val="ReqMeta"/>
        <w:rPr/>
      </w:pPr>
      <w:r>
        <w:rPr/>
        <w:t xml:space="preserve">Automation platform  |  Verify: </w:t>
      </w:r>
      <w:hyperlink w:anchor="test_CT_015">
        <w:r>
          <w:rPr>
            <w:rStyle w:val="Hyperlink"/>
          </w:rPr>
          <w:t>CT-015</w:t>
        </w:r>
      </w:hyperlink>
      <w:r>
        <w:rPr/>
        <w:t xml:space="preserve">, </w:t>
      </w:r>
      <w:hyperlink w:anchor="test_CT_042">
        <w:r>
          <w:rPr>
            <w:rStyle w:val="Hyperlink"/>
          </w:rPr>
          <w:t>CT-042</w:t>
        </w:r>
      </w:hyperlink>
      <w:r>
        <w:rPr/>
        <w:t xml:space="preserve">, </w:t>
      </w:r>
      <w:hyperlink w:anchor="test_CT_048">
        <w:r>
          <w:rPr>
            <w:rStyle w:val="Hyperlink"/>
          </w:rPr>
          <w:t>CT-048</w:t>
        </w:r>
      </w:hyperlink>
      <w:r>
        <w:rPr/>
        <w:t xml:space="preserve">  |  Basis: </w:t>
      </w:r>
      <w:hyperlink w:anchor="S00">
        <w:r>
          <w:rPr>
            <w:rStyle w:val="Hyperlink"/>
          </w:rPr>
          <w:t>S00</w:t>
        </w:r>
      </w:hyperlink>
      <w:r>
        <w:rPr/>
        <w:t xml:space="preserve"> / </w:t>
      </w:r>
      <w:hyperlink w:anchor="S14">
        <w:r>
          <w:rPr>
            <w:rStyle w:val="Hyperlink"/>
          </w:rPr>
          <w:t>S14</w:t>
        </w:r>
      </w:hyperlink>
      <w:r>
        <w:rPr/>
        <w:t xml:space="preserve">  |  retained-v1.0</w:t>
      </w:r>
    </w:p>
    <w:p>
      <w:pPr>
        <w:pStyle w:val="Requirement"/>
        <w:keepNext w:val="true"/>
        <w:rPr/>
      </w:pPr>
      <w:bookmarkStart w:id="236" w:name="req_TF_003"/>
      <w:bookmarkEnd w:id="236"/>
      <w:r>
        <w:rPr>
          <w:rStyle w:val="ReqID"/>
        </w:rPr>
        <w:t xml:space="preserve">TF-003  </w:t>
      </w:r>
      <w:r>
        <w:rPr/>
        <w:t>The orchestration layer SHALL select the provider adapter; a single giant conditional module SHOULD NOT attempt to implement all platforms.</w:t>
      </w:r>
    </w:p>
    <w:p>
      <w:pPr>
        <w:pStyle w:val="ReqMeta"/>
        <w:rPr/>
      </w:pPr>
      <w:r>
        <w:rPr/>
        <w:t xml:space="preserve">Automation platform  |  Verify: </w:t>
      </w:r>
      <w:hyperlink w:anchor="test_CT_016">
        <w:r>
          <w:rPr>
            <w:rStyle w:val="Hyperlink"/>
          </w:rPr>
          <w:t>CT-016</w:t>
        </w:r>
      </w:hyperlink>
      <w:r>
        <w:rPr/>
        <w:t xml:space="preserve">, </w:t>
      </w:r>
      <w:hyperlink w:anchor="test_CT_044">
        <w:r>
          <w:rPr>
            <w:rStyle w:val="Hyperlink"/>
          </w:rPr>
          <w:t>CT-044</w:t>
        </w:r>
      </w:hyperlink>
      <w:r>
        <w:rPr/>
        <w:t xml:space="preserve">  |  Basis: </w:t>
      </w:r>
      <w:hyperlink w:anchor="S00">
        <w:r>
          <w:rPr>
            <w:rStyle w:val="Hyperlink"/>
          </w:rPr>
          <w:t>S00</w:t>
        </w:r>
      </w:hyperlink>
      <w:r>
        <w:rPr/>
        <w:t xml:space="preserve">  |  retained-v1.0</w:t>
      </w:r>
    </w:p>
    <w:p>
      <w:pPr>
        <w:pStyle w:val="Requirement"/>
        <w:keepNext w:val="true"/>
        <w:rPr/>
      </w:pPr>
      <w:bookmarkStart w:id="237" w:name="req_TF_004"/>
      <w:bookmarkEnd w:id="237"/>
      <w:r>
        <w:rPr>
          <w:rStyle w:val="ReqID"/>
        </w:rPr>
        <w:t xml:space="preserve">TF-004  </w:t>
      </w:r>
      <w:r>
        <w:rPr/>
        <w:t>Module interfaces SHOULD be relatively flat and composable; deeply nested modules that obscure lifecycle or ownership boundaries SHOULD be avoided.</w:t>
      </w:r>
    </w:p>
    <w:p>
      <w:pPr>
        <w:pStyle w:val="ReqMeta"/>
        <w:rPr/>
      </w:pPr>
      <w:r>
        <w:rPr/>
        <w:t xml:space="preserve">Automation platform  |  Verify: </w:t>
      </w:r>
      <w:hyperlink w:anchor="test_CT_044">
        <w:r>
          <w:rPr>
            <w:rStyle w:val="Hyperlink"/>
          </w:rPr>
          <w:t>CT-044</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retained-v1.0</w:t>
      </w:r>
    </w:p>
    <w:p>
      <w:pPr>
        <w:pStyle w:val="Requirement"/>
        <w:keepNext w:val="true"/>
        <w:rPr/>
      </w:pPr>
      <w:bookmarkStart w:id="238" w:name="req_TF_005"/>
      <w:bookmarkEnd w:id="238"/>
      <w:r>
        <w:rPr>
          <w:rStyle w:val="ReqID"/>
        </w:rPr>
        <w:t xml:space="preserve">TF-005  </w:t>
      </w:r>
      <w:r>
        <w:rPr/>
        <w:t>Remote module sources and runner images SHALL be pinned to immutable versions/digests separately from provider lockfiles; approved package checksums and provenance SHALL be verified before privileged execution.</w:t>
      </w:r>
    </w:p>
    <w:p>
      <w:pPr>
        <w:pStyle w:val="ReqMeta"/>
        <w:rPr/>
      </w:pPr>
      <w:r>
        <w:rPr/>
        <w:t xml:space="preserve">Automation platform  |  Verify: </w:t>
      </w:r>
      <w:hyperlink w:anchor="test_CT_042">
        <w:r>
          <w:rPr>
            <w:rStyle w:val="Hyperlink"/>
          </w:rPr>
          <w:t>CT-042</w:t>
        </w:r>
      </w:hyperlink>
      <w:r>
        <w:rPr/>
        <w:t xml:space="preserve">, </w:t>
      </w:r>
      <w:hyperlink w:anchor="test_CT_048">
        <w:r>
          <w:rPr>
            <w:rStyle w:val="Hyperlink"/>
          </w:rPr>
          <w:t>CT-048</w:t>
        </w:r>
      </w:hyperlink>
      <w:r>
        <w:rPr/>
        <w:t xml:space="preserve">  |  Basis: </w:t>
      </w:r>
      <w:hyperlink w:anchor="S14">
        <w:r>
          <w:rPr>
            <w:rStyle w:val="Hyperlink"/>
          </w:rPr>
          <w:t>S14</w:t>
        </w:r>
      </w:hyperlink>
      <w:r>
        <w:rPr/>
        <w:t xml:space="preserve">  |  new-v1.1</w:t>
      </w:r>
    </w:p>
    <w:p>
      <w:pPr>
        <w:pStyle w:val="Heading2"/>
        <w:numPr>
          <w:ilvl w:val="0"/>
          <w:numId w:val="7"/>
        </w:numPr>
        <w:rPr/>
      </w:pPr>
      <w:bookmarkStart w:id="239" w:name="__RefHeading___Toc13379_1645000677"/>
      <w:bookmarkStart w:id="240" w:name="sec_43"/>
      <w:bookmarkEnd w:id="239"/>
      <w:r>
        <w:rPr/>
        <w:t>State boundaries, cross-state transactions and partial failure</w:t>
      </w:r>
      <w:bookmarkEnd w:id="240"/>
    </w:p>
    <w:p>
      <w:pPr>
        <w:pStyle w:val="BodyText"/>
        <w:rPr/>
      </w:pPr>
      <w:r>
        <w:rPr/>
        <w:t>State boundaries are blast-radius and authority boundaries. Use separate state for physical foundation, management, shared security edge, domain realization, workloads and shared service ownership, with the smallest practical lifecycle scope inside each. One actor may not own all domains of authority simply because Terraform can reach them. State and plan artifacts can contain sensitive infrastructure and credential material and require appropriate protection.</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872"/>
        <w:gridCol w:w="3887"/>
        <w:gridCol w:w="3817"/>
      </w:tblGrid>
      <w:tr>
        <w:trPr>
          <w:tblHeader w:val="true"/>
          <w:cantSplit w:val="true"/>
        </w:trPr>
        <w:tc>
          <w:tcPr>
            <w:tcW w:w="187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State/actor</w:t>
            </w:r>
          </w:p>
        </w:tc>
        <w:tc>
          <w:tcPr>
            <w:tcW w:w="388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Owns</w:t>
            </w:r>
          </w:p>
        </w:tc>
        <w:tc>
          <w:tcPr>
            <w:tcW w:w="381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Cross-state exchange</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Foundation</w:t>
            </w:r>
          </w:p>
        </w:tc>
        <w:tc>
          <w:tcPr>
            <w:tcW w:w="38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Underlay and physical attachment capacity</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Versioned attachment/capability outputs, not shared credentials</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Management</w:t>
            </w:r>
          </w:p>
        </w:tc>
        <w:tc>
          <w:tcPr>
            <w:tcW w:w="38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MZ/OOB and privileged access services</w:t>
            </w:r>
          </w:p>
        </w:tc>
        <w:tc>
          <w:tcPr>
            <w:tcW w:w="381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Approved administrative endpoints and trust metadata</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 edge</w:t>
            </w:r>
          </w:p>
        </w:tc>
        <w:tc>
          <w:tcPr>
            <w:tcW w:w="38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ZIP contexts, baseline and exposure policy</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Approved adjacency, policy and readiness references</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Domain</w:t>
            </w:r>
          </w:p>
        </w:tc>
        <w:tc>
          <w:tcPr>
            <w:tcW w:w="38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Routing/network realization and mandatory workload policy</w:t>
            </w:r>
          </w:p>
        </w:tc>
        <w:tc>
          <w:tcPr>
            <w:tcW w:w="381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Instance/network IDs and provider-internal allocation receipt</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Workload</w:t>
            </w:r>
          </w:p>
        </w:tc>
        <w:tc>
          <w:tcPr>
            <w:tcW w:w="38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VMs/data attachments and entitled application objects</w:t>
            </w:r>
          </w:p>
        </w:tc>
        <w:tc>
          <w:tcPr>
            <w:tcW w:w="381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Stable WSD identity and approved network/service references</w:t>
            </w:r>
          </w:p>
        </w:tc>
      </w:tr>
      <w:tr>
        <w:trPr>
          <w:cantSplit w:val="true"/>
        </w:trPr>
        <w:tc>
          <w:tcPr>
            <w:tcW w:w="187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Shared service</w:t>
            </w:r>
          </w:p>
        </w:tc>
        <w:tc>
          <w:tcPr>
            <w:tcW w:w="38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Provider endpoint and service data/control ownership</w:t>
            </w:r>
          </w:p>
        </w:tc>
        <w:tc>
          <w:tcPr>
            <w:tcW w:w="381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Versioned binding contract and health/evidence references</w:t>
            </w:r>
          </w:p>
        </w:tc>
      </w:tr>
    </w:tbl>
    <w:p>
      <w:pPr>
        <w:pStyle w:val="BodyText"/>
        <w:rPr/>
      </w:pPr>
      <w:r>
        <w:rPr/>
        <w:t>Terraform does not provide an atomic transaction across these states and external IPAM/DNS/inventory services. The controller implements an explicit staged/saga-style operation: reserve, create denied infrastructure, configure boundary, validate, activate, and commit evidence. Each stage records a completion token and an authorized compensation action. Compensations must preserve held data and shared resources; “rollback” is not an excuse to destroy a resource that may contain new data.</w:t>
      </w:r>
    </w:p>
    <w:p>
      <w:pPr>
        <w:pStyle w:val="BodyText"/>
        <w:rPr/>
      </w:pPr>
      <w:r>
        <w:rPr/>
        <w:t>Avoid granting remote-state read access just to retrieve a convenient output because it can expose more sensitive state than intended. Publish minimal versioned output contracts through an access-controlled registry when suitable. State backend locking/versioning, protected backups, audit and disaster recovery are tested. Restoring a prior state file does not restore infrastructure; reconcile real resources and generations before any further apply. Emergency lock removal requires proof the writer has stopped and an accountable recovery procedure.</w:t>
      </w:r>
    </w:p>
    <w:p>
      <w:pPr>
        <w:pStyle w:val="Requirement"/>
        <w:keepNext w:val="true"/>
        <w:rPr/>
      </w:pPr>
      <w:bookmarkStart w:id="241" w:name="req_STATE_001"/>
      <w:bookmarkEnd w:id="241"/>
      <w:r>
        <w:rPr>
          <w:rStyle w:val="ReqID"/>
        </w:rPr>
        <w:t xml:space="preserve">STATE-001  </w:t>
      </w:r>
      <w:r>
        <w:rPr/>
        <w:t>No single routine tenant automation identity SHALL have authority to modify physical fabric, management foundation, security edge, and tenant workloads simultaneously.</w:t>
      </w:r>
    </w:p>
    <w:p>
      <w:pPr>
        <w:pStyle w:val="ReqMeta"/>
        <w:rPr/>
      </w:pPr>
      <w:r>
        <w:rPr/>
        <w:t xml:space="preserve">Automation platform  |  Verify: </w:t>
      </w:r>
      <w:hyperlink w:anchor="test_CT_019">
        <w:r>
          <w:rPr>
            <w:rStyle w:val="Hyperlink"/>
          </w:rPr>
          <w:t>CT-019</w:t>
        </w:r>
      </w:hyperlink>
      <w:r>
        <w:rPr/>
        <w:t xml:space="preserve">, </w:t>
      </w:r>
      <w:hyperlink w:anchor="test_CT_044">
        <w:r>
          <w:rPr>
            <w:rStyle w:val="Hyperlink"/>
          </w:rPr>
          <w:t>CT-044</w:t>
        </w:r>
      </w:hyperlink>
      <w:r>
        <w:rPr/>
        <w:t xml:space="preserve">  |  Basis: </w:t>
      </w:r>
      <w:hyperlink w:anchor="S00">
        <w:r>
          <w:rPr>
            <w:rStyle w:val="Hyperlink"/>
          </w:rPr>
          <w:t>S00</w:t>
        </w:r>
      </w:hyperlink>
      <w:r>
        <w:rPr/>
        <w:t xml:space="preserve">  |  retained-v1.0</w:t>
      </w:r>
    </w:p>
    <w:p>
      <w:pPr>
        <w:pStyle w:val="Requirement"/>
        <w:keepNext w:val="true"/>
        <w:rPr/>
      </w:pPr>
      <w:bookmarkStart w:id="242" w:name="req_STATE_002"/>
      <w:bookmarkEnd w:id="242"/>
      <w:r>
        <w:rPr>
          <w:rStyle w:val="ReqID"/>
        </w:rPr>
        <w:t xml:space="preserve">STATE-002  </w:t>
      </w:r>
      <w:r>
        <w:rPr/>
        <w:t>Remote state backends SHALL use encryption, strong authentication, locking, recovery/versioning, access logging, and separation appropriate to the sensitivity of contained data.</w:t>
      </w:r>
    </w:p>
    <w:p>
      <w:pPr>
        <w:pStyle w:val="ReqMeta"/>
        <w:rPr/>
      </w:pPr>
      <w:r>
        <w:rPr/>
        <w:t xml:space="preserve">Automation platform  |  Verify: </w:t>
      </w:r>
      <w:hyperlink w:anchor="test_CT_043">
        <w:r>
          <w:rPr>
            <w:rStyle w:val="Hyperlink"/>
          </w:rPr>
          <w:t>CT-043</w:t>
        </w:r>
      </w:hyperlink>
      <w:r>
        <w:rPr/>
        <w:t xml:space="preserve">, </w:t>
      </w:r>
      <w:hyperlink w:anchor="test_CT_044">
        <w:r>
          <w:rPr>
            <w:rStyle w:val="Hyperlink"/>
          </w:rPr>
          <w:t>CT-044</w:t>
        </w:r>
      </w:hyperlink>
      <w:r>
        <w:rPr/>
        <w:t xml:space="preserve">, </w:t>
      </w:r>
      <w:hyperlink w:anchor="test_CT_055">
        <w:r>
          <w:rPr>
            <w:rStyle w:val="Hyperlink"/>
          </w:rPr>
          <w:t>CT-055</w:t>
        </w:r>
      </w:hyperlink>
      <w:r>
        <w:rPr/>
        <w:t xml:space="preserve">  |  Basis: </w:t>
      </w:r>
      <w:hyperlink w:anchor="S00">
        <w:r>
          <w:rPr>
            <w:rStyle w:val="Hyperlink"/>
          </w:rPr>
          <w:t>S00</w:t>
        </w:r>
      </w:hyperlink>
      <w:r>
        <w:rPr/>
        <w:t xml:space="preserve">  |  retained-v1.0</w:t>
      </w:r>
    </w:p>
    <w:p>
      <w:pPr>
        <w:pStyle w:val="Requirement"/>
        <w:keepNext w:val="true"/>
        <w:rPr/>
      </w:pPr>
      <w:bookmarkStart w:id="243" w:name="req_STATE_003"/>
      <w:bookmarkEnd w:id="243"/>
      <w:r>
        <w:rPr>
          <w:rStyle w:val="ReqID"/>
        </w:rPr>
        <w:t xml:space="preserve">STATE-003  </w:t>
      </w:r>
      <w:r>
        <w:rPr/>
        <w:t>Cross-state/external-service changes SHALL use a journaled dependency workflow with scoped outputs, idempotent stage completion and data-safe compensation; state-file restoration SHALL NOT be represented as infrastructure rollback.</w:t>
      </w:r>
    </w:p>
    <w:p>
      <w:pPr>
        <w:pStyle w:val="ReqMeta"/>
        <w:rPr/>
      </w:pPr>
      <w:r>
        <w:rPr/>
        <w:t xml:space="preserve">Automation platform  |  Verify: </w:t>
      </w:r>
      <w:hyperlink w:anchor="test_CT_044">
        <w:r>
          <w:rPr>
            <w:rStyle w:val="Hyperlink"/>
          </w:rPr>
          <w:t>CT-044</w:t>
        </w:r>
      </w:hyperlink>
      <w:r>
        <w:rPr/>
        <w:t xml:space="preserve">, </w:t>
      </w:r>
      <w:hyperlink w:anchor="test_CT_045">
        <w:r>
          <w:rPr>
            <w:rStyle w:val="Hyperlink"/>
          </w:rPr>
          <w:t>CT-045</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new-v1.1</w:t>
      </w:r>
    </w:p>
    <w:p>
      <w:pPr>
        <w:pStyle w:val="Heading2"/>
        <w:numPr>
          <w:ilvl w:val="0"/>
          <w:numId w:val="7"/>
        </w:numPr>
        <w:rPr/>
      </w:pPr>
      <w:bookmarkStart w:id="244" w:name="__RefHeading___Toc13381_1645000677"/>
      <w:bookmarkStart w:id="245" w:name="sec_44"/>
      <w:bookmarkEnd w:id="244"/>
      <w:r>
        <w:rPr/>
        <w:t>CI/CD, signed plans and supply-chain integrity</w:t>
      </w:r>
      <w:bookmarkEnd w:id="245"/>
    </w:p>
    <w:p>
      <w:pPr>
        <w:pStyle w:val="BodyText"/>
        <w:rPr/>
      </w:pPr>
      <w:r>
        <w:rPr/>
        <w:t>The pipeline validates source and contracts, tests admission, verifies dependencies/provenance, classifies the change, builds an immutable plan, obtains appropriate approval, executes with a scoped identity, waits for realization, validates security/service outcomes and publishes protected evidence. Peer review and policy checks are independent of the privileged runner. An attacker who alters a plan or module after approval must not be able to reuse the approval.</w:t>
      </w:r>
    </w:p>
    <w:p>
      <w:pPr>
        <w:pStyle w:val="BodyText"/>
        <w:rPr/>
      </w:pPr>
      <w:r>
        <w:rPr/>
        <w:t>Bind the plan to source revision, input digest, policy/profile/capability digests, provider lock digest, module digests, runner image, state generations, requesting identity, approving authority and expiry. Recheck those facts immediately before apply. A state/policy/profile change requires re-evaluation and normally a new plan/approval. Keep secrets out of public CI logs and do not expose plan artifacts to identities unable to access the underlying protected state.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087"/>
        <w:gridCol w:w="7488"/>
      </w:tblGrid>
      <w:tr>
        <w:trPr>
          <w:tblHeader w:val="true"/>
          <w:cantSplit w:val="true"/>
        </w:trPr>
        <w:tc>
          <w:tcPr>
            <w:tcW w:w="208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Gate</w:t>
            </w:r>
          </w:p>
        </w:tc>
        <w:tc>
          <w:tcPr>
            <w:tcW w:w="748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Release condition</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Source and contract</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Peer review, formatting, schema/semantic tests, secret scanning and normative traceability</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Dependencies</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Approved source, immutable module/runner digest, provider package verification and vulnerability disposition</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Plan</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 unexpected deletion/replacement, exposure, authority change or policy bypass; current state known</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Approval</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Right authority and change class; signed/recorded immutable plan; time-limited permission</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Execution</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Scoped ephemeral runner, locked state, bounded retries and complete journal</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Qualification/promotion</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Required conformance and recovery tests; evidence retention; no candidate-only capability promoted</w:t>
            </w:r>
          </w:p>
        </w:tc>
      </w:tr>
    </w:tbl>
    <w:p>
      <w:pPr>
        <w:pStyle w:val="BodyText"/>
        <w:rPr/>
      </w:pPr>
      <w:r>
        <w:rPr/>
        <w:t>Maintain controlled mirrors/repositories where environments are disconnected. Mirrors do not remove the need to verify provenance and revocation. A compromised provider/module triggers suspension of affected runs, preservation of evidence, credential review/rotation, assessment of impacted resources, trusted rebuild and requalification. The incident response must cover artefacts already installed, not only future downloads.</w:t>
      </w:r>
    </w:p>
    <w:p>
      <w:pPr>
        <w:pStyle w:val="Requirement"/>
        <w:keepNext w:val="true"/>
        <w:rPr/>
      </w:pPr>
      <w:bookmarkStart w:id="246" w:name="req_CICD_001"/>
      <w:bookmarkEnd w:id="246"/>
      <w:r>
        <w:rPr>
          <w:rStyle w:val="ReqID"/>
        </w:rPr>
        <w:t xml:space="preserve">CICD-001  </w:t>
      </w:r>
      <w:r>
        <w:rPr/>
        <w:t>A change that modifies inter-zone policy, external exposure, route authority, management access, or assurance profile SHALL receive a higher change classification than an ordinary workload scale operation.</w:t>
      </w:r>
    </w:p>
    <w:p>
      <w:pPr>
        <w:pStyle w:val="ReqMeta"/>
        <w:rPr/>
      </w:pPr>
      <w:r>
        <w:rPr/>
        <w:t xml:space="preserve">Change authority  |  Verify: </w:t>
      </w:r>
      <w:hyperlink w:anchor="test_CT_048">
        <w:r>
          <w:rPr>
            <w:rStyle w:val="Hyperlink"/>
          </w:rPr>
          <w:t>CT-048</w:t>
        </w:r>
      </w:hyperlink>
      <w:r>
        <w:rPr/>
        <w:t xml:space="preserve">, </w:t>
      </w:r>
      <w:hyperlink w:anchor="test_CT_058">
        <w:r>
          <w:rPr>
            <w:rStyle w:val="Hyperlink"/>
          </w:rPr>
          <w:t>CT-058</w:t>
        </w:r>
      </w:hyperlink>
      <w:r>
        <w:rPr/>
        <w:t xml:space="preserve">  |  Basis: </w:t>
      </w:r>
      <w:hyperlink w:anchor="S00">
        <w:r>
          <w:rPr>
            <w:rStyle w:val="Hyperlink"/>
          </w:rPr>
          <w:t>S00</w:t>
        </w:r>
      </w:hyperlink>
      <w:r>
        <w:rPr/>
        <w:t xml:space="preserve">  |  retained-v1.0</w:t>
      </w:r>
    </w:p>
    <w:p>
      <w:pPr>
        <w:pStyle w:val="Requirement"/>
        <w:keepNext w:val="true"/>
        <w:rPr/>
      </w:pPr>
      <w:bookmarkStart w:id="247" w:name="req_CICD_002"/>
      <w:bookmarkEnd w:id="247"/>
      <w:r>
        <w:rPr>
          <w:rStyle w:val="ReqID"/>
        </w:rPr>
        <w:t xml:space="preserve">CICD-002  </w:t>
      </w:r>
      <w:r>
        <w:rPr/>
        <w:t>An approval SHALL bind the immutable plan and all security-relevant input/policy/state/dependency digests; stale, changed or expired artifacts SHALL be rejected at apply.</w:t>
      </w:r>
    </w:p>
    <w:p>
      <w:pPr>
        <w:pStyle w:val="ReqMeta"/>
        <w:rPr/>
      </w:pPr>
      <w:r>
        <w:rPr/>
        <w:t xml:space="preserve">Automation platform  |  Verify: </w:t>
      </w:r>
      <w:hyperlink w:anchor="test_CT_042">
        <w:r>
          <w:rPr>
            <w:rStyle w:val="Hyperlink"/>
          </w:rPr>
          <w:t>CT-042</w:t>
        </w:r>
      </w:hyperlink>
      <w:r>
        <w:rPr/>
        <w:t xml:space="preserve">, </w:t>
      </w:r>
      <w:hyperlink w:anchor="test_CT_048">
        <w:r>
          <w:rPr>
            <w:rStyle w:val="Hyperlink"/>
          </w:rPr>
          <w:t>CT-048</w:t>
        </w:r>
      </w:hyperlink>
      <w:r>
        <w:rPr/>
        <w:t xml:space="preserve">  |  Basis: </w:t>
      </w:r>
      <w:hyperlink w:anchor="S00">
        <w:r>
          <w:rPr>
            <w:rStyle w:val="Hyperlink"/>
          </w:rPr>
          <w:t>S00</w:t>
        </w:r>
      </w:hyperlink>
      <w:r>
        <w:rPr/>
        <w:t xml:space="preserve">  |  new-v1.1</w:t>
      </w:r>
    </w:p>
    <w:p>
      <w:pPr>
        <w:pStyle w:val="Requirement"/>
        <w:keepNext w:val="true"/>
        <w:rPr/>
      </w:pPr>
      <w:bookmarkStart w:id="248" w:name="req_SUP_001"/>
      <w:bookmarkEnd w:id="248"/>
      <w:r>
        <w:rPr>
          <w:rStyle w:val="ReqID"/>
        </w:rPr>
        <w:t xml:space="preserve">SUP-001  </w:t>
      </w:r>
      <w:r>
        <w:rPr/>
        <w:t>Privileged software/provider/module supply chains SHALL use approved sources, integrity verification, revocation and a compromise-response procedure covering already-executed artifacts and credentials.</w:t>
      </w:r>
    </w:p>
    <w:p>
      <w:pPr>
        <w:pStyle w:val="ReqMeta"/>
        <w:rPr/>
      </w:pPr>
      <w:r>
        <w:rPr/>
        <w:t xml:space="preserve">Automation platform  |  Verify: </w:t>
      </w:r>
      <w:hyperlink w:anchor="test_CT_041">
        <w:r>
          <w:rPr>
            <w:rStyle w:val="Hyperlink"/>
          </w:rPr>
          <w:t>CT-041</w:t>
        </w:r>
      </w:hyperlink>
      <w:r>
        <w:rPr/>
        <w:t xml:space="preserve">, </w:t>
      </w:r>
      <w:hyperlink w:anchor="test_CT_042">
        <w:r>
          <w:rPr>
            <w:rStyle w:val="Hyperlink"/>
          </w:rPr>
          <w:t>CT-042</w:t>
        </w:r>
      </w:hyperlink>
      <w:r>
        <w:rPr/>
        <w:t xml:space="preserve">, </w:t>
      </w:r>
      <w:hyperlink w:anchor="test_CT_057">
        <w:r>
          <w:rPr>
            <w:rStyle w:val="Hyperlink"/>
          </w:rPr>
          <w:t>CT-057</w:t>
        </w:r>
      </w:hyperlink>
      <w:r>
        <w:rPr/>
        <w:t xml:space="preserve">  |  Basis: </w:t>
      </w:r>
      <w:hyperlink w:anchor="S05">
        <w:r>
          <w:rPr>
            <w:rStyle w:val="Hyperlink"/>
          </w:rPr>
          <w:t>S05</w:t>
        </w:r>
      </w:hyperlink>
      <w:r>
        <w:rPr/>
        <w:t xml:space="preserve"> / </w:t>
      </w:r>
      <w:hyperlink w:anchor="S14">
        <w:r>
          <w:rPr>
            <w:rStyle w:val="Hyperlink"/>
          </w:rPr>
          <w:t>S14</w:t>
        </w:r>
      </w:hyperlink>
      <w:r>
        <w:rPr/>
        <w:t xml:space="preserve">  |  new-v1.1</w:t>
      </w:r>
    </w:p>
    <w:p>
      <w:pPr>
        <w:pStyle w:val="Heading2"/>
        <w:numPr>
          <w:ilvl w:val="0"/>
          <w:numId w:val="7"/>
        </w:numPr>
        <w:rPr/>
      </w:pPr>
      <w:bookmarkStart w:id="249" w:name="__RefHeading___Toc13383_1645000677"/>
      <w:bookmarkStart w:id="250" w:name="sec_45"/>
      <w:bookmarkEnd w:id="249"/>
      <w:r>
        <w:rPr/>
        <w:t>Secrets and automation credentials</w:t>
      </w:r>
      <w:bookmarkEnd w:id="250"/>
    </w:p>
    <w:p>
      <w:pPr>
        <w:pStyle w:val="BodyText"/>
        <w:rPr/>
      </w:pPr>
      <w:r>
        <w:rPr/>
        <w:t>Credentials are injected by the authorized execution environment or a credential broker, never embedded in repository files. Prefer task-scoped short-lived credentials where the target supports them. Where a provider requires a longer-lived credential, document the residual exposure, vault it, restrict egress, rotate it and monitor its use. A “sensitive” Terraform flag can redact display without preventing storage in state; classification and backend protection still apply.</w:t>
      </w:r>
    </w:p>
    <w:p>
      <w:pPr>
        <w:pStyle w:val="BodyText"/>
        <w:rPr/>
      </w:pPr>
      <w:r>
        <w:rPr/>
        <w:t>Terraform ephemeral values and supported write-only resource arguments can reduce persisted secret exposure, but their availability and behavior depend on the Terraform version and provider/resource implementation. Use them only where verified and test the actual plan/state/log artifacts with disposable sentinel secrets. They do not guarantee that an entire provider cannot persist a secret. [</w:t>
      </w:r>
      <w:hyperlink w:anchor="S15">
        <w:r>
          <w:rPr>
            <w:rStyle w:val="Hyperlink"/>
          </w:rPr>
          <w:t>S15</w:t>
        </w:r>
      </w:hyperlink>
      <w:r>
        <w:rPr/>
        <w:t xml:space="preserve">; </w:t>
      </w:r>
      <w:hyperlink w:anchor="S16">
        <w:r>
          <w:rPr>
            <w:rStyle w:val="Hyperlink"/>
          </w:rPr>
          <w:t>S16</w:t>
        </w:r>
      </w:hyperlink>
      <w:r>
        <w:rPr/>
        <w:t>]</w:t>
      </w:r>
    </w:p>
    <w:p>
      <w:pPr>
        <w:pStyle w:val="BodyText"/>
        <w:rPr/>
      </w:pPr>
      <w:r>
        <w:rPr/>
        <w:t>Runners are short-lived and isolated per authority domain. Restrict network reachability to required APIs, verify endpoint TLS identity, avoid disabling certificate validation and remove workspace artifacts after protected retention decisions. Credential revocation is tested at the target service. Break-glass secrets, source signing keys, evidence signing keys and state-backend credentials are separated to limit compromise propagation.</w:t>
      </w:r>
    </w:p>
    <w:p>
      <w:pPr>
        <w:pStyle w:val="Requirement"/>
        <w:keepNext w:val="true"/>
        <w:rPr/>
      </w:pPr>
      <w:bookmarkStart w:id="251" w:name="req_SEC_001"/>
      <w:bookmarkEnd w:id="251"/>
      <w:r>
        <w:rPr>
          <w:rStyle w:val="ReqID"/>
        </w:rPr>
        <w:t xml:space="preserve">SEC-001  </w:t>
      </w:r>
      <w:r>
        <w:rPr/>
        <w:t>Static privileged provider credentials SHALL NOT be embedded in Terraform source code.</w:t>
      </w:r>
    </w:p>
    <w:p>
      <w:pPr>
        <w:pStyle w:val="ReqMeta"/>
        <w:rPr/>
      </w:pPr>
      <w:r>
        <w:rPr/>
        <w:t xml:space="preserve">Automation platform  |  Verify: </w:t>
      </w:r>
      <w:hyperlink w:anchor="test_CT_043">
        <w:r>
          <w:rPr>
            <w:rStyle w:val="Hyperlink"/>
          </w:rPr>
          <w:t>CT-043</w:t>
        </w:r>
      </w:hyperlink>
      <w:r>
        <w:rPr/>
        <w:t xml:space="preserve">  |  Basis: </w:t>
      </w:r>
      <w:hyperlink w:anchor="S00">
        <w:r>
          <w:rPr>
            <w:rStyle w:val="Hyperlink"/>
          </w:rPr>
          <w:t>S00</w:t>
        </w:r>
      </w:hyperlink>
      <w:r>
        <w:rPr/>
        <w:t xml:space="preserve">  |  retained-v1.0</w:t>
      </w:r>
    </w:p>
    <w:p>
      <w:pPr>
        <w:pStyle w:val="Requirement"/>
        <w:keepNext w:val="true"/>
        <w:rPr/>
      </w:pPr>
      <w:bookmarkStart w:id="252" w:name="req_SEC_002"/>
      <w:bookmarkEnd w:id="252"/>
      <w:r>
        <w:rPr>
          <w:rStyle w:val="ReqID"/>
        </w:rPr>
        <w:t xml:space="preserve">SEC-002  </w:t>
      </w:r>
      <w:r>
        <w:rPr/>
        <w:t>Automation identities SHALL use least privilege and separate duties by control domain.</w:t>
      </w:r>
    </w:p>
    <w:p>
      <w:pPr>
        <w:pStyle w:val="ReqMeta"/>
        <w:rPr/>
      </w:pPr>
      <w:r>
        <w:rPr/>
        <w:t xml:space="preserve">Automation platform  |  Verify: </w:t>
      </w:r>
      <w:hyperlink w:anchor="test_CT_019">
        <w:r>
          <w:rPr>
            <w:rStyle w:val="Hyperlink"/>
          </w:rPr>
          <w:t>CT-019</w:t>
        </w:r>
      </w:hyperlink>
      <w:r>
        <w:rPr/>
        <w:t xml:space="preserve">, </w:t>
      </w:r>
      <w:hyperlink w:anchor="test_CT_044">
        <w:r>
          <w:rPr>
            <w:rStyle w:val="Hyperlink"/>
          </w:rPr>
          <w:t>CT-044</w:t>
        </w:r>
      </w:hyperlink>
      <w:r>
        <w:rPr/>
        <w:t xml:space="preserve">, </w:t>
      </w:r>
      <w:hyperlink w:anchor="test_CT_079">
        <w:r>
          <w:rPr>
            <w:rStyle w:val="Hyperlink"/>
          </w:rPr>
          <w:t>CT-079</w:t>
        </w:r>
      </w:hyperlink>
      <w:r>
        <w:rPr/>
        <w:t xml:space="preserve">  |  Basis: </w:t>
      </w:r>
      <w:hyperlink w:anchor="S00">
        <w:r>
          <w:rPr>
            <w:rStyle w:val="Hyperlink"/>
          </w:rPr>
          <w:t>S00</w:t>
        </w:r>
      </w:hyperlink>
      <w:r>
        <w:rPr/>
        <w:t xml:space="preserve">  |  retained-v1.0</w:t>
      </w:r>
    </w:p>
    <w:p>
      <w:pPr>
        <w:pStyle w:val="Requirement"/>
        <w:keepNext w:val="true"/>
        <w:rPr/>
      </w:pPr>
      <w:bookmarkStart w:id="253" w:name="req_SEC_003"/>
      <w:bookmarkEnd w:id="253"/>
      <w:r>
        <w:rPr>
          <w:rStyle w:val="ReqID"/>
        </w:rPr>
        <w:t xml:space="preserve">SEC-003  </w:t>
      </w:r>
      <w:r>
        <w:rPr/>
        <w:t>Credential rotation, revocation, and break-glass recovery SHALL be tested as part of the platform operational profile.</w:t>
      </w:r>
    </w:p>
    <w:p>
      <w:pPr>
        <w:pStyle w:val="ReqMeta"/>
        <w:rPr/>
      </w:pPr>
      <w:r>
        <w:rPr/>
        <w:t xml:space="preserve">Automation platform  |  Verify: </w:t>
      </w:r>
      <w:hyperlink w:anchor="test_CT_027">
        <w:r>
          <w:rPr>
            <w:rStyle w:val="Hyperlink"/>
          </w:rPr>
          <w:t>CT-027</w:t>
        </w:r>
      </w:hyperlink>
      <w:r>
        <w:rPr/>
        <w:t xml:space="preserve">, </w:t>
      </w:r>
      <w:hyperlink w:anchor="test_CT_028">
        <w:r>
          <w:rPr>
            <w:rStyle w:val="Hyperlink"/>
          </w:rPr>
          <w:t>CT-028</w:t>
        </w:r>
      </w:hyperlink>
      <w:r>
        <w:rPr/>
        <w:t xml:space="preserve">, </w:t>
      </w:r>
      <w:hyperlink w:anchor="test_CT_043">
        <w:r>
          <w:rPr>
            <w:rStyle w:val="Hyperlink"/>
          </w:rPr>
          <w:t>CT-043</w:t>
        </w:r>
      </w:hyperlink>
      <w:r>
        <w:rPr/>
        <w:t xml:space="preserve">  |  Basis: </w:t>
      </w:r>
      <w:hyperlink w:anchor="S00">
        <w:r>
          <w:rPr>
            <w:rStyle w:val="Hyperlink"/>
          </w:rPr>
          <w:t>S00</w:t>
        </w:r>
      </w:hyperlink>
      <w:r>
        <w:rPr/>
        <w:t xml:space="preserve">  |  retained-v1.0</w:t>
      </w:r>
    </w:p>
    <w:p>
      <w:pPr>
        <w:pStyle w:val="Requirement"/>
        <w:keepNext w:val="true"/>
        <w:rPr/>
      </w:pPr>
      <w:bookmarkStart w:id="254" w:name="req_SEC_004"/>
      <w:bookmarkEnd w:id="254"/>
      <w:r>
        <w:rPr>
          <w:rStyle w:val="ReqID"/>
        </w:rPr>
        <w:t xml:space="preserve">SEC-004  </w:t>
      </w:r>
      <w:r>
        <w:rPr/>
        <w:t>Where supported and verified, sensitive values SHOULD use ephemeral/write-only mechanisms; all remaining secret-bearing plan/state/log artifacts SHALL be classified, encrypted, access-controlled and tested for unintended disclosure.</w:t>
      </w:r>
    </w:p>
    <w:p>
      <w:pPr>
        <w:pStyle w:val="ReqMeta"/>
        <w:rPr/>
      </w:pPr>
      <w:r>
        <w:rPr/>
        <w:t xml:space="preserve">Automation platform  |  Verify: </w:t>
      </w:r>
      <w:hyperlink w:anchor="test_CT_043">
        <w:r>
          <w:rPr>
            <w:rStyle w:val="Hyperlink"/>
          </w:rPr>
          <w:t>CT-043</w:t>
        </w:r>
      </w:hyperlink>
      <w:r>
        <w:rPr/>
        <w:t xml:space="preserve">, </w:t>
      </w:r>
      <w:hyperlink w:anchor="test_CT_044">
        <w:r>
          <w:rPr>
            <w:rStyle w:val="Hyperlink"/>
          </w:rPr>
          <w:t>CT-044</w:t>
        </w:r>
      </w:hyperlink>
      <w:r>
        <w:rPr/>
        <w:t xml:space="preserve">  |  Basis: </w:t>
      </w:r>
      <w:hyperlink w:anchor="S15">
        <w:r>
          <w:rPr>
            <w:rStyle w:val="Hyperlink"/>
          </w:rPr>
          <w:t>S15</w:t>
        </w:r>
      </w:hyperlink>
      <w:r>
        <w:rPr/>
        <w:t xml:space="preserve"> / </w:t>
      </w:r>
      <w:hyperlink w:anchor="S16">
        <w:r>
          <w:rPr>
            <w:rStyle w:val="Hyperlink"/>
          </w:rPr>
          <w:t>S16</w:t>
        </w:r>
      </w:hyperlink>
      <w:r>
        <w:rPr/>
        <w:t xml:space="preserve">  |  new-v1.1</w:t>
      </w:r>
    </w:p>
    <w:p>
      <w:pPr>
        <w:pStyle w:val="Heading2"/>
        <w:numPr>
          <w:ilvl w:val="0"/>
          <w:numId w:val="7"/>
        </w:numPr>
        <w:rPr/>
      </w:pPr>
      <w:bookmarkStart w:id="255" w:name="__RefHeading___Toc13385_1645000677"/>
      <w:bookmarkStart w:id="256" w:name="sec_46"/>
      <w:bookmarkEnd w:id="255"/>
      <w:r>
        <w:rPr/>
        <w:t>Drift, emergency overrides and desired-state convergence</w:t>
      </w:r>
      <w:bookmarkEnd w:id="256"/>
    </w:p>
    <w:p>
      <w:pPr>
        <w:pStyle w:val="BodyText"/>
        <w:rPr/>
      </w:pPr>
      <w:r>
        <w:rPr/>
        <w:t>Reconciliation compares declared intent, approved plan, Terraform state, native platform state, effective routes/policy, inventory and evidence. Differences are classified by security and service impact. Do not blindly revert an emergency block merely because ordinary desired state still contains the old allow rule. An incident override is a controlled higher-priority object with scope, actor, reason, expiry/review and explicit release authority.</w:t>
      </w:r>
    </w:p>
    <w:p>
      <w:pPr>
        <w:pStyle w:val="BodyText"/>
        <w:rPr/>
      </w:pPr>
      <w:r>
        <w:rPr/>
        <w:t>Security-significant drift changes the technical conformance condition and triggers a documented risk/containment decision. Historical authorization records are immutable evidence; the controller does not rewrite an official decision to pretend it was never issued. It can suspend readiness/new changes or exposure according to current authorization conditions. Emergency changes must be reconciled into the source or removed through an approved resolution.</w:t>
      </w:r>
    </w:p>
    <w:p>
      <w:pPr>
        <w:pStyle w:val="BodyText"/>
        <w:rPr/>
      </w:pPr>
      <w:r>
        <w:rPr/>
        <w:t>Define a measurable detection objective by profile, inspection coverage, actions allowed automatically and cases requiring operator review. Detection queries use stable resource identities and avoid repeated destructive actions while the platform is converging. Drift on an unused optional feature and drift enabling public exposure are not equal priority. The evidence record retains before/after states and the decision trail.</w:t>
      </w:r>
    </w:p>
    <w:p>
      <w:pPr>
        <w:pStyle w:val="Requirement"/>
        <w:keepNext w:val="true"/>
        <w:rPr/>
      </w:pPr>
      <w:bookmarkStart w:id="257" w:name="req_DRIFT_001"/>
      <w:bookmarkEnd w:id="257"/>
      <w:r>
        <w:rPr>
          <w:rStyle w:val="ReqID"/>
        </w:rPr>
        <w:t xml:space="preserve">DRIFT-001  </w:t>
      </w:r>
      <w:r>
        <w:rPr/>
        <w:t>Security-significant drift SHALL generate an actionable event and update technical conformance/readiness conditions until resolved or accepted; formal authorization records SHALL remain separately attributable and immutable.</w:t>
      </w:r>
    </w:p>
    <w:p>
      <w:pPr>
        <w:pStyle w:val="ReqMeta"/>
        <w:rPr/>
      </w:pPr>
      <w:r>
        <w:rPr/>
        <w:t xml:space="preserve">Operations/SRE  |  Verify: </w:t>
      </w:r>
      <w:hyperlink w:anchor="test_CT_014">
        <w:r>
          <w:rPr>
            <w:rStyle w:val="Hyperlink"/>
          </w:rPr>
          <w:t>CT-014</w:t>
        </w:r>
      </w:hyperlink>
      <w:r>
        <w:rPr/>
        <w:t xml:space="preserve">, </w:t>
      </w:r>
      <w:hyperlink w:anchor="test_CT_049">
        <w:r>
          <w:rPr>
            <w:rStyle w:val="Hyperlink"/>
          </w:rPr>
          <w:t>CT-049</w:t>
        </w:r>
      </w:hyperlink>
      <w:r>
        <w:rPr/>
        <w:t xml:space="preserve">, </w:t>
      </w:r>
      <w:hyperlink w:anchor="test_CT_057">
        <w:r>
          <w:rPr>
            <w:rStyle w:val="Hyperlink"/>
          </w:rPr>
          <w:t>CT-057</w:t>
        </w:r>
      </w:hyperlink>
      <w:r>
        <w:rPr/>
        <w:t xml:space="preserve">  |  Basis: </w:t>
      </w:r>
      <w:hyperlink w:anchor="S00">
        <w:r>
          <w:rPr>
            <w:rStyle w:val="Hyperlink"/>
          </w:rPr>
          <w:t>S00</w:t>
        </w:r>
      </w:hyperlink>
      <w:r>
        <w:rPr/>
        <w:t xml:space="preserve"> / </w:t>
      </w:r>
      <w:hyperlink w:anchor="S05">
        <w:r>
          <w:rPr>
            <w:rStyle w:val="Hyperlink"/>
          </w:rPr>
          <w:t>S05</w:t>
        </w:r>
      </w:hyperlink>
      <w:r>
        <w:rPr/>
        <w:t xml:space="preserve">  |  revised-v1.0</w:t>
      </w:r>
    </w:p>
    <w:p>
      <w:pPr>
        <w:pStyle w:val="Requirement"/>
        <w:keepNext w:val="true"/>
        <w:rPr/>
      </w:pPr>
      <w:bookmarkStart w:id="258" w:name="req_DRIFT_002"/>
      <w:bookmarkEnd w:id="258"/>
      <w:r>
        <w:rPr>
          <w:rStyle w:val="ReqID"/>
        </w:rPr>
        <w:t xml:space="preserve">DRIFT-002  </w:t>
      </w:r>
      <w:r>
        <w:rPr/>
        <w:t>Emergency changes SHALL be reconciled back into the source of truth after the incident or maintenance action.</w:t>
      </w:r>
    </w:p>
    <w:p>
      <w:pPr>
        <w:pStyle w:val="ReqMeta"/>
        <w:rPr/>
      </w:pPr>
      <w:r>
        <w:rPr/>
        <w:t xml:space="preserve">Operations/SRE  |  Verify: </w:t>
      </w:r>
      <w:hyperlink w:anchor="test_CT_014">
        <w:r>
          <w:rPr>
            <w:rStyle w:val="Hyperlink"/>
          </w:rPr>
          <w:t>CT-014</w:t>
        </w:r>
      </w:hyperlink>
      <w:r>
        <w:rPr/>
        <w:t xml:space="preserve">, </w:t>
      </w:r>
      <w:hyperlink w:anchor="test_CT_057">
        <w:r>
          <w:rPr>
            <w:rStyle w:val="Hyperlink"/>
          </w:rPr>
          <w:t>CT-057</w:t>
        </w:r>
      </w:hyperlink>
      <w:r>
        <w:rPr/>
        <w:t xml:space="preserve">  |  Basis: </w:t>
      </w:r>
      <w:hyperlink w:anchor="S00">
        <w:r>
          <w:rPr>
            <w:rStyle w:val="Hyperlink"/>
          </w:rPr>
          <w:t>S00</w:t>
        </w:r>
      </w:hyperlink>
      <w:r>
        <w:rPr/>
        <w:t xml:space="preserve">  |  retained-v1.0</w:t>
      </w:r>
    </w:p>
    <w:p>
      <w:pPr>
        <w:pStyle w:val="Requirement"/>
        <w:keepNext w:val="true"/>
        <w:rPr/>
      </w:pPr>
      <w:bookmarkStart w:id="259" w:name="req_DRIFT_003"/>
      <w:bookmarkEnd w:id="259"/>
      <w:r>
        <w:rPr>
          <w:rStyle w:val="ReqID"/>
        </w:rPr>
        <w:t xml:space="preserve">DRIFT-003  </w:t>
      </w:r>
      <w:r>
        <w:rPr/>
        <w:t>Incident containment overrides SHALL take precedence over ordinary reconciliation until explicitly released or handled by their approved expiry policy; automated repair SHALL NOT silently undo containment.</w:t>
      </w:r>
    </w:p>
    <w:p>
      <w:pPr>
        <w:pStyle w:val="ReqMeta"/>
        <w:rPr/>
      </w:pPr>
      <w:r>
        <w:rPr/>
        <w:t xml:space="preserve">Incident response  |  Verify: </w:t>
      </w:r>
      <w:hyperlink w:anchor="test_CT_057">
        <w:r>
          <w:rPr>
            <w:rStyle w:val="Hyperlink"/>
          </w:rPr>
          <w:t>CT-057</w:t>
        </w:r>
      </w:hyperlink>
      <w:r>
        <w:rPr/>
        <w:t xml:space="preserve">, </w:t>
      </w:r>
      <w:hyperlink w:anchor="test_CT_058">
        <w:r>
          <w:rPr>
            <w:rStyle w:val="Hyperlink"/>
          </w:rPr>
          <w:t>CT-058</w:t>
        </w:r>
      </w:hyperlink>
      <w:r>
        <w:rPr/>
        <w:t xml:space="preserve">, </w:t>
      </w:r>
      <w:hyperlink w:anchor="test_CT_066">
        <w:r>
          <w:rPr>
            <w:rStyle w:val="Hyperlink"/>
          </w:rPr>
          <w:t>CT-066</w:t>
        </w:r>
      </w:hyperlink>
      <w:r>
        <w:rPr/>
        <w:t xml:space="preserve">  |  Basis: </w:t>
      </w:r>
      <w:hyperlink w:anchor="S00">
        <w:r>
          <w:rPr>
            <w:rStyle w:val="Hyperlink"/>
          </w:rPr>
          <w:t>S00</w:t>
        </w:r>
      </w:hyperlink>
      <w:r>
        <w:rPr/>
        <w:t xml:space="preserve">  |  new-v1.1</w:t>
      </w:r>
    </w:p>
    <w:p>
      <w:pPr>
        <w:pStyle w:val="Normal"/>
        <w:rPr/>
      </w:pPr>
      <w:r>
        <w:rPr/>
      </w:r>
      <w:r>
        <w:br w:type="page"/>
      </w:r>
    </w:p>
    <w:p>
      <w:pPr>
        <w:pStyle w:val="Heading1"/>
        <w:spacing w:before="0" w:after="180"/>
        <w:rPr/>
      </w:pPr>
      <w:bookmarkStart w:id="260" w:name="__RefHeading___Toc13387_1645000677"/>
      <w:bookmarkStart w:id="261" w:name="part_6"/>
      <w:bookmarkEnd w:id="260"/>
      <w:r>
        <w:rPr/>
        <w:t>Part VI — Assurance and operations</w:t>
      </w:r>
      <w:bookmarkEnd w:id="261"/>
    </w:p>
    <w:p>
      <w:pPr>
        <w:pStyle w:val="Heading2"/>
        <w:numPr>
          <w:ilvl w:val="0"/>
          <w:numId w:val="7"/>
        </w:numPr>
        <w:rPr/>
      </w:pPr>
      <w:bookmarkStart w:id="262" w:name="__RefHeading___Toc13389_1645000677"/>
      <w:bookmarkStart w:id="263" w:name="sec_47"/>
      <w:bookmarkEnd w:id="262"/>
      <w:r>
        <w:rPr/>
        <w:t>Assurance profiles and isolation decisions</w:t>
      </w:r>
      <w:bookmarkEnd w:id="263"/>
    </w:p>
    <w:p>
      <w:pPr>
        <w:pStyle w:val="BodyText"/>
        <w:rPr/>
      </w:pPr>
      <w:r>
        <w:rPr/>
        <w:t>Assurance Profiles are local realization policies, not official security categorization levels or a substitute for a system assurance determination. Standard, Enhanced and Dedicated select explicit separation and verification requirements. Their definitions must be versioned; a change to their meaning triggers re-evaluation of placements. All profiles retain tenant isolation, deny-by-default communication, independent management, attributable logging, protected credentials and tested recovery. [</w:t>
      </w:r>
      <w:hyperlink w:anchor="S03">
        <w:r>
          <w:rPr>
            <w:rStyle w:val="Hyperlink"/>
          </w:rPr>
          <w:t>S03</w:t>
        </w:r>
      </w:hyperlink>
      <w:r>
        <w:rPr/>
        <w:t xml:space="preserve">; </w:t>
      </w:r>
      <w:hyperlink w:anchor="S05">
        <w:r>
          <w:rPr>
            <w:rStyle w:val="Hyperlink"/>
          </w:rPr>
          <w:t>S05</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582"/>
        <w:gridCol w:w="2665"/>
        <w:gridCol w:w="2664"/>
        <w:gridCol w:w="2664"/>
      </w:tblGrid>
      <w:tr>
        <w:trPr>
          <w:tblHeader w:val="true"/>
          <w:cantSplit w:val="true"/>
        </w:trPr>
        <w:tc>
          <w:tcPr>
            <w:tcW w:w="158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Dimension</w:t>
            </w:r>
          </w:p>
        </w:tc>
        <w:tc>
          <w:tcPr>
            <w:tcW w:w="266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Standard</w:t>
            </w:r>
          </w:p>
        </w:tc>
        <w:tc>
          <w:tcPr>
            <w:tcW w:w="266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Enhanced</w:t>
            </w:r>
          </w:p>
        </w:tc>
        <w:tc>
          <w:tcPr>
            <w:tcW w:w="266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Dedicated</w:t>
            </w:r>
          </w:p>
        </w:tc>
      </w:tr>
      <w:tr>
        <w:trPr>
          <w:cantSplit w:val="true"/>
        </w:trPr>
        <w:tc>
          <w:tcPr>
            <w:tcW w:w="158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Tenant/domain sharing</w:t>
            </w:r>
          </w:p>
        </w:tc>
        <w:tc>
          <w:tcPr>
            <w:tcW w:w="266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Shared infrastructure; separate tenant authority and tested policy; domain sharing only within approved authority</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Dedicated logical routing and edge policy contexts for the WSD; shared hardware only as approved</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Named dedicated physical resources for the declared scope; no implicit sharing</w:t>
            </w:r>
          </w:p>
        </w:tc>
      </w:tr>
      <w:tr>
        <w:trPr>
          <w:cantSplit w:val="true"/>
        </w:trPr>
        <w:tc>
          <w:tcPr>
            <w:tcW w:w="158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Host co-residency</w:t>
            </w:r>
          </w:p>
        </w:tc>
        <w:tc>
          <w:tcPr>
            <w:tcW w:w="266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Zone-specific host pools by baseline; compatible tenants may share within that zone</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Zone-specific pools; tenant/WSD dedicated placement where required by the profile</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Dedicated host pool and explicit ancillary-service dependencies</w:t>
            </w:r>
          </w:p>
        </w:tc>
      </w:tr>
      <w:tr>
        <w:trPr>
          <w:cantSplit w:val="true"/>
        </w:trPr>
        <w:tc>
          <w:tcPr>
            <w:tcW w:w="158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Storage and copies</w:t>
            </w:r>
          </w:p>
        </w:tc>
        <w:tc>
          <w:tcPr>
            <w:tcW w:w="266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Access-controlled logical storage boundary, copy lineage and encryption</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Dedicated logical pool/key scope where supported and required; constrained administrative sharing</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Dedicated storage scope if selected; management/backup sharing separately decided</w:t>
            </w:r>
          </w:p>
        </w:tc>
      </w:tr>
      <w:tr>
        <w:trPr>
          <w:cantSplit w:val="true"/>
        </w:trPr>
        <w:tc>
          <w:tcPr>
            <w:tcW w:w="158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Management and edge</w:t>
            </w:r>
          </w:p>
        </w:tc>
        <w:tc>
          <w:tcPr>
            <w:tcW w:w="266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Isolated MZ, separate data/management contexts; qualified shared edge hardware</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Dedicated logical edge context plus stronger change/inspection controls</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Declared physical edge/management isolation scope; dependencies documented</w:t>
            </w:r>
          </w:p>
        </w:tc>
      </w:tr>
      <w:tr>
        <w:trPr>
          <w:cantSplit w:val="true"/>
        </w:trPr>
        <w:tc>
          <w:tcPr>
            <w:tcW w:w="158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Testing and recovery</w:t>
            </w:r>
          </w:p>
        </w:tc>
        <w:tc>
          <w:tcPr>
            <w:tcW w:w="266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Mandatory deployment subset; full qualification and scheduled recovery tests</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Additional compromise, failure, privilege and shared-component tests</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All required tests plus verification of physical dedication and independent recovery</w:t>
            </w:r>
          </w:p>
        </w:tc>
      </w:tr>
      <w:tr>
        <w:trPr>
          <w:cantSplit w:val="true"/>
        </w:trPr>
        <w:tc>
          <w:tcPr>
            <w:tcW w:w="158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Telemetry and review</w:t>
            </w:r>
          </w:p>
        </w:tc>
        <w:tc>
          <w:tcPr>
            <w:tcW w:w="266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Profile-defined event coverage, detection and retention objectives</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Tighter locally approved detection/review objectives and additional sensors</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Profile-defined objectives; physical dedication never replaces monitoring</w:t>
            </w:r>
          </w:p>
        </w:tc>
      </w:tr>
    </w:tbl>
    <w:p>
      <w:pPr>
        <w:pStyle w:val="BodyText"/>
        <w:rPr/>
      </w:pPr>
      <w:r>
        <w:rPr/>
        <w:t>Dedicated is a vector, not a single checkbox: host, cluster, storage, edge, management, backup, key custody and site can each be shared or dedicated. Record which are actually dedicated. Dedicated hosts connected to a shared management or backup plane do not make the whole service physically independent. Any alternative to the zone-specific host-pool baseline needs explicit risk acceptance and evidence addressing the virtualization guidance; an assurance label alone is insufficient. [</w:t>
      </w:r>
      <w:hyperlink w:anchor="S03">
        <w:r>
          <w:rPr>
            <w:rStyle w:val="Hyperlink"/>
          </w:rPr>
          <w:t>S03</w:t>
        </w:r>
      </w:hyperlink>
      <w:r>
        <w:rPr/>
        <w:t>]</w:t>
      </w:r>
    </w:p>
    <w:p>
      <w:pPr>
        <w:pStyle w:val="BodyText"/>
        <w:rPr/>
      </w:pPr>
      <w:r>
        <w:rPr/>
        <w:t>The profile fixes mandatory test sets, evidence freshness, operator review, maximum exception age and recovery cadence. Numeric values in Appendix F are proposed engineering starting points, not statements of government policy or delivered service guarantees. A production profile cannot be Qualified while mandatory numeric parameters, owners or approval references are missing.</w:t>
      </w:r>
    </w:p>
    <w:p>
      <w:pPr>
        <w:pStyle w:val="Requirement"/>
        <w:keepNext w:val="true"/>
        <w:rPr/>
      </w:pPr>
      <w:bookmarkStart w:id="264" w:name="req_ASSUR_001"/>
      <w:bookmarkEnd w:id="264"/>
      <w:r>
        <w:rPr>
          <w:rStyle w:val="ReqID"/>
        </w:rPr>
        <w:t xml:space="preserve">ASSUR-001  </w:t>
      </w:r>
      <w:r>
        <w:rPr/>
        <w:t>Assurance profile selection SHALL be based on system security requirements and risk analysis rather than tenant preference alone.</w:t>
      </w:r>
    </w:p>
    <w:p>
      <w:pPr>
        <w:pStyle w:val="ReqMeta"/>
        <w:rPr/>
      </w:pPr>
      <w:r>
        <w:rPr/>
        <w:t xml:space="preserve">Security authority  |  Verify: </w:t>
      </w:r>
      <w:hyperlink w:anchor="test_CT_035">
        <w:r>
          <w:rPr>
            <w:rStyle w:val="Hyperlink"/>
          </w:rPr>
          <w:t>CT-035</w:t>
        </w:r>
      </w:hyperlink>
      <w:r>
        <w:rPr/>
        <w:t xml:space="preserve">, </w:t>
      </w:r>
      <w:hyperlink w:anchor="test_CT_062">
        <w:r>
          <w:rPr>
            <w:rStyle w:val="Hyperlink"/>
          </w:rPr>
          <w:t>CT-062</w:t>
        </w:r>
      </w:hyperlink>
      <w:r>
        <w:rPr/>
        <w:t xml:space="preserve">  |  Basis: </w:t>
      </w:r>
      <w:hyperlink w:anchor="S00">
        <w:r>
          <w:rPr>
            <w:rStyle w:val="Hyperlink"/>
          </w:rPr>
          <w:t>S00</w:t>
        </w:r>
      </w:hyperlink>
      <w:r>
        <w:rPr/>
        <w:t xml:space="preserve"> / </w:t>
      </w:r>
      <w:hyperlink w:anchor="S03">
        <w:r>
          <w:rPr>
            <w:rStyle w:val="Hyperlink"/>
          </w:rPr>
          <w:t>S03</w:t>
        </w:r>
      </w:hyperlink>
      <w:r>
        <w:rPr/>
        <w:t xml:space="preserve"> / </w:t>
      </w:r>
      <w:hyperlink w:anchor="S05">
        <w:r>
          <w:rPr>
            <w:rStyle w:val="Hyperlink"/>
          </w:rPr>
          <w:t>S05</w:t>
        </w:r>
      </w:hyperlink>
      <w:r>
        <w:rPr/>
        <w:t xml:space="preserve">  |  retained-v1.0</w:t>
      </w:r>
    </w:p>
    <w:p>
      <w:pPr>
        <w:pStyle w:val="Requirement"/>
        <w:keepNext w:val="true"/>
        <w:rPr/>
      </w:pPr>
      <w:bookmarkStart w:id="265" w:name="req_ASSUR_002"/>
      <w:bookmarkEnd w:id="265"/>
      <w:r>
        <w:rPr>
          <w:rStyle w:val="ReqID"/>
        </w:rPr>
        <w:t xml:space="preserve">ASSUR-002  </w:t>
      </w:r>
      <w:r>
        <w:rPr/>
        <w:t>Assurance profiles SHALL define explicit isolation for compute, storage, routing, edge, management, backup and keys, with measurable verification and exception rules; “dedicated” SHALL identify its actual resource scope.</w:t>
      </w:r>
    </w:p>
    <w:p>
      <w:pPr>
        <w:pStyle w:val="ReqMeta"/>
        <w:rPr/>
      </w:pPr>
      <w:r>
        <w:rPr/>
        <w:t xml:space="preserve">Security authority  |  Verify: </w:t>
      </w:r>
      <w:hyperlink w:anchor="test_CT_018">
        <w:r>
          <w:rPr>
            <w:rStyle w:val="Hyperlink"/>
          </w:rPr>
          <w:t>CT-018</w:t>
        </w:r>
      </w:hyperlink>
      <w:r>
        <w:rPr/>
        <w:t xml:space="preserve">, </w:t>
      </w:r>
      <w:hyperlink w:anchor="test_CT_035">
        <w:r>
          <w:rPr>
            <w:rStyle w:val="Hyperlink"/>
          </w:rPr>
          <w:t>CT-035</w:t>
        </w:r>
      </w:hyperlink>
      <w:r>
        <w:rPr/>
        <w:t xml:space="preserve">, </w:t>
      </w:r>
      <w:hyperlink w:anchor="test_CT_037">
        <w:r>
          <w:rPr>
            <w:rStyle w:val="Hyperlink"/>
          </w:rPr>
          <w:t>CT-037</w:t>
        </w:r>
      </w:hyperlink>
      <w:r>
        <w:rPr/>
        <w:t xml:space="preserve">, </w:t>
      </w:r>
      <w:hyperlink w:anchor="test_CT_062">
        <w:r>
          <w:rPr>
            <w:rStyle w:val="Hyperlink"/>
          </w:rPr>
          <w:t>CT-062</w:t>
        </w:r>
      </w:hyperlink>
      <w:r>
        <w:rPr/>
        <w:t xml:space="preserve">  |  Basis: </w:t>
      </w:r>
      <w:hyperlink w:anchor="S03">
        <w:r>
          <w:rPr>
            <w:rStyle w:val="Hyperlink"/>
          </w:rPr>
          <w:t>S03</w:t>
        </w:r>
      </w:hyperlink>
      <w:r>
        <w:rPr/>
        <w:t xml:space="preserve"> / </w:t>
      </w:r>
      <w:hyperlink w:anchor="S05">
        <w:r>
          <w:rPr>
            <w:rStyle w:val="Hyperlink"/>
          </w:rPr>
          <w:t>S05</w:t>
        </w:r>
      </w:hyperlink>
      <w:r>
        <w:rPr/>
        <w:t xml:space="preserve">  |  new-v1.1</w:t>
      </w:r>
    </w:p>
    <w:p>
      <w:pPr>
        <w:pStyle w:val="Requirement"/>
        <w:keepNext w:val="true"/>
        <w:rPr/>
      </w:pPr>
      <w:bookmarkStart w:id="266" w:name="req_ASSUR_003"/>
      <w:bookmarkEnd w:id="266"/>
      <w:r>
        <w:rPr>
          <w:rStyle w:val="ReqID"/>
        </w:rPr>
        <w:t xml:space="preserve">ASSUR-003  </w:t>
      </w:r>
      <w:r>
        <w:rPr/>
        <w:t>A production profile SHALL have approved parameter values, owners, applicable test sets and evidence freshness limits; incomplete or expired profiles SHALL be ineligible for new production placement.</w:t>
      </w:r>
    </w:p>
    <w:p>
      <w:pPr>
        <w:pStyle w:val="ReqMeta"/>
        <w:rPr/>
      </w:pPr>
      <w:r>
        <w:rPr/>
        <w:t xml:space="preserve">Security authority  |  Verify: </w:t>
      </w:r>
      <w:hyperlink w:anchor="test_CT_018">
        <w:r>
          <w:rPr>
            <w:rStyle w:val="Hyperlink"/>
          </w:rPr>
          <w:t>CT-018</w:t>
        </w:r>
      </w:hyperlink>
      <w:r>
        <w:rPr/>
        <w:t xml:space="preserve">, </w:t>
      </w:r>
      <w:hyperlink w:anchor="test_CT_058">
        <w:r>
          <w:rPr>
            <w:rStyle w:val="Hyperlink"/>
          </w:rPr>
          <w:t>CT-058</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Heading2"/>
        <w:numPr>
          <w:ilvl w:val="0"/>
          <w:numId w:val="7"/>
        </w:numPr>
        <w:rPr/>
      </w:pPr>
      <w:bookmarkStart w:id="267" w:name="__RefHeading___Toc13391_1645000677"/>
      <w:bookmarkStart w:id="268" w:name="sec_48"/>
      <w:bookmarkEnd w:id="267"/>
      <w:r>
        <w:rPr/>
        <w:t>Conformance framework and test execution</w:t>
      </w:r>
      <w:bookmarkEnd w:id="268"/>
    </w:p>
    <w:p>
      <w:pPr>
        <w:pStyle w:val="BodyText"/>
        <w:rPr/>
      </w:pPr>
      <w:r>
        <w:rPr/>
        <w:t>Appendix D specifies 80 tests spanning contracts, network isolation, authority, compute, storage, cryptography, lifecycle, failure and recovery. These are test procedures and expected outcomes, not claims of executed platform tests. Every requirement points to one or more procedures; a procedure may evaluate several related requirements. Test results are generated only by a qualified test runner or an attributable assessor, never inferred from a successful Terraform exit code.</w:t>
      </w:r>
    </w:p>
    <w:p>
      <w:pPr>
        <w:pStyle w:val="BodyText"/>
        <w:rPr/>
      </w:pPr>
      <w:r>
        <w:rPr/>
        <w:t>Each execution records target release/capability tuple, profile versions, test-suite digest, topology, address families, vantage points, time, procedure, observations, expected outcome, pass/fail/blocked/not-applicable decision and evidence. A forbidden-flow test passes when the flow is demonstrably denied by the intended control. Timeout alone is not proof: verify that the endpoints and allowed control path are healthy and collect policy/route evidence. A blocked or unexecuted mandatory test does not count as a pass.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303"/>
        <w:gridCol w:w="7272"/>
      </w:tblGrid>
      <w:tr>
        <w:trPr>
          <w:tblHeader w:val="true"/>
          <w:cantSplit w:val="true"/>
        </w:trPr>
        <w:tc>
          <w:tcPr>
            <w:tcW w:w="230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Execution stage</w:t>
            </w:r>
          </w:p>
        </w:tc>
        <w:tc>
          <w:tcPr>
            <w:tcW w:w="727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Minimum selection and decision</w:t>
            </w:r>
          </w:p>
        </w:tc>
      </w:tr>
      <w:tr>
        <w:trPr>
          <w:cantSplit w:val="true"/>
        </w:trPr>
        <w:tc>
          <w:tcPr>
            <w:tcW w:w="230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Platform qualification</w:t>
            </w:r>
          </w:p>
        </w:tc>
        <w:tc>
          <w:tcPr>
            <w:tcW w:w="72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All applicable catalogue tests, exact product/provider tuple, positive and negative paths, scale/failure/recovery evidence and independent review</w:t>
            </w:r>
          </w:p>
        </w:tc>
      </w:tr>
      <w:tr>
        <w:trPr>
          <w:cantSplit w:val="true"/>
        </w:trPr>
        <w:tc>
          <w:tcPr>
            <w:tcW w:w="230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WSD creation/change</w:t>
            </w:r>
          </w:p>
        </w:tc>
        <w:tc>
          <w:tcPr>
            <w:tcW w:w="727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Contract/admission, changed paths plus stable isolation controls, logging, readiness and lifecycle dependencies; destructive failure tests remain in a representative qualified environment</w:t>
            </w:r>
          </w:p>
        </w:tc>
      </w:tr>
      <w:tr>
        <w:trPr>
          <w:cantSplit w:val="true"/>
        </w:trPr>
        <w:tc>
          <w:tcPr>
            <w:tcW w:w="230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Upgrade/change to shared foundation</w:t>
            </w:r>
          </w:p>
        </w:tc>
        <w:tc>
          <w:tcPr>
            <w:tcW w:w="72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Regression scoped by affected features and dependencies; canary rollout and rollback/fencing evidence before broad promotion</w:t>
            </w:r>
          </w:p>
        </w:tc>
      </w:tr>
      <w:tr>
        <w:trPr>
          <w:cantSplit w:val="true"/>
        </w:trPr>
        <w:tc>
          <w:tcPr>
            <w:tcW w:w="230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Continuous operation</w:t>
            </w:r>
          </w:p>
        </w:tc>
        <w:tc>
          <w:tcPr>
            <w:tcW w:w="727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Drift, identity/certificate/exception expiry, evidence freshness, telemetry health and periodic selected isolation checks</w:t>
            </w:r>
          </w:p>
        </w:tc>
      </w:tr>
      <w:tr>
        <w:trPr>
          <w:cantSplit w:val="true"/>
        </w:trPr>
        <w:tc>
          <w:tcPr>
            <w:tcW w:w="230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Recovery and retirement</w:t>
            </w:r>
          </w:p>
        </w:tc>
        <w:tc>
          <w:tcPr>
            <w:tcW w:w="727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Restore data and application checks, isolation and RTO/RPO measurement; resource/copy/identity deletion or explicit retention evidence</w:t>
            </w:r>
          </w:p>
        </w:tc>
      </w:tr>
    </w:tbl>
    <w:p>
      <w:pPr>
        <w:pStyle w:val="BodyText"/>
        <w:rPr/>
      </w:pPr>
      <w:r>
        <w:rPr/>
        <w:t>Use an authorized isolated test environment for intrusive fault injection, spoofing attempts or management-loss scenarios. Production probes must be rate-limited and approved. Platform equivalence is demonstrated using the same logical intent and expected security/service outcomes; topology-specific tests are added where implementation mechanisms differ. Testing a small representative topology does not establish unlimited scale or exhaustively prove absence of every path.</w:t>
      </w:r>
    </w:p>
    <w:p>
      <w:pPr>
        <w:pStyle w:val="Requirement"/>
        <w:keepNext w:val="true"/>
        <w:rPr/>
      </w:pPr>
      <w:bookmarkStart w:id="269" w:name="req_TEST_001"/>
      <w:bookmarkEnd w:id="269"/>
      <w:r>
        <w:rPr>
          <w:rStyle w:val="ReqID"/>
        </w:rPr>
        <w:t xml:space="preserve">TEST-001  </w:t>
      </w:r>
      <w:r>
        <w:rPr/>
        <w:t>Negative tests SHALL be first-class acceptance criteria; proving that an allowed flow works is insufficient.</w:t>
      </w:r>
    </w:p>
    <w:p>
      <w:pPr>
        <w:pStyle w:val="ReqMeta"/>
        <w:rPr/>
      </w:pPr>
      <w:r>
        <w:rPr/>
        <w:t xml:space="preserve">Assurance engineering  |  Verify: </w:t>
      </w:r>
      <w:hyperlink w:anchor="test_CT_001">
        <w:r>
          <w:rPr>
            <w:rStyle w:val="Hyperlink"/>
          </w:rPr>
          <w:t>CT-001</w:t>
        </w:r>
      </w:hyperlink>
      <w:r>
        <w:rPr/>
        <w:t xml:space="preserve">, </w:t>
      </w:r>
      <w:hyperlink w:anchor="test_CT_002">
        <w:r>
          <w:rPr>
            <w:rStyle w:val="Hyperlink"/>
          </w:rPr>
          <w:t>CT-002</w:t>
        </w:r>
      </w:hyperlink>
      <w:r>
        <w:rPr/>
        <w:t xml:space="preserve">, </w:t>
      </w:r>
      <w:hyperlink w:anchor="test_CT_003">
        <w:r>
          <w:rPr>
            <w:rStyle w:val="Hyperlink"/>
          </w:rPr>
          <w:t>CT-003</w:t>
        </w:r>
      </w:hyperlink>
      <w:r>
        <w:rPr/>
        <w:t xml:space="preserve">, </w:t>
      </w:r>
      <w:hyperlink w:anchor="test_CT_007">
        <w:r>
          <w:rPr>
            <w:rStyle w:val="Hyperlink"/>
          </w:rPr>
          <w:t>CT-007</w:t>
        </w:r>
      </w:hyperlink>
      <w:r>
        <w:rPr/>
        <w:t xml:space="preserve">  |  Basis: </w:t>
      </w:r>
      <w:hyperlink w:anchor="S00">
        <w:r>
          <w:rPr>
            <w:rStyle w:val="Hyperlink"/>
          </w:rPr>
          <w:t>S00</w:t>
        </w:r>
      </w:hyperlink>
      <w:r>
        <w:rPr/>
        <w:t xml:space="preserve">  |  retained-v1.0</w:t>
      </w:r>
    </w:p>
    <w:p>
      <w:pPr>
        <w:pStyle w:val="Requirement"/>
        <w:keepNext w:val="true"/>
        <w:rPr/>
      </w:pPr>
      <w:bookmarkStart w:id="270" w:name="req_TEST_002"/>
      <w:bookmarkEnd w:id="270"/>
      <w:r>
        <w:rPr>
          <w:rStyle w:val="ReqID"/>
        </w:rPr>
        <w:t xml:space="preserve">TEST-002  </w:t>
      </w:r>
      <w:r>
        <w:rPr/>
        <w:t>A platform upgrade SHALL trigger an appropriate regression/conformance test set before broad production rollout.</w:t>
      </w:r>
    </w:p>
    <w:p>
      <w:pPr>
        <w:pStyle w:val="ReqMeta"/>
        <w:rPr/>
      </w:pPr>
      <w:r>
        <w:rPr/>
        <w:t xml:space="preserve">Assurance engineering  |  Verify: </w:t>
      </w:r>
      <w:hyperlink w:anchor="test_CT_015">
        <w:r>
          <w:rPr>
            <w:rStyle w:val="Hyperlink"/>
          </w:rPr>
          <w:t>CT-015</w:t>
        </w:r>
      </w:hyperlink>
      <w:r>
        <w:rPr/>
        <w:t xml:space="preserve">, </w:t>
      </w:r>
      <w:hyperlink w:anchor="test_CT_018">
        <w:r>
          <w:rPr>
            <w:rStyle w:val="Hyperlink"/>
          </w:rPr>
          <w:t>CT-018</w:t>
        </w:r>
      </w:hyperlink>
      <w:r>
        <w:rPr/>
        <w:t xml:space="preserve">  |  Basis: </w:t>
      </w:r>
      <w:hyperlink w:anchor="S00">
        <w:r>
          <w:rPr>
            <w:rStyle w:val="Hyperlink"/>
          </w:rPr>
          <w:t>S00</w:t>
        </w:r>
      </w:hyperlink>
      <w:r>
        <w:rPr/>
        <w:t xml:space="preserve">  |  retained-v1.0</w:t>
      </w:r>
    </w:p>
    <w:p>
      <w:pPr>
        <w:pStyle w:val="Requirement"/>
        <w:keepNext w:val="true"/>
        <w:rPr/>
      </w:pPr>
      <w:bookmarkStart w:id="271" w:name="req_TEST_003"/>
      <w:bookmarkEnd w:id="271"/>
      <w:r>
        <w:rPr>
          <w:rStyle w:val="ReqID"/>
        </w:rPr>
        <w:t xml:space="preserve">TEST-003  </w:t>
      </w:r>
      <w:r>
        <w:rPr/>
        <w:t>Every test execution SHALL record target versions, preconditions, healthy control paths, observation, expected outcome and attributable evidence; blocked, not-run or unjustified not-applicable results SHALL NOT satisfy mandatory gates.</w:t>
      </w:r>
    </w:p>
    <w:p>
      <w:pPr>
        <w:pStyle w:val="ReqMeta"/>
        <w:rPr/>
      </w:pPr>
      <w:r>
        <w:rPr/>
        <w:t xml:space="preserve">Assurance engineering  |  Verify: </w:t>
      </w:r>
      <w:hyperlink w:anchor="test_CT_049">
        <w:r>
          <w:rPr>
            <w:rStyle w:val="Hyperlink"/>
          </w:rPr>
          <w:t>CT-049</w:t>
        </w:r>
      </w:hyperlink>
      <w:r>
        <w:rPr/>
        <w:t xml:space="preserve">, </w:t>
      </w:r>
      <w:hyperlink w:anchor="test_CT_069">
        <w:r>
          <w:rPr>
            <w:rStyle w:val="Hyperlink"/>
          </w:rPr>
          <w:t>CT-069</w:t>
        </w:r>
      </w:hyperlink>
      <w:r>
        <w:rPr/>
        <w:t xml:space="preserve">, </w:t>
      </w:r>
      <w:hyperlink w:anchor="test_CT_075">
        <w:r>
          <w:rPr>
            <w:rStyle w:val="Hyperlink"/>
          </w:rPr>
          <w:t>CT-075</w:t>
        </w:r>
      </w:hyperlink>
      <w:r>
        <w:rPr/>
        <w:t xml:space="preserve">  |  Basis: </w:t>
      </w:r>
      <w:hyperlink w:anchor="S00">
        <w:r>
          <w:rPr>
            <w:rStyle w:val="Hyperlink"/>
          </w:rPr>
          <w:t>S00</w:t>
        </w:r>
      </w:hyperlink>
      <w:r>
        <w:rPr/>
        <w:t xml:space="preserve">  |  new-v1.1</w:t>
      </w:r>
    </w:p>
    <w:p>
      <w:pPr>
        <w:pStyle w:val="Requirement"/>
        <w:keepNext w:val="true"/>
        <w:rPr/>
      </w:pPr>
      <w:bookmarkStart w:id="272" w:name="req_TEST_004"/>
      <w:bookmarkEnd w:id="272"/>
      <w:r>
        <w:rPr>
          <w:rStyle w:val="ReqID"/>
        </w:rPr>
        <w:t xml:space="preserve">TEST-004  </w:t>
      </w:r>
      <w:r>
        <w:rPr/>
        <w:t>Fault-injection and intrusive negative tests SHALL run only within an approved scope, safety envelope and recovery procedure; production testing SHALL protect unrelated tenants.</w:t>
      </w:r>
    </w:p>
    <w:p>
      <w:pPr>
        <w:pStyle w:val="ReqMeta"/>
        <w:rPr/>
      </w:pPr>
      <w:r>
        <w:rPr/>
        <w:t xml:space="preserve">Assurance engineering  |  Verify: </w:t>
      </w:r>
      <w:hyperlink w:anchor="test_CT_011">
        <w:r>
          <w:rPr>
            <w:rStyle w:val="Hyperlink"/>
          </w:rPr>
          <w:t>CT-011</w:t>
        </w:r>
      </w:hyperlink>
      <w:r>
        <w:rPr/>
        <w:t xml:space="preserve">, </w:t>
      </w:r>
      <w:hyperlink w:anchor="test_CT_012">
        <w:r>
          <w:rPr>
            <w:rStyle w:val="Hyperlink"/>
          </w:rPr>
          <w:t>CT-012</w:t>
        </w:r>
      </w:hyperlink>
      <w:r>
        <w:rPr/>
        <w:t xml:space="preserve">, </w:t>
      </w:r>
      <w:hyperlink w:anchor="test_CT_034">
        <w:r>
          <w:rPr>
            <w:rStyle w:val="Hyperlink"/>
          </w:rPr>
          <w:t>CT-034</w:t>
        </w:r>
      </w:hyperlink>
      <w:r>
        <w:rPr/>
        <w:t xml:space="preserve">, </w:t>
      </w:r>
      <w:hyperlink w:anchor="test_CT_054">
        <w:r>
          <w:rPr>
            <w:rStyle w:val="Hyperlink"/>
          </w:rPr>
          <w:t>CT-054</w:t>
        </w:r>
      </w:hyperlink>
      <w:r>
        <w:rPr/>
        <w:t xml:space="preserve">  |  Basis: </w:t>
      </w:r>
      <w:hyperlink w:anchor="S00">
        <w:r>
          <w:rPr>
            <w:rStyle w:val="Hyperlink"/>
          </w:rPr>
          <w:t>S00</w:t>
        </w:r>
      </w:hyperlink>
      <w:r>
        <w:rPr/>
        <w:t xml:space="preserve">  |  new-v1.1</w:t>
      </w:r>
    </w:p>
    <w:p>
      <w:pPr>
        <w:pStyle w:val="Heading2"/>
        <w:numPr>
          <w:ilvl w:val="0"/>
          <w:numId w:val="7"/>
        </w:numPr>
        <w:rPr/>
      </w:pPr>
      <w:bookmarkStart w:id="273" w:name="__RefHeading___Toc13393_1645000677"/>
      <w:bookmarkStart w:id="274" w:name="sec_49"/>
      <w:bookmarkEnd w:id="273"/>
      <w:r>
        <w:rPr/>
        <w:t>Evidence, controls and authorization records</w:t>
      </w:r>
      <w:bookmarkEnd w:id="274"/>
    </w:p>
    <w:p>
      <w:pPr>
        <w:pStyle w:val="BodyText"/>
        <w:rPr/>
      </w:pPr>
      <w:r>
        <w:rPr/>
        <w:t>An EvidenceRecord is a signed or equivalently tamper-evident manifest that binds requested intent, admission decisions, profiles, placement, IPAM leases, routes, boundary relationships, Terraform/module/provider/runner digests, realized resources, tests and exceptions. Store large logs/configurations separately with immutable identifiers and integrity digests. Grant assessors the necessary read scope without exposing other tenants or secret-bearing state. Evidence sensitivity can exceed the sensitivity of any single displayed field. [</w:t>
      </w:r>
      <w:hyperlink w:anchor="S05">
        <w:r>
          <w:rPr>
            <w:rStyle w:val="Hyperlink"/>
          </w:rPr>
          <w:t>S05</w:t>
        </w:r>
      </w:hyperlink>
      <w:r>
        <w:rPr/>
        <w:t xml:space="preserve">; </w:t>
      </w:r>
      <w:hyperlink w:anchor="S11">
        <w:r>
          <w:rPr>
            <w:rStyle w:val="Hyperlink"/>
          </w:rPr>
          <w:t>S11</w:t>
        </w:r>
      </w:hyperlink>
      <w:r>
        <w:rPr/>
        <w:t>]</w:t>
      </w:r>
    </w:p>
    <w:p>
      <w:pPr>
        <w:pStyle w:val="Normal"/>
        <w:keepNext w:val="true"/>
        <w:jc w:val="center"/>
        <w:rPr/>
      </w:pPr>
      <w:r>
        <w:rPr/>
        <w:drawing>
          <wp:inline distT="0" distB="0" distL="0" distR="0">
            <wp:extent cx="2451735" cy="5029200"/>
            <wp:effectExtent l="0" t="0" r="0" b="0"/>
            <wp:docPr id="5" name="Picture 5" descr="A handbook requirement and source-edition mapping lead to an approved intent/profile, a realized object and a test result. Their signed artifact references form an evidence record. Technical conformance and Service Ready conditions are evaluated separately from an independently issued authorization decision. Exceptions and incident overrides remain visible in the chain." title="An attributable chain from requirement to operational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handbook requirement and source-edition mapping lead to an approved intent/profile, a realized object and a test result. Their signed artifact references form an evidence record. Technical conformance and Service Ready conditions are evaluated separately from an independently issued authorization decision. Exceptions and incident overrides remain visible in the chain." title="An attributable chain from requirement to operational decision"/>
                    <pic:cNvPicPr>
                      <a:picLocks noChangeAspect="1" noChangeArrowheads="1"/>
                    </pic:cNvPicPr>
                  </pic:nvPicPr>
                  <pic:blipFill>
                    <a:blip r:embed="rId6"/>
                    <a:stretch>
                      <a:fillRect/>
                    </a:stretch>
                  </pic:blipFill>
                  <pic:spPr bwMode="auto">
                    <a:xfrm>
                      <a:off x="0" y="0"/>
                      <a:ext cx="2451735" cy="5029200"/>
                    </a:xfrm>
                    <a:prstGeom prst="rect">
                      <a:avLst/>
                    </a:prstGeom>
                    <a:noFill/>
                  </pic:spPr>
                </pic:pic>
              </a:graphicData>
            </a:graphic>
          </wp:inline>
        </w:drawing>
      </w:r>
    </w:p>
    <w:p>
      <w:pPr>
        <w:pStyle w:val="Caption"/>
        <w:jc w:val="center"/>
        <w:rPr/>
      </w:pPr>
      <w:r>
        <w:rPr/>
        <w:t xml:space="preserve">Figure </w:t>
      </w:r>
      <w:bookmarkStart w:id="275" w:name="fig_evidence"/>
      <w:r>
        <w:rPr/>
        <w:fldChar w:fldCharType="begin"/>
      </w:r>
      <w:r>
        <w:rPr/>
        <w:instrText xml:space="preserve"> SEQ Figure \* ARABIC </w:instrText>
      </w:r>
      <w:r>
        <w:rPr/>
        <w:fldChar w:fldCharType="separate"/>
      </w:r>
      <w:r>
        <w:rPr/>
        <w:t>5</w:t>
      </w:r>
      <w:r>
        <w:rPr/>
        <w:fldChar w:fldCharType="end"/>
      </w:r>
      <w:bookmarkEnd w:id="275"/>
      <w:r>
        <w:rPr/>
        <w:t>. An attributable chain from requirement to operational decision</w:t>
      </w:r>
    </w:p>
    <w:p>
      <w:pPr>
        <w:pStyle w:val="BodyText"/>
        <w:rPr/>
      </w:pPr>
      <w:r>
        <w:rPr/>
        <w:t>Control results map a specific requirement and source edition/control selection to implementation owner, realized object, test execution and artifact. The family mappings in Appendix E are candidate selection aids. The adopting assessor must select actual ITSP.10.033 controls, enhancements and organization-defined parameters and decide inheritance from shared services. The package intentionally does not label a family-level mapping as a completed security assessment. [</w:t>
      </w:r>
      <w:hyperlink w:anchor="S05">
        <w:r>
          <w:rPr>
            <w:rStyle w:val="Hyperlink"/>
          </w:rPr>
          <w:t>S05</w:t>
        </w:r>
      </w:hyperlink>
      <w:r>
        <w:rPr/>
        <w:t>]</w:t>
      </w:r>
    </w:p>
    <w:p>
      <w:pPr>
        <w:pStyle w:val="BodyText"/>
        <w:rPr/>
      </w:pPr>
      <w:r>
        <w:rPr/>
        <w:t>Separate technicalConformance, serviceReadiness and authorizationDecisionRef. A technical failure may suspend service readiness or trigger an authorized containment action; it does not delete or rewrite the historical authorization decision. An AuthorizationDecision records the authorized scope, issued-by authority, date, validity/review conditions, residual risks and conditions of operation. Only the designated authority issues or modifies that decision. The controller evaluates whether current operation still satisfies its conditions.</w:t>
      </w:r>
    </w:p>
    <w:p>
      <w:pPr>
        <w:pStyle w:val="BodyText"/>
        <w:rPr/>
      </w:pPr>
      <w:r>
        <w:rPr/>
        <w:t>Evidence includes a collection time, the target generation, profile/capability digests and expiry/freshness policy. A passing test against yesterday’s topology cannot automatically validate a changed route today. Archive retirement evidence and retained-data obligations using stable tombstone identifiers so a deleted workload remains auditable without retaining unrestricted live access.</w:t>
      </w:r>
    </w:p>
    <w:p>
      <w:pPr>
        <w:pStyle w:val="Requirement"/>
        <w:keepNext w:val="true"/>
        <w:rPr/>
      </w:pPr>
      <w:bookmarkStart w:id="276" w:name="req_EVID_001"/>
      <w:bookmarkEnd w:id="276"/>
      <w:r>
        <w:rPr>
          <w:rStyle w:val="ReqID"/>
        </w:rPr>
        <w:t xml:space="preserve">EVID-001  </w:t>
      </w:r>
      <w:r>
        <w:rPr/>
        <w:t>The evidence record SHALL identify the source revision, policy version, provider/module versions, realized security relationships, test results, and active exceptions.</w:t>
      </w:r>
    </w:p>
    <w:p>
      <w:pPr>
        <w:pStyle w:val="ReqMeta"/>
        <w:rPr/>
      </w:pPr>
      <w:r>
        <w:rPr/>
        <w:t xml:space="preserve">Assurance engineering  |  Verify: </w:t>
      </w:r>
      <w:hyperlink w:anchor="test_CT_049">
        <w:r>
          <w:rPr>
            <w:rStyle w:val="Hyperlink"/>
          </w:rPr>
          <w:t>CT-049</w:t>
        </w:r>
      </w:hyperlink>
      <w:r>
        <w:rPr/>
        <w:t xml:space="preserve">, </w:t>
      </w:r>
      <w:hyperlink w:anchor="test_CT_069">
        <w:r>
          <w:rPr>
            <w:rStyle w:val="Hyperlink"/>
          </w:rPr>
          <w:t>CT-069</w:t>
        </w:r>
      </w:hyperlink>
      <w:r>
        <w:rPr/>
        <w:t xml:space="preserve">, </w:t>
      </w:r>
      <w:hyperlink w:anchor="test_CT_075">
        <w:r>
          <w:rPr>
            <w:rStyle w:val="Hyperlink"/>
          </w:rPr>
          <w:t>CT-075</w:t>
        </w:r>
      </w:hyperlink>
      <w:r>
        <w:rPr/>
        <w:t xml:space="preserve">  |  Basis: </w:t>
      </w:r>
      <w:hyperlink w:anchor="S00">
        <w:r>
          <w:rPr>
            <w:rStyle w:val="Hyperlink"/>
          </w:rPr>
          <w:t>S00</w:t>
        </w:r>
      </w:hyperlink>
      <w:r>
        <w:rPr/>
        <w:t xml:space="preserve">  |  retained-v1.0</w:t>
      </w:r>
    </w:p>
    <w:p>
      <w:pPr>
        <w:pStyle w:val="Requirement"/>
        <w:keepNext w:val="true"/>
        <w:rPr/>
      </w:pPr>
      <w:bookmarkStart w:id="277" w:name="req_EVID_002"/>
      <w:bookmarkEnd w:id="277"/>
      <w:r>
        <w:rPr>
          <w:rStyle w:val="ReqID"/>
        </w:rPr>
        <w:t xml:space="preserve">EVID-002  </w:t>
      </w:r>
      <w:r>
        <w:rPr/>
        <w:t>Evidence SHALL bind target generation, source/profile/capability/dependency digests, artifact integrity, collection time, test executions and active exceptions; freshness SHALL be evaluated after material changes.</w:t>
      </w:r>
    </w:p>
    <w:p>
      <w:pPr>
        <w:pStyle w:val="ReqMeta"/>
        <w:rPr/>
      </w:pPr>
      <w:r>
        <w:rPr/>
        <w:t xml:space="preserve">Assurance engineering  |  Verify: </w:t>
      </w:r>
      <w:hyperlink w:anchor="test_CT_048">
        <w:r>
          <w:rPr>
            <w:rStyle w:val="Hyperlink"/>
          </w:rPr>
          <w:t>CT-048</w:t>
        </w:r>
      </w:hyperlink>
      <w:r>
        <w:rPr/>
        <w:t xml:space="preserve">, </w:t>
      </w:r>
      <w:hyperlink w:anchor="test_CT_049">
        <w:r>
          <w:rPr>
            <w:rStyle w:val="Hyperlink"/>
          </w:rPr>
          <w:t>CT-049</w:t>
        </w:r>
      </w:hyperlink>
      <w:r>
        <w:rPr/>
        <w:t xml:space="preserve">, </w:t>
      </w:r>
      <w:hyperlink w:anchor="test_CT_069">
        <w:r>
          <w:rPr>
            <w:rStyle w:val="Hyperlink"/>
          </w:rPr>
          <w:t>CT-069</w:t>
        </w:r>
      </w:hyperlink>
      <w:r>
        <w:rPr/>
        <w:t xml:space="preserve">  |  Basis: </w:t>
      </w:r>
      <w:hyperlink w:anchor="S05">
        <w:r>
          <w:rPr>
            <w:rStyle w:val="Hyperlink"/>
          </w:rPr>
          <w:t>S05</w:t>
        </w:r>
      </w:hyperlink>
      <w:r>
        <w:rPr/>
        <w:t xml:space="preserve"> / </w:t>
      </w:r>
      <w:hyperlink w:anchor="S11">
        <w:r>
          <w:rPr>
            <w:rStyle w:val="Hyperlink"/>
          </w:rPr>
          <w:t>S11</w:t>
        </w:r>
      </w:hyperlink>
      <w:r>
        <w:rPr/>
        <w:t xml:space="preserve">  |  new-v1.1</w:t>
      </w:r>
    </w:p>
    <w:p>
      <w:pPr>
        <w:pStyle w:val="Requirement"/>
        <w:keepNext w:val="true"/>
        <w:rPr/>
      </w:pPr>
      <w:bookmarkStart w:id="278" w:name="req_EVID_003"/>
      <w:bookmarkEnd w:id="278"/>
      <w:r>
        <w:rPr>
          <w:rStyle w:val="ReqID"/>
        </w:rPr>
        <w:t xml:space="preserve">EVID-003  </w:t>
      </w:r>
      <w:r>
        <w:rPr/>
        <w:t>Formal authorization decisions SHALL be issued by the designated authority and retained separately from technical test status, with scope, validity and operating conditions that the controller can evaluate.</w:t>
      </w:r>
    </w:p>
    <w:p>
      <w:pPr>
        <w:pStyle w:val="ReqMeta"/>
        <w:rPr/>
      </w:pPr>
      <w:r>
        <w:rPr/>
        <w:t xml:space="preserve">Security authority  |  Verify: </w:t>
      </w:r>
      <w:hyperlink w:anchor="test_CT_049">
        <w:r>
          <w:rPr>
            <w:rStyle w:val="Hyperlink"/>
          </w:rPr>
          <w:t>CT-049</w:t>
        </w:r>
      </w:hyperlink>
      <w:r>
        <w:rPr/>
        <w:t xml:space="preserve">, </w:t>
      </w:r>
      <w:hyperlink w:anchor="test_CT_058">
        <w:r>
          <w:rPr>
            <w:rStyle w:val="Hyperlink"/>
          </w:rPr>
          <w:t>CT-058</w:t>
        </w:r>
      </w:hyperlink>
      <w:r>
        <w:rPr/>
        <w:t xml:space="preserve">, </w:t>
      </w:r>
      <w:hyperlink w:anchor="test_CT_069">
        <w:r>
          <w:rPr>
            <w:rStyle w:val="Hyperlink"/>
          </w:rPr>
          <w:t>CT-069</w:t>
        </w:r>
      </w:hyperlink>
      <w:r>
        <w:rPr/>
        <w:t xml:space="preserve">  |  Basis: </w:t>
      </w:r>
      <w:hyperlink w:anchor="S04">
        <w:r>
          <w:rPr>
            <w:rStyle w:val="Hyperlink"/>
          </w:rPr>
          <w:t>S04</w:t>
        </w:r>
      </w:hyperlink>
      <w:r>
        <w:rPr/>
        <w:t xml:space="preserve"> / </w:t>
      </w:r>
      <w:hyperlink w:anchor="S05">
        <w:r>
          <w:rPr>
            <w:rStyle w:val="Hyperlink"/>
          </w:rPr>
          <w:t>S05</w:t>
        </w:r>
      </w:hyperlink>
      <w:r>
        <w:rPr/>
        <w:t xml:space="preserve">  |  new-v1.1</w:t>
      </w:r>
    </w:p>
    <w:p>
      <w:pPr>
        <w:pStyle w:val="Heading2"/>
        <w:numPr>
          <w:ilvl w:val="0"/>
          <w:numId w:val="7"/>
        </w:numPr>
        <w:rPr/>
      </w:pPr>
      <w:bookmarkStart w:id="279" w:name="__RefHeading___Toc13395_1645000677"/>
      <w:bookmarkStart w:id="280" w:name="sec_50"/>
      <w:bookmarkEnd w:id="279"/>
      <w:r>
        <w:rPr/>
        <w:t>Logging, telemetry and time integrity</w:t>
      </w:r>
      <w:bookmarkEnd w:id="280"/>
    </w:p>
    <w:p>
      <w:pPr>
        <w:pStyle w:val="BodyText"/>
        <w:rPr/>
      </w:pPr>
      <w:r>
        <w:rPr/>
        <w:t>Collect security-edge allow/deny decisions, distributed policy events, privileged actions, workload/platform identity events, route/IPAM/DNS changes, exposure changes, storage/copy operations, KMS access, backup administration, runner activity and configuration drift. Correlate them using stable tenant, WSD, domain, instance, object, operation and policy identifiers. Do not assume tenant-supplied logs are sufficient evidence for provider enforcement. GC Event Logging Guidance provides the organizational logging context; implement the applicable centralized collection and protection requirements. [</w:t>
      </w:r>
      <w:hyperlink w:anchor="S11">
        <w:r>
          <w:rPr>
            <w:rStyle w:val="Hyperlink"/>
          </w:rPr>
          <w:t>S11</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087"/>
        <w:gridCol w:w="7488"/>
      </w:tblGrid>
      <w:tr>
        <w:trPr>
          <w:tblHeader w:val="true"/>
          <w:cantSplit w:val="true"/>
        </w:trPr>
        <w:tc>
          <w:tcPr>
            <w:tcW w:w="208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Record area</w:t>
            </w:r>
          </w:p>
        </w:tc>
        <w:tc>
          <w:tcPr>
            <w:tcW w:w="748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semantic content</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Who and where</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Actor or workload identity; tenant/WSD/domain; source/destination or target resource; management/data plane; site/platform</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What and why</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Action, decision/outcome, policy/rule and version, operation/change/incident ID, authorization or exception reference</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When and quality</w:t>
            </w:r>
          </w:p>
        </w:tc>
        <w:tc>
          <w:tcPr>
            <w:tcW w:w="748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UTC event and receipt time, clock source/offset health, sequence or correlation ID, collection status</w:t>
            </w:r>
          </w:p>
        </w:tc>
      </w:tr>
      <w:tr>
        <w:trPr>
          <w:cantSplit w:val="true"/>
        </w:trPr>
        <w:tc>
          <w:tcPr>
            <w:tcW w:w="208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Protection</w:t>
            </w:r>
          </w:p>
        </w:tc>
        <w:tc>
          <w:tcPr>
            <w:tcW w:w="748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Classification, redaction policy, access scope, integrity protection, retention class and deletion/hold state</w:t>
            </w:r>
          </w:p>
        </w:tc>
      </w:tr>
    </w:tbl>
    <w:p>
      <w:pPr>
        <w:pStyle w:val="BodyText"/>
        <w:rPr/>
      </w:pPr>
      <w:r>
        <w:rPr/>
        <w:t>Avoid logging secrets, full credentials, unnecessary payloads or personal information merely to maximize collection. Define authorized access and minimization for cross-tenant queries. Synchronize infrastructure clocks to approved time services and alert on loss or excessive offset; preserve event receipt time so an unreliable source clock does not silently distort chronology. Include time services and logging in bootstrap/recovery design.</w:t>
      </w:r>
    </w:p>
    <w:p>
      <w:pPr>
        <w:pStyle w:val="BodyText"/>
        <w:rPr/>
      </w:pPr>
      <w:r>
        <w:rPr/>
        <w:t>Define per-profile forwarding latency, local buffer capacity, retry/backoff, loss indicators, retention and overload behavior. Loss of central logging does not create a network permit path. Continue enforcement, buffer where supported, alert and restrict new security-significant changes as the approved profile dictates. If a mandatory high-assurance logging obligation cannot be sustained, follow the documented safe-state/continuity decision rather than either silently discarding evidence or blindly shutting down all tenants.</w:t>
      </w:r>
    </w:p>
    <w:p>
      <w:pPr>
        <w:pStyle w:val="Requirement"/>
        <w:keepNext w:val="true"/>
        <w:rPr/>
      </w:pPr>
      <w:bookmarkStart w:id="281" w:name="req_OBS_001"/>
      <w:bookmarkEnd w:id="281"/>
      <w:r>
        <w:rPr>
          <w:rStyle w:val="ReqID"/>
        </w:rPr>
        <w:t xml:space="preserve">OBS-001  </w:t>
      </w:r>
      <w:r>
        <w:rPr/>
        <w:t>Logs SHALL contain stable identifiers sufficient to correlate tenant, WSD, Security Domain, policy, and deployment evidence.</w:t>
      </w:r>
    </w:p>
    <w:p>
      <w:pPr>
        <w:pStyle w:val="ReqMeta"/>
        <w:rPr/>
      </w:pPr>
      <w:r>
        <w:rPr/>
        <w:t xml:space="preserve">Security operations  |  Verify: </w:t>
      </w:r>
      <w:hyperlink w:anchor="test_CT_010">
        <w:r>
          <w:rPr>
            <w:rStyle w:val="Hyperlink"/>
          </w:rPr>
          <w:t>CT-010</w:t>
        </w:r>
      </w:hyperlink>
      <w:r>
        <w:rPr/>
        <w:t xml:space="preserve">, </w:t>
      </w:r>
      <w:hyperlink w:anchor="test_CT_049">
        <w:r>
          <w:rPr>
            <w:rStyle w:val="Hyperlink"/>
          </w:rPr>
          <w:t>CT-049</w:t>
        </w:r>
      </w:hyperlink>
      <w:r>
        <w:rPr/>
        <w:t xml:space="preserve">  |  Basis: </w:t>
      </w:r>
      <w:hyperlink w:anchor="S00">
        <w:r>
          <w:rPr>
            <w:rStyle w:val="Hyperlink"/>
          </w:rPr>
          <w:t>S00</w:t>
        </w:r>
      </w:hyperlink>
      <w:r>
        <w:rPr/>
        <w:t xml:space="preserve">  |  retained-v1.0</w:t>
      </w:r>
    </w:p>
    <w:p>
      <w:pPr>
        <w:pStyle w:val="Requirement"/>
        <w:keepNext w:val="true"/>
        <w:rPr/>
      </w:pPr>
      <w:bookmarkStart w:id="282" w:name="req_OBS_002"/>
      <w:bookmarkEnd w:id="282"/>
      <w:r>
        <w:rPr>
          <w:rStyle w:val="ReqID"/>
        </w:rPr>
        <w:t xml:space="preserve">OBS-002  </w:t>
      </w:r>
      <w:r>
        <w:rPr/>
        <w:t>Security control logging SHALL not depend solely on the tenant workload being healthy or cooperative.</w:t>
      </w:r>
    </w:p>
    <w:p>
      <w:pPr>
        <w:pStyle w:val="ReqMeta"/>
        <w:rPr/>
      </w:pPr>
      <w:r>
        <w:rPr/>
        <w:t xml:space="preserve">Security operations  |  Verify: </w:t>
      </w:r>
      <w:hyperlink w:anchor="test_CT_010">
        <w:r>
          <w:rPr>
            <w:rStyle w:val="Hyperlink"/>
          </w:rPr>
          <w:t>CT-010</w:t>
        </w:r>
      </w:hyperlink>
      <w:r>
        <w:rPr/>
        <w:t xml:space="preserve">, </w:t>
      </w:r>
      <w:hyperlink w:anchor="test_CT_050">
        <w:r>
          <w:rPr>
            <w:rStyle w:val="Hyperlink"/>
          </w:rPr>
          <w:t>CT-050</w:t>
        </w:r>
      </w:hyperlink>
      <w:r>
        <w:rPr/>
        <w:t xml:space="preserve">  |  Basis: </w:t>
      </w:r>
      <w:hyperlink w:anchor="S00">
        <w:r>
          <w:rPr>
            <w:rStyle w:val="Hyperlink"/>
          </w:rPr>
          <w:t>S00</w:t>
        </w:r>
      </w:hyperlink>
      <w:r>
        <w:rPr/>
        <w:t xml:space="preserve">  |  retained-v1.0</w:t>
      </w:r>
    </w:p>
    <w:p>
      <w:pPr>
        <w:pStyle w:val="Requirement"/>
        <w:keepNext w:val="true"/>
        <w:rPr/>
      </w:pPr>
      <w:bookmarkStart w:id="283" w:name="req_OBS_003"/>
      <w:bookmarkEnd w:id="283"/>
      <w:r>
        <w:rPr>
          <w:rStyle w:val="ReqID"/>
        </w:rPr>
        <w:t xml:space="preserve">OBS-003  </w:t>
      </w:r>
      <w:r>
        <w:rPr/>
        <w:t>Logging profiles SHALL define event coverage, attribution, time integrity, minimization, forwarding latency, buffering, loss alerting, retention, access and safe behavior during collection failure.</w:t>
      </w:r>
    </w:p>
    <w:p>
      <w:pPr>
        <w:pStyle w:val="ReqMeta"/>
        <w:rPr/>
      </w:pPr>
      <w:r>
        <w:rPr/>
        <w:t xml:space="preserve">Security operations  |  Verify: </w:t>
      </w:r>
      <w:hyperlink w:anchor="test_CT_010">
        <w:r>
          <w:rPr>
            <w:rStyle w:val="Hyperlink"/>
          </w:rPr>
          <w:t>CT-010</w:t>
        </w:r>
      </w:hyperlink>
      <w:r>
        <w:rPr/>
        <w:t xml:space="preserve">, </w:t>
      </w:r>
      <w:hyperlink w:anchor="test_CT_050">
        <w:r>
          <w:rPr>
            <w:rStyle w:val="Hyperlink"/>
          </w:rPr>
          <w:t>CT-050</w:t>
        </w:r>
      </w:hyperlink>
      <w:r>
        <w:rPr/>
        <w:t xml:space="preserve">, </w:t>
      </w:r>
      <w:hyperlink w:anchor="test_CT_068">
        <w:r>
          <w:rPr>
            <w:rStyle w:val="Hyperlink"/>
          </w:rPr>
          <w:t>CT-068</w:t>
        </w:r>
      </w:hyperlink>
      <w:r>
        <w:rPr/>
        <w:t xml:space="preserve">  |  Basis: </w:t>
      </w:r>
      <w:hyperlink w:anchor="S11">
        <w:r>
          <w:rPr>
            <w:rStyle w:val="Hyperlink"/>
          </w:rPr>
          <w:t>S11</w:t>
        </w:r>
      </w:hyperlink>
      <w:r>
        <w:rPr/>
        <w:t xml:space="preserve">  |  new-v1.1</w:t>
      </w:r>
    </w:p>
    <w:p>
      <w:pPr>
        <w:pStyle w:val="Heading2"/>
        <w:numPr>
          <w:ilvl w:val="0"/>
          <w:numId w:val="7"/>
        </w:numPr>
        <w:rPr/>
      </w:pPr>
      <w:bookmarkStart w:id="284" w:name="__RefHeading___Toc13397_1645000677"/>
      <w:bookmarkStart w:id="285" w:name="sec_51"/>
      <w:bookmarkEnd w:id="284"/>
      <w:r>
        <w:rPr/>
        <w:t>Capacity, performance and capacity-on-demand operations</w:t>
      </w:r>
      <w:bookmarkEnd w:id="285"/>
    </w:p>
    <w:p>
      <w:pPr>
        <w:pStyle w:val="BodyText"/>
        <w:rPr/>
      </w:pPr>
      <w:r>
        <w:rPr/>
        <w:t>Size the entire service path, not only aggregate switch bandwidth. Admission depends on compute memory/CPU, storage usable capacity and latency, failure/rebuild reserve, edge throughput and sessions, inspection cost, route/policy object limits, IP pools, service endpoint limits, log ingestion/retention and controller/API concurrency. Measure with the enabled security feature set and realistic packet sizes, session churn and workload mix. An uninspected throughput figure is not evidence for an inspected production edge.</w:t>
      </w:r>
    </w:p>
    <w:p>
      <w:pPr>
        <w:pStyle w:val="BodyText"/>
        <w:rPr/>
      </w:pPr>
      <w:r>
        <w:rPr/>
        <w:t>For each bottleneck, compare demand after the specified failure with the measured sustainable capacity remaining after that failure. A useful local model is admissibleDemand &lt;= survivingQualifiedCapacity - operationalReserve. Reserve includes rebuild/rebalance, maintenance, migration, forecast growth and uncertainty as applicable; avoid counting the same capacity twice. The profile defines which simultaneous failures or maintenance conditions are covered. “N+1” without a named failure model and recovery-load measurement is incomplete.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942"/>
        <w:gridCol w:w="7633"/>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Capacity object</w:t>
            </w:r>
          </w:p>
        </w:tc>
        <w:tc>
          <w:tcPr>
            <w:tcW w:w="763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Admission and operating evidence</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Compute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Usable memory/CPU after host or rack loss; reservation/oversubscription policy; anti-affinity and evacuation capacity</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Storage</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Usable rather than raw capacity; replicas/erasure overhead, snapshots/backup, rebuild reserve, IOPS/latency and failure testing</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 edge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Throughput, packets/s, connections/s, concurrent sessions, NAT ports, inspection and per-context quotas under failure</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Network/control</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Prefixes, routes, VNIs, MAC/ARP/ND, policy objects, API rate limits, IPAM and runner concurrency</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Shared services</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DNS/identity/KMS/backup/logging endpoint capacity, saturation behavior and tenant attribution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Procurement/inventory</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Ordered, received, installed, commissioned, allocated and consumed capacity; aging stock and deployment constraints</w:t>
            </w:r>
          </w:p>
        </w:tc>
      </w:tr>
    </w:tbl>
    <w:p>
      <w:pPr>
        <w:pStyle w:val="BodyText"/>
        <w:rPr/>
      </w:pPr>
      <w:r>
        <w:rPr/>
        <w:t>Deliver standard services from shared qualified capacity, with quotas and accountable reservations rather than routinely purchasing isolated infrastructure per application project. Forecast expansion against deployment lead time and use phased procurement. Report unused procured capacity and why it is not commissioned or consumable. Procurement cost, installed capacity, allocation and actual consumption are different measures; showback must not disguise idle stock as delivered service.</w:t>
      </w:r>
    </w:p>
    <w:p>
      <w:pPr>
        <w:pStyle w:val="Requirement"/>
        <w:keepNext w:val="true"/>
        <w:rPr/>
      </w:pPr>
      <w:bookmarkStart w:id="286" w:name="req_CAP_001"/>
      <w:bookmarkEnd w:id="286"/>
      <w:r>
        <w:rPr>
          <w:rStyle w:val="ReqID"/>
        </w:rPr>
        <w:t xml:space="preserve">CAP-001  </w:t>
      </w:r>
      <w:r>
        <w:rPr/>
        <w:t>Capacity planning SHALL include N+failure headroom so that loss of a security-edge node does not require disabling or bypassing enforcement.</w:t>
      </w:r>
    </w:p>
    <w:p>
      <w:pPr>
        <w:pStyle w:val="ReqMeta"/>
        <w:rPr/>
      </w:pPr>
      <w:r>
        <w:rPr/>
        <w:t xml:space="preserve">Capacity management  |  Verify: </w:t>
      </w:r>
      <w:hyperlink w:anchor="test_CT_012">
        <w:r>
          <w:rPr>
            <w:rStyle w:val="Hyperlink"/>
          </w:rPr>
          <w:t>CT-012</w:t>
        </w:r>
      </w:hyperlink>
      <w:r>
        <w:rPr/>
        <w:t xml:space="preserve">, </w:t>
      </w:r>
      <w:hyperlink w:anchor="test_CT_056">
        <w:r>
          <w:rPr>
            <w:rStyle w:val="Hyperlink"/>
          </w:rPr>
          <w:t>CT-056</w:t>
        </w:r>
      </w:hyperlink>
      <w:r>
        <w:rPr/>
        <w:t xml:space="preserve">  |  Basis: </w:t>
      </w:r>
      <w:hyperlink w:anchor="S00">
        <w:r>
          <w:rPr>
            <w:rStyle w:val="Hyperlink"/>
          </w:rPr>
          <w:t>S00</w:t>
        </w:r>
      </w:hyperlink>
      <w:r>
        <w:rPr/>
        <w:t xml:space="preserve">  |  retained-v1.0</w:t>
      </w:r>
    </w:p>
    <w:p>
      <w:pPr>
        <w:pStyle w:val="Requirement"/>
        <w:keepNext w:val="true"/>
        <w:rPr/>
      </w:pPr>
      <w:bookmarkStart w:id="287" w:name="req_CAP_002"/>
      <w:bookmarkEnd w:id="287"/>
      <w:r>
        <w:rPr>
          <w:rStyle w:val="ReqID"/>
        </w:rPr>
        <w:t xml:space="preserve">CAP-002  </w:t>
      </w:r>
      <w:r>
        <w:rPr/>
        <w:t>Placement and growth admission SHALL evaluate measured surviving capacity, security-feature overhead, shared dependencies, quotas and operational reserves for the approved failure model.</w:t>
      </w:r>
    </w:p>
    <w:p>
      <w:pPr>
        <w:pStyle w:val="ReqMeta"/>
        <w:rPr/>
      </w:pPr>
      <w:r>
        <w:rPr/>
        <w:t xml:space="preserve">Capacity management  |  Verify: </w:t>
      </w:r>
      <w:hyperlink w:anchor="test_CT_039">
        <w:r>
          <w:rPr>
            <w:rStyle w:val="Hyperlink"/>
          </w:rPr>
          <w:t>CT-039</w:t>
        </w:r>
      </w:hyperlink>
      <w:r>
        <w:rPr/>
        <w:t xml:space="preserve">, </w:t>
      </w:r>
      <w:hyperlink w:anchor="test_CT_047">
        <w:r>
          <w:rPr>
            <w:rStyle w:val="Hyperlink"/>
          </w:rPr>
          <w:t>CT-047</w:t>
        </w:r>
      </w:hyperlink>
      <w:r>
        <w:rPr/>
        <w:t xml:space="preserve">, </w:t>
      </w:r>
      <w:hyperlink w:anchor="test_CT_056">
        <w:r>
          <w:rPr>
            <w:rStyle w:val="Hyperlink"/>
          </w:rPr>
          <w:t>CT-056</w:t>
        </w:r>
      </w:hyperlink>
      <w:r>
        <w:rPr/>
        <w:t xml:space="preserve">  |  Basis: </w:t>
      </w:r>
      <w:hyperlink w:anchor="S00">
        <w:r>
          <w:rPr>
            <w:rStyle w:val="Hyperlink"/>
          </w:rPr>
          <w:t>S00</w:t>
        </w:r>
      </w:hyperlink>
      <w:r>
        <w:rPr/>
        <w:t xml:space="preserve">  |  new-v1.1</w:t>
      </w:r>
    </w:p>
    <w:p>
      <w:pPr>
        <w:pStyle w:val="Requirement"/>
        <w:keepNext w:val="true"/>
        <w:rPr/>
      </w:pPr>
      <w:bookmarkStart w:id="288" w:name="req_CAP_003"/>
      <w:bookmarkEnd w:id="288"/>
      <w:r>
        <w:rPr>
          <w:rStyle w:val="ReqID"/>
        </w:rPr>
        <w:t xml:space="preserve">CAP-003  </w:t>
      </w:r>
      <w:r>
        <w:rPr/>
        <w:t>Capacity reporting SHALL distinguish procured, received, commissioned, allocated, reserved and consumed capacity and identify unused-capacity age, constraints and accountable remediation.</w:t>
      </w:r>
    </w:p>
    <w:p>
      <w:pPr>
        <w:pStyle w:val="ReqMeta"/>
        <w:rPr/>
      </w:pPr>
      <w:r>
        <w:rPr/>
        <w:t xml:space="preserve">Service management  |  Verify: </w:t>
      </w:r>
      <w:hyperlink w:anchor="test_CT_074">
        <w:r>
          <w:rPr>
            <w:rStyle w:val="Hyperlink"/>
          </w:rPr>
          <w:t>CT-074</w:t>
        </w:r>
      </w:hyperlink>
      <w:r>
        <w:rPr/>
        <w:t xml:space="preserve">  |  Basis: </w:t>
      </w:r>
      <w:hyperlink w:anchor="S28">
        <w:r>
          <w:rPr>
            <w:rStyle w:val="Hyperlink"/>
          </w:rPr>
          <w:t>S28</w:t>
        </w:r>
      </w:hyperlink>
      <w:r>
        <w:rPr/>
        <w:t xml:space="preserve">  |  new-v1.1</w:t>
      </w:r>
    </w:p>
    <w:p>
      <w:pPr>
        <w:pStyle w:val="Heading2"/>
        <w:numPr>
          <w:ilvl w:val="0"/>
          <w:numId w:val="7"/>
        </w:numPr>
        <w:rPr/>
      </w:pPr>
      <w:bookmarkStart w:id="289" w:name="__RefHeading___Toc13399_1645000677"/>
      <w:bookmarkStart w:id="290" w:name="sec_52"/>
      <w:bookmarkEnd w:id="289"/>
      <w:r>
        <w:rPr/>
        <w:t>High availability and dependency failure behavior</w:t>
      </w:r>
      <w:bookmarkEnd w:id="290"/>
    </w:p>
    <w:p>
      <w:pPr>
        <w:pStyle w:val="BodyText"/>
        <w:rPr/>
      </w:pPr>
      <w:r>
        <w:rPr/>
        <w:t>A control-plane outage and a data-plane outage are different events. The system must not create a new permit path when a dependency is unavailable. Existing traffic continues only to the extent that the qualified implementation can preserve the required controls. A controller cannot guarantee continuity simply by declaring it. Test enforcement, session behavior and recovery against the actual versioned implementation.</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592"/>
        <w:gridCol w:w="6983"/>
      </w:tblGrid>
      <w:tr>
        <w:trPr>
          <w:tblHeader w:val="true"/>
          <w:cantSplit w:val="true"/>
        </w:trPr>
        <w:tc>
          <w:tcPr>
            <w:tcW w:w="259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Failure</w:t>
            </w:r>
          </w:p>
        </w:tc>
        <w:tc>
          <w:tcPr>
            <w:tcW w:w="698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Expected controlled behavior</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Catalogue/controller/runner unavailable</w:t>
            </w:r>
          </w:p>
        </w:tc>
        <w:tc>
          <w:tcPr>
            <w:tcW w:w="698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Existing qualified data plane continues where supported; new work queues safely; no substitute privileged manual automation</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Admission/capability/approval unavailable</w:t>
            </w:r>
          </w:p>
        </w:tc>
        <w:tc>
          <w:tcPr>
            <w:tcW w:w="698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New or changed security-significant intent stops; no guessed defaults or stale blanket approval</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IPAM/DNS unavailable</w:t>
            </w:r>
          </w:p>
        </w:tc>
        <w:tc>
          <w:tcPr>
            <w:tcW w:w="698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 new allocations or unsupported DNS changes; existing leases/records follow approved continuity; reconcile after recovery</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Identity/PAM unavailable</w:t>
            </w:r>
          </w:p>
        </w:tc>
        <w:tc>
          <w:tcPr>
            <w:tcW w:w="698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No routine new privileged sessions; explicitly controlled break-glass route available and audited</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KMS/PKI unavailable</w:t>
            </w:r>
          </w:p>
        </w:tc>
        <w:tc>
          <w:tcPr>
            <w:tcW w:w="698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 plaintext fallback or replacement key; document existing-key cache behavior and effect on restarts/new access</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State backend unavailable</w:t>
            </w:r>
          </w:p>
        </w:tc>
        <w:tc>
          <w:tcPr>
            <w:tcW w:w="698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No untracked apply; recover backend/version and reconcile real resources before resuming</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Central logging unavailable</w:t>
            </w:r>
          </w:p>
        </w:tc>
        <w:tc>
          <w:tcPr>
            <w:tcW w:w="698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Enforcement remains, buffering and loss alerts apply; mandatory profile safe-state rules evaluated</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Edge/control node loss</w:t>
            </w:r>
          </w:p>
        </w:tc>
        <w:tc>
          <w:tcPr>
            <w:tcW w:w="698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Qualified HA/fencing and capacity preserve policy; no bypass link or permissive temporary route</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Storage/site partition</w:t>
            </w:r>
          </w:p>
        </w:tc>
        <w:tc>
          <w:tcPr>
            <w:tcW w:w="698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Quorum/fencing prevents conflicting writers; choose recovery authority before promotion</w:t>
            </w:r>
          </w:p>
        </w:tc>
      </w:tr>
      <w:tr>
        <w:trPr>
          <w:cantSplit w:val="true"/>
        </w:trPr>
        <w:tc>
          <w:tcPr>
            <w:tcW w:w="259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Partial apply or API timeout</w:t>
            </w:r>
          </w:p>
        </w:tc>
        <w:tc>
          <w:tcPr>
            <w:tcW w:w="698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Journal the unknown outcome, query ownership/readiness and converge or compensate safely; do not duplicate resources</w:t>
            </w:r>
          </w:p>
        </w:tc>
      </w:tr>
    </w:tbl>
    <w:p>
      <w:pPr>
        <w:pStyle w:val="BodyText"/>
        <w:rPr/>
      </w:pPr>
      <w:r>
        <w:rPr/>
        <w:t>Test asymmetrical partitions, not only a clean node shutdown. Confirm failure detection and fencing do not depend on the failed path, and that emergency access survives the failure it is meant to repair. Stateful security devices require explicit connection-state handling and return-path symmetry. Availability targets distinguish established-session survival, new-session success and recovery after enforcement returns.</w:t>
      </w:r>
    </w:p>
    <w:p>
      <w:pPr>
        <w:pStyle w:val="Requirement"/>
        <w:keepNext w:val="true"/>
        <w:rPr/>
      </w:pPr>
      <w:bookmarkStart w:id="291" w:name="req_FAIL_001"/>
      <w:bookmarkEnd w:id="291"/>
      <w:r>
        <w:rPr>
          <w:rStyle w:val="ReqID"/>
        </w:rPr>
        <w:t xml:space="preserve">FAIL-001  </w:t>
      </w:r>
      <w:r>
        <w:rPr/>
        <w:t>Control-plane failure SHALL NOT create an implicit permit path.</w:t>
      </w:r>
    </w:p>
    <w:p>
      <w:pPr>
        <w:pStyle w:val="ReqMeta"/>
        <w:rPr/>
      </w:pPr>
      <w:r>
        <w:rPr/>
        <w:t xml:space="preserve">Platform operations  |  Verify: </w:t>
      </w:r>
      <w:hyperlink w:anchor="test_CT_011">
        <w:r>
          <w:rPr>
            <w:rStyle w:val="Hyperlink"/>
          </w:rPr>
          <w:t>CT-011</w:t>
        </w:r>
      </w:hyperlink>
      <w:r>
        <w:rPr/>
        <w:t xml:space="preserve">, </w:t>
      </w:r>
      <w:hyperlink w:anchor="test_CT_012">
        <w:r>
          <w:rPr>
            <w:rStyle w:val="Hyperlink"/>
          </w:rPr>
          <w:t>CT-012</w:t>
        </w:r>
      </w:hyperlink>
      <w:r>
        <w:rPr/>
        <w:t xml:space="preserve">, </w:t>
      </w:r>
      <w:hyperlink w:anchor="test_CT_024">
        <w:r>
          <w:rPr>
            <w:rStyle w:val="Hyperlink"/>
          </w:rPr>
          <w:t>CT-024</w:t>
        </w:r>
      </w:hyperlink>
      <w:r>
        <w:rPr/>
        <w:t xml:space="preserve">, </w:t>
      </w:r>
      <w:hyperlink w:anchor="test_CT_052">
        <w:r>
          <w:rPr>
            <w:rStyle w:val="Hyperlink"/>
          </w:rPr>
          <w:t>CT-052</w:t>
        </w:r>
      </w:hyperlink>
      <w:r>
        <w:rPr/>
        <w:t xml:space="preserve">  |  Basis: </w:t>
      </w:r>
      <w:hyperlink w:anchor="S00">
        <w:r>
          <w:rPr>
            <w:rStyle w:val="Hyperlink"/>
          </w:rPr>
          <w:t>S00</w:t>
        </w:r>
      </w:hyperlink>
      <w:r>
        <w:rPr/>
        <w:t xml:space="preserve">  |  retained-v1.0</w:t>
      </w:r>
    </w:p>
    <w:p>
      <w:pPr>
        <w:pStyle w:val="Requirement"/>
        <w:keepNext w:val="true"/>
        <w:rPr/>
      </w:pPr>
      <w:bookmarkStart w:id="292" w:name="req_FAIL_002"/>
      <w:bookmarkEnd w:id="292"/>
      <w:r>
        <w:rPr>
          <w:rStyle w:val="ReqID"/>
        </w:rPr>
        <w:t xml:space="preserve">FAIL-002  </w:t>
      </w:r>
      <w:r>
        <w:rPr/>
        <w:t>Failover and control-plane-loss scenarios SHALL be included in platform conformance testing.</w:t>
      </w:r>
    </w:p>
    <w:p>
      <w:pPr>
        <w:pStyle w:val="ReqMeta"/>
        <w:rPr/>
      </w:pPr>
      <w:r>
        <w:rPr/>
        <w:t xml:space="preserve">Assurance engineering  |  Verify: </w:t>
      </w:r>
      <w:hyperlink w:anchor="test_CT_011">
        <w:r>
          <w:rPr>
            <w:rStyle w:val="Hyperlink"/>
          </w:rPr>
          <w:t>CT-011</w:t>
        </w:r>
      </w:hyperlink>
      <w:r>
        <w:rPr/>
        <w:t xml:space="preserve">, </w:t>
      </w:r>
      <w:hyperlink w:anchor="test_CT_012">
        <w:r>
          <w:rPr>
            <w:rStyle w:val="Hyperlink"/>
          </w:rPr>
          <w:t>CT-012</w:t>
        </w:r>
      </w:hyperlink>
      <w:r>
        <w:rPr/>
        <w:t xml:space="preserve">, </w:t>
      </w:r>
      <w:hyperlink w:anchor="test_CT_027">
        <w:r>
          <w:rPr>
            <w:rStyle w:val="Hyperlink"/>
          </w:rPr>
          <w:t>CT-027</w:t>
        </w:r>
      </w:hyperlink>
      <w:r>
        <w:rPr/>
        <w:t xml:space="preserve">, </w:t>
      </w:r>
      <w:hyperlink w:anchor="test_CT_038">
        <w:r>
          <w:rPr>
            <w:rStyle w:val="Hyperlink"/>
          </w:rPr>
          <w:t>CT-038</w:t>
        </w:r>
      </w:hyperlink>
      <w:r>
        <w:rPr/>
        <w:t xml:space="preserve">, </w:t>
      </w:r>
      <w:hyperlink w:anchor="test_CT_050">
        <w:r>
          <w:rPr>
            <w:rStyle w:val="Hyperlink"/>
          </w:rPr>
          <w:t>CT-050</w:t>
        </w:r>
      </w:hyperlink>
      <w:r>
        <w:rPr/>
        <w:t xml:space="preserve">, </w:t>
      </w:r>
      <w:hyperlink w:anchor="test_CT_054">
        <w:r>
          <w:rPr>
            <w:rStyle w:val="Hyperlink"/>
          </w:rPr>
          <w:t>CT-054</w:t>
        </w:r>
      </w:hyperlink>
      <w:r>
        <w:rPr/>
        <w:t xml:space="preserve">, </w:t>
      </w:r>
      <w:hyperlink w:anchor="test_CT_055">
        <w:r>
          <w:rPr>
            <w:rStyle w:val="Hyperlink"/>
          </w:rPr>
          <w:t>CT-055</w:t>
        </w:r>
      </w:hyperlink>
      <w:r>
        <w:rPr/>
        <w:t xml:space="preserve">  |  Basis: </w:t>
      </w:r>
      <w:hyperlink w:anchor="S00">
        <w:r>
          <w:rPr>
            <w:rStyle w:val="Hyperlink"/>
          </w:rPr>
          <w:t>S00</w:t>
        </w:r>
      </w:hyperlink>
      <w:r>
        <w:rPr/>
        <w:t xml:space="preserve">  |  retained-v1.0</w:t>
      </w:r>
    </w:p>
    <w:p>
      <w:pPr>
        <w:pStyle w:val="Requirement"/>
        <w:keepNext w:val="true"/>
        <w:rPr/>
      </w:pPr>
      <w:bookmarkStart w:id="293" w:name="req_FAIL_003"/>
      <w:bookmarkEnd w:id="293"/>
      <w:r>
        <w:rPr>
          <w:rStyle w:val="ReqID"/>
        </w:rPr>
        <w:t xml:space="preserve">FAIL-003  </w:t>
      </w:r>
      <w:r>
        <w:rPr/>
        <w:t>Every critical dependency SHALL have a qualified loss/partition/recovery behavior, including credential/key continuity, logging loss, state recovery and split-brain prevention; unavailable authority SHALL NOT authorize fallback bypass.</w:t>
      </w:r>
    </w:p>
    <w:p>
      <w:pPr>
        <w:pStyle w:val="ReqMeta"/>
        <w:rPr/>
      </w:pPr>
      <w:r>
        <w:rPr/>
        <w:t xml:space="preserve">Platform operations  |  Verify: </w:t>
      </w:r>
      <w:hyperlink w:anchor="test_CT_027">
        <w:r>
          <w:rPr>
            <w:rStyle w:val="Hyperlink"/>
          </w:rPr>
          <w:t>CT-027</w:t>
        </w:r>
      </w:hyperlink>
      <w:r>
        <w:rPr/>
        <w:t xml:space="preserve">, </w:t>
      </w:r>
      <w:hyperlink w:anchor="test_CT_038">
        <w:r>
          <w:rPr>
            <w:rStyle w:val="Hyperlink"/>
          </w:rPr>
          <w:t>CT-038</w:t>
        </w:r>
      </w:hyperlink>
      <w:r>
        <w:rPr/>
        <w:t xml:space="preserve">, </w:t>
      </w:r>
      <w:hyperlink w:anchor="test_CT_044">
        <w:r>
          <w:rPr>
            <w:rStyle w:val="Hyperlink"/>
          </w:rPr>
          <w:t>CT-044</w:t>
        </w:r>
      </w:hyperlink>
      <w:r>
        <w:rPr/>
        <w:t xml:space="preserve">, </w:t>
      </w:r>
      <w:hyperlink w:anchor="test_CT_050">
        <w:r>
          <w:rPr>
            <w:rStyle w:val="Hyperlink"/>
          </w:rPr>
          <w:t>CT-050</w:t>
        </w:r>
      </w:hyperlink>
      <w:r>
        <w:rPr/>
        <w:t xml:space="preserve">, </w:t>
      </w:r>
      <w:hyperlink w:anchor="test_CT_054">
        <w:r>
          <w:rPr>
            <w:rStyle w:val="Hyperlink"/>
          </w:rPr>
          <w:t>CT-054</w:t>
        </w:r>
      </w:hyperlink>
      <w:r>
        <w:rPr/>
        <w:t xml:space="preserve">, </w:t>
      </w:r>
      <w:hyperlink w:anchor="test_CT_055">
        <w:r>
          <w:rPr>
            <w:rStyle w:val="Hyperlink"/>
          </w:rPr>
          <w:t>CT-055</w:t>
        </w:r>
      </w:hyperlink>
      <w:r>
        <w:rPr/>
        <w:t xml:space="preserve">  |  Basis: </w:t>
      </w:r>
      <w:hyperlink w:anchor="S00">
        <w:r>
          <w:rPr>
            <w:rStyle w:val="Hyperlink"/>
          </w:rPr>
          <w:t>S00</w:t>
        </w:r>
      </w:hyperlink>
      <w:r>
        <w:rPr/>
        <w:t xml:space="preserve">  |  new-v1.1</w:t>
      </w:r>
    </w:p>
    <w:p>
      <w:pPr>
        <w:pStyle w:val="Heading2"/>
        <w:numPr>
          <w:ilvl w:val="0"/>
          <w:numId w:val="7"/>
        </w:numPr>
        <w:rPr/>
      </w:pPr>
      <w:bookmarkStart w:id="294" w:name="__RefHeading___Toc13401_1645000677"/>
      <w:bookmarkStart w:id="295" w:name="sec_53"/>
      <w:bookmarkEnd w:id="294"/>
      <w:r>
        <w:rPr/>
        <w:t>Recovery, bootstrap and failback runbooks</w:t>
      </w:r>
      <w:bookmarkEnd w:id="295"/>
    </w:p>
    <w:p>
      <w:pPr>
        <w:pStyle w:val="BodyText"/>
        <w:rPr/>
      </w:pPr>
      <w:r>
        <w:rPr/>
        <w:t>Protect the control plane as a recoverable service. A platform whose backup catalog, keys, DNS, source repositories and privileged access can only be reached through the destroyed platform has a circular recovery dependency. Maintain controlled independent access to the minimum bootstrap material and exercise recovery from that condition. Independence does not require every service to be physically duplicated; it does require a tested path that survives the defined failure.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720"/>
        <w:gridCol w:w="8855"/>
      </w:tblGrid>
      <w:tr>
        <w:trPr>
          <w:tblHeader w:val="true"/>
          <w:cantSplit w:val="true"/>
        </w:trPr>
        <w:tc>
          <w:tcPr>
            <w:tcW w:w="72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Order</w:t>
            </w:r>
          </w:p>
        </w:tc>
        <w:tc>
          <w:tcPr>
            <w:tcW w:w="885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Recovery action and gate</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Declare recovery authority and scope; preserve incident evidence; fence failed/ambiguous writers and prevent ordinary reconciliation from reactivating them.</w:t>
            </w:r>
          </w:p>
        </w:tc>
      </w:tr>
      <w:tr>
        <w:trPr>
          <w:cantSplit w:val="true"/>
        </w:trPr>
        <w:tc>
          <w:tcPr>
            <w:tcW w:w="7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w:t>
            </w:r>
          </w:p>
        </w:tc>
        <w:tc>
          <w:tcPr>
            <w:tcW w:w="88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Restore trusted OOB/privileged access, minimum time/DNS/identity or approved break-glass, and access to protected recovery keys/material.</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Recover source/artifact trust, state/evidence backups, IPAM/inventory and journal records. Verify digests and reconcile leases and live resources.</w:t>
            </w:r>
          </w:p>
        </w:tc>
      </w:tr>
      <w:tr>
        <w:trPr>
          <w:cantSplit w:val="true"/>
        </w:trPr>
        <w:tc>
          <w:tcPr>
            <w:tcW w:w="7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w:t>
            </w:r>
          </w:p>
        </w:tc>
        <w:tc>
          <w:tcPr>
            <w:tcW w:w="88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Restore fabric/platform management and storage foundations using validated configurations; confirm quorum, routes and zone separation.</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Restore security edges and shared service endpoints in denied/quarantined posture; validate routes, policy and telemetry before exposure.</w:t>
            </w:r>
          </w:p>
        </w:tc>
      </w:tr>
      <w:tr>
        <w:trPr>
          <w:cantSplit w:val="true"/>
        </w:trPr>
        <w:tc>
          <w:tcPr>
            <w:tcW w:w="7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w:t>
            </w:r>
          </w:p>
        </w:tc>
        <w:tc>
          <w:tcPr>
            <w:tcW w:w="88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Restore data and workload dependencies into approved recovery instances; validate integrity, malware assessment and application consistency.</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7</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Run critical positive/negative tests, record achieved RTO/RPO, obtain activation authority and switch DNS/ingress through the approved cutover.</w:t>
            </w:r>
          </w:p>
        </w:tc>
      </w:tr>
      <w:tr>
        <w:trPr>
          <w:cantSplit w:val="true"/>
        </w:trPr>
        <w:tc>
          <w:tcPr>
            <w:tcW w:w="7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8</w:t>
            </w:r>
          </w:p>
        </w:tc>
        <w:tc>
          <w:tcPr>
            <w:tcW w:w="88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Observe stability; plan failback with a new consistency point, reverse replication and fencing; remove temporary recovery connectivity after validation.</w:t>
            </w:r>
          </w:p>
        </w:tc>
      </w:tr>
    </w:tbl>
    <w:p>
      <w:pPr>
        <w:pStyle w:val="BodyText"/>
        <w:rPr/>
      </w:pPr>
      <w:r>
        <w:rPr/>
        <w:t>RPO is measured at the last recoverable consistent state, not merely the last completed replication job. RTO includes detection, decision, dependency recovery and application/service acceptance as defined by the service profile. Record what was excluded so comparisons remain meaningful. Recovery exercises cover unavailable keys, corrupted backups, missing identity dependencies and a failed primary control plane, not only a successful VM restore.</w:t>
      </w:r>
    </w:p>
    <w:p>
      <w:pPr>
        <w:pStyle w:val="BodyText"/>
        <w:rPr/>
      </w:pPr>
      <w:r>
        <w:rPr/>
        <w:t>Failback is a controlled migration, not a reversal performed during an unresolved partition. Verify data ownership and replication direction before any writes resume at the original site. Retain recovery evidence, temporary grants and final cleanup records. Update the runbook when the exercise reveals hidden dependencies.</w:t>
      </w:r>
    </w:p>
    <w:p>
      <w:pPr>
        <w:pStyle w:val="Requirement"/>
        <w:keepNext w:val="true"/>
        <w:rPr/>
      </w:pPr>
      <w:bookmarkStart w:id="296" w:name="req_REC_001"/>
      <w:bookmarkEnd w:id="296"/>
      <w:r>
        <w:rPr>
          <w:rStyle w:val="ReqID"/>
        </w:rPr>
        <w:t xml:space="preserve">REC-001  </w:t>
      </w:r>
      <w:r>
        <w:rPr/>
        <w:t>Recovery procedures SHALL include independent bootstrap access, protected key/state/catalog recovery, dependency ordering, writer fencing, isolated validation and attributable activation authority.</w:t>
      </w:r>
    </w:p>
    <w:p>
      <w:pPr>
        <w:pStyle w:val="ReqMeta"/>
        <w:rPr/>
      </w:pPr>
      <w:r>
        <w:rPr/>
        <w:t xml:space="preserve">Continuity management  |  Verify: </w:t>
      </w:r>
      <w:hyperlink w:anchor="test_CT_052">
        <w:r>
          <w:rPr>
            <w:rStyle w:val="Hyperlink"/>
          </w:rPr>
          <w:t>CT-052</w:t>
        </w:r>
      </w:hyperlink>
      <w:r>
        <w:rPr/>
        <w:t xml:space="preserve">, </w:t>
      </w:r>
      <w:hyperlink w:anchor="test_CT_054">
        <w:r>
          <w:rPr>
            <w:rStyle w:val="Hyperlink"/>
          </w:rPr>
          <w:t>CT-054</w:t>
        </w:r>
      </w:hyperlink>
      <w:r>
        <w:rPr/>
        <w:t xml:space="preserve">, </w:t>
      </w:r>
      <w:hyperlink w:anchor="test_CT_055">
        <w:r>
          <w:rPr>
            <w:rStyle w:val="Hyperlink"/>
          </w:rPr>
          <w:t>CT-055</w:t>
        </w:r>
      </w:hyperlink>
      <w:r>
        <w:rPr/>
        <w:t xml:space="preserve">  |  Basis: </w:t>
      </w:r>
      <w:hyperlink w:anchor="S00">
        <w:r>
          <w:rPr>
            <w:rStyle w:val="Hyperlink"/>
          </w:rPr>
          <w:t>S00</w:t>
        </w:r>
      </w:hyperlink>
      <w:r>
        <w:rPr/>
        <w:t xml:space="preserve">  |  new-v1.1</w:t>
      </w:r>
    </w:p>
    <w:p>
      <w:pPr>
        <w:pStyle w:val="Requirement"/>
        <w:keepNext w:val="true"/>
        <w:rPr/>
      </w:pPr>
      <w:bookmarkStart w:id="297" w:name="req_REC_002"/>
      <w:bookmarkEnd w:id="297"/>
      <w:r>
        <w:rPr>
          <w:rStyle w:val="ReqID"/>
        </w:rPr>
        <w:t xml:space="preserve">REC-002  </w:t>
      </w:r>
      <w:r>
        <w:rPr/>
        <w:t>Recovery and failback exercises SHALL measure actual service RTO/RPO, data consistency and security outcomes and SHALL remove temporary routes, grants and exposures after authorized completion.</w:t>
      </w:r>
    </w:p>
    <w:p>
      <w:pPr>
        <w:pStyle w:val="ReqMeta"/>
        <w:rPr/>
      </w:pPr>
      <w:r>
        <w:rPr/>
        <w:t xml:space="preserve">Continuity management  |  Verify: </w:t>
      </w:r>
      <w:hyperlink w:anchor="test_CT_052">
        <w:r>
          <w:rPr>
            <w:rStyle w:val="Hyperlink"/>
          </w:rPr>
          <w:t>CT-052</w:t>
        </w:r>
      </w:hyperlink>
      <w:r>
        <w:rPr/>
        <w:t xml:space="preserve">, </w:t>
      </w:r>
      <w:hyperlink w:anchor="test_CT_054">
        <w:r>
          <w:rPr>
            <w:rStyle w:val="Hyperlink"/>
          </w:rPr>
          <w:t>CT-054</w:t>
        </w:r>
      </w:hyperlink>
      <w:r>
        <w:rPr/>
        <w:t xml:space="preserve">, </w:t>
      </w:r>
      <w:hyperlink w:anchor="test_CT_055">
        <w:r>
          <w:rPr>
            <w:rStyle w:val="Hyperlink"/>
          </w:rPr>
          <w:t>CT-055</w:t>
        </w:r>
      </w:hyperlink>
      <w:r>
        <w:rPr/>
        <w:t xml:space="preserve">, </w:t>
      </w:r>
      <w:hyperlink w:anchor="test_CT_060">
        <w:r>
          <w:rPr>
            <w:rStyle w:val="Hyperlink"/>
          </w:rPr>
          <w:t>CT-060</w:t>
        </w:r>
      </w:hyperlink>
      <w:r>
        <w:rPr/>
        <w:t xml:space="preserve">  |  Basis: </w:t>
      </w:r>
      <w:hyperlink w:anchor="S00">
        <w:r>
          <w:rPr>
            <w:rStyle w:val="Hyperlink"/>
          </w:rPr>
          <w:t>S00</w:t>
        </w:r>
      </w:hyperlink>
      <w:r>
        <w:rPr/>
        <w:t xml:space="preserve">  |  new-v1.1</w:t>
      </w:r>
    </w:p>
    <w:p>
      <w:pPr>
        <w:pStyle w:val="Heading2"/>
        <w:numPr>
          <w:ilvl w:val="0"/>
          <w:numId w:val="7"/>
        </w:numPr>
        <w:rPr/>
      </w:pPr>
      <w:bookmarkStart w:id="298" w:name="__RefHeading___Toc13403_1645000677"/>
      <w:bookmarkStart w:id="299" w:name="sec_54"/>
      <w:bookmarkEnd w:id="298"/>
      <w:r>
        <w:rPr/>
        <w:t>Vulnerability, patch and support lifecycle</w:t>
      </w:r>
      <w:bookmarkEnd w:id="299"/>
    </w:p>
    <w:p>
      <w:pPr>
        <w:pStyle w:val="BodyText"/>
        <w:rPr/>
      </w:pPr>
      <w:r>
        <w:rPr/>
        <w:t>Maintain an inventory of hardware/firmware, hypervisors, storage, network/SDN, security edges, guest images, privileged appliances, providers/modules, runner images and their support states. Associate vulnerability findings with actual affected versions, exposure, exploitability, control ownership and service criticality. A supported product name is not evidence that a deployed build or embedded dependency is supported. Applicable GC system configuration requirements and the selected security controls inform the local maintenance process. [</w:t>
      </w:r>
      <w:hyperlink w:anchor="S05">
        <w:r>
          <w:rPr>
            <w:rStyle w:val="Hyperlink"/>
          </w:rPr>
          <w:t>S05</w:t>
        </w:r>
      </w:hyperlink>
      <w:r>
        <w:rPr/>
        <w:t xml:space="preserve">; </w:t>
      </w:r>
      <w:hyperlink w:anchor="S07">
        <w:r>
          <w:rPr>
            <w:rStyle w:val="Hyperlink"/>
          </w:rPr>
          <w:t>S07</w:t>
        </w:r>
      </w:hyperlink>
      <w:r>
        <w:rPr/>
        <w:t>]</w:t>
      </w:r>
    </w:p>
    <w:p>
      <w:pPr>
        <w:pStyle w:val="BodyText"/>
        <w:rPr/>
      </w:pPr>
      <w:r>
        <w:rPr/>
        <w:t>The security authority publishes remediation windows based on risk, vendor guidance and organizational direction. Illustrative local targets in Appendix F are not government deadlines. Emergency controls can include exposure withdrawal, segmentation, disabling an affected feature or workload migration while a tested patch is prepared. Record a time-bound exception when remediation cannot meet the approved window, including compensating controls and an accountable owner.</w:t>
      </w:r>
    </w:p>
    <w:p>
      <w:pPr>
        <w:pStyle w:val="BodyText"/>
        <w:rPr/>
      </w:pPr>
      <w:r>
        <w:rPr/>
        <w:t>Stage updates through signed-source verification, lab qualification, representative regression, backup/recovery validation, canary and phased promotion. Provider/schema upgrades may alter plans even when physical software is unchanged. Review destructive diffs, API deprecations, policy semantics and state migrations. A rollback plan must state whether downgrading code/data is supported; recovery from backup may be the only safe path. Do not assume version rollback is universally reversible.</w:t>
      </w:r>
    </w:p>
    <w:p>
      <w:pPr>
        <w:pStyle w:val="BodyText"/>
        <w:rPr/>
      </w:pPr>
      <w:r>
        <w:rPr/>
        <w:t>Track end-of-life and end-of-support dates, renewal/exit decisions and exposure of dormant images or templates. Retire unsupported images from new provisioning and prevent a rebuild from reintroducing remediated vulnerabilities. Maintain a process to rebuild trusted execution artifacts following a supply-chain compromise.</w:t>
      </w:r>
    </w:p>
    <w:p>
      <w:pPr>
        <w:pStyle w:val="Requirement"/>
        <w:keepNext w:val="true"/>
        <w:rPr/>
      </w:pPr>
      <w:bookmarkStart w:id="300" w:name="req_VULN_001"/>
      <w:bookmarkEnd w:id="300"/>
      <w:r>
        <w:rPr>
          <w:rStyle w:val="ReqID"/>
        </w:rPr>
        <w:t xml:space="preserve">VULN-001  </w:t>
      </w:r>
      <w:r>
        <w:rPr/>
        <w:t>All platform and automation assets SHALL have version/support inventory, vulnerability ownership, risk-based remediation targets, exception handling and retirement decisions.</w:t>
      </w:r>
    </w:p>
    <w:p>
      <w:pPr>
        <w:pStyle w:val="ReqMeta"/>
        <w:rPr/>
      </w:pPr>
      <w:r>
        <w:rPr/>
        <w:t xml:space="preserve">Vulnerability management  |  Verify: </w:t>
      </w:r>
      <w:hyperlink w:anchor="test_CT_041">
        <w:r>
          <w:rPr>
            <w:rStyle w:val="Hyperlink"/>
          </w:rPr>
          <w:t>CT-041</w:t>
        </w:r>
      </w:hyperlink>
      <w:r>
        <w:rPr/>
        <w:t xml:space="preserve">, </w:t>
      </w:r>
      <w:hyperlink w:anchor="test_CT_042">
        <w:r>
          <w:rPr>
            <w:rStyle w:val="Hyperlink"/>
          </w:rPr>
          <w:t>CT-042</w:t>
        </w:r>
      </w:hyperlink>
      <w:r>
        <w:rPr/>
        <w:t xml:space="preserve">, </w:t>
      </w:r>
      <w:hyperlink w:anchor="test_CT_074">
        <w:r>
          <w:rPr>
            <w:rStyle w:val="Hyperlink"/>
          </w:rPr>
          <w:t>CT-074</w:t>
        </w:r>
      </w:hyperlink>
      <w:r>
        <w:rPr/>
        <w:t xml:space="preserve">  |  Basis: </w:t>
      </w:r>
      <w:hyperlink w:anchor="S05">
        <w:r>
          <w:rPr>
            <w:rStyle w:val="Hyperlink"/>
          </w:rPr>
          <w:t>S05</w:t>
        </w:r>
      </w:hyperlink>
      <w:r>
        <w:rPr/>
        <w:t xml:space="preserve"> / </w:t>
      </w:r>
      <w:hyperlink w:anchor="S07">
        <w:r>
          <w:rPr>
            <w:rStyle w:val="Hyperlink"/>
          </w:rPr>
          <w:t>S07</w:t>
        </w:r>
      </w:hyperlink>
      <w:r>
        <w:rPr/>
        <w:t xml:space="preserve">  |  new-v1.1</w:t>
      </w:r>
    </w:p>
    <w:p>
      <w:pPr>
        <w:pStyle w:val="Requirement"/>
        <w:keepNext w:val="true"/>
        <w:rPr/>
      </w:pPr>
      <w:bookmarkStart w:id="301" w:name="req_VULN_002"/>
      <w:bookmarkEnd w:id="301"/>
      <w:r>
        <w:rPr>
          <w:rStyle w:val="ReqID"/>
        </w:rPr>
        <w:t xml:space="preserve">VULN-002  </w:t>
      </w:r>
      <w:r>
        <w:rPr/>
        <w:t>Security updates SHALL use trusted artifacts, compatibility/regression evidence, phased promotion and a tested recovery strategy; unsupported or vulnerable templates SHALL be controlled at new-deployment admission.</w:t>
      </w:r>
    </w:p>
    <w:p>
      <w:pPr>
        <w:pStyle w:val="ReqMeta"/>
        <w:rPr/>
      </w:pPr>
      <w:r>
        <w:rPr/>
        <w:t xml:space="preserve">Platform engineering  |  Verify: </w:t>
      </w:r>
      <w:hyperlink w:anchor="test_CT_015">
        <w:r>
          <w:rPr>
            <w:rStyle w:val="Hyperlink"/>
          </w:rPr>
          <w:t>CT-015</w:t>
        </w:r>
      </w:hyperlink>
      <w:r>
        <w:rPr/>
        <w:t xml:space="preserve">, </w:t>
      </w:r>
      <w:hyperlink w:anchor="test_CT_040">
        <w:r>
          <w:rPr>
            <w:rStyle w:val="Hyperlink"/>
          </w:rPr>
          <w:t>CT-040</w:t>
        </w:r>
      </w:hyperlink>
      <w:r>
        <w:rPr/>
        <w:t xml:space="preserve">, </w:t>
      </w:r>
      <w:hyperlink w:anchor="test_CT_041">
        <w:r>
          <w:rPr>
            <w:rStyle w:val="Hyperlink"/>
          </w:rPr>
          <w:t>CT-041</w:t>
        </w:r>
      </w:hyperlink>
      <w:r>
        <w:rPr/>
        <w:t xml:space="preserve">, </w:t>
      </w:r>
      <w:hyperlink w:anchor="test_CT_042">
        <w:r>
          <w:rPr>
            <w:rStyle w:val="Hyperlink"/>
          </w:rPr>
          <w:t>CT-042</w:t>
        </w:r>
      </w:hyperlink>
      <w:r>
        <w:rPr/>
        <w:t xml:space="preserve">  |  Basis: </w:t>
      </w:r>
      <w:hyperlink w:anchor="S07">
        <w:r>
          <w:rPr>
            <w:rStyle w:val="Hyperlink"/>
          </w:rPr>
          <w:t>S07</w:t>
        </w:r>
      </w:hyperlink>
      <w:r>
        <w:rPr/>
        <w:t xml:space="preserve">  |  new-v1.1</w:t>
      </w:r>
    </w:p>
    <w:p>
      <w:pPr>
        <w:pStyle w:val="Heading2"/>
        <w:numPr>
          <w:ilvl w:val="0"/>
          <w:numId w:val="7"/>
        </w:numPr>
        <w:rPr/>
      </w:pPr>
      <w:bookmarkStart w:id="302" w:name="__RefHeading___Toc13405_1645000677"/>
      <w:bookmarkStart w:id="303" w:name="sec_55"/>
      <w:bookmarkEnd w:id="302"/>
      <w:r>
        <w:rPr/>
        <w:t>Incident response and scoped containment</w:t>
      </w:r>
      <w:bookmarkEnd w:id="303"/>
    </w:p>
    <w:p>
      <w:pPr>
        <w:pStyle w:val="BodyText"/>
        <w:rPr/>
      </w:pPr>
      <w:r>
        <w:rPr/>
        <w:t>Integrate the service with the adopting organization’s cyber-event process, including preparation, detection/assessment, mitigation/recovery and post-event improvement. GC CSEMP provides the relevant enterprise coordination context; this handbook does not replace reporting authorities or incident classifications. The incident commander and system owners define permitted actions and continuity priorities. [</w:t>
      </w:r>
      <w:hyperlink w:anchor="S12">
        <w:r>
          <w:rPr>
            <w:rStyle w:val="Hyperlink"/>
          </w:rPr>
          <w:t>S12</w:t>
        </w:r>
      </w:hyperlink>
      <w:r>
        <w:rPr/>
        <w:t>]</w:t>
      </w:r>
    </w:p>
    <w:p>
      <w:pPr>
        <w:pStyle w:val="BodyText"/>
        <w:rPr/>
      </w:pPr>
      <w:r>
        <w:rPr/>
        <w:t>Containment actions include quarantining a workload identity or instance, withdrawing public exposure, suspending egress, revoking a binding, raising ZIP security posture or pausing new placement on a suspect platform. The control plane records an IncidentOverride before ordinary reconciliation can restore the old desired state. Keep the narrowest effective scope and evaluate impacts on DNS/identity/logging/backup dependencies. A shared-domain quarantine may affect several WSDs and therefore requires explicit dependency analysis.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800"/>
        <w:gridCol w:w="7775"/>
      </w:tblGrid>
      <w:tr>
        <w:trPr>
          <w:tblHeader w:val="true"/>
          <w:cantSplit w:val="true"/>
        </w:trPr>
        <w:tc>
          <w:tcPr>
            <w:tcW w:w="180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Phase</w:t>
            </w:r>
          </w:p>
        </w:tc>
        <w:tc>
          <w:tcPr>
            <w:tcW w:w="777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operational record</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Prepare</w:t>
            </w:r>
          </w:p>
        </w:tc>
        <w:tc>
          <w:tcPr>
            <w:tcW w:w="777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Runbooks, contact/authority roster, approved containment actions, test environment, log access, evidence custody and recovery material</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Detect/assess</w:t>
            </w:r>
          </w:p>
        </w:tc>
        <w:tc>
          <w:tcPr>
            <w:tcW w:w="777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Observed indicators, affected tenants/domains, confidence, timeline, scope and immediate preservation decisions</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Mitigate/recover</w:t>
            </w:r>
          </w:p>
        </w:tc>
        <w:tc>
          <w:tcPr>
            <w:tcW w:w="777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Approved override, before/after policy/routes, resource/credential actions, recovery validation and release authority</w:t>
            </w:r>
          </w:p>
        </w:tc>
      </w:tr>
      <w:tr>
        <w:trPr>
          <w:cantSplit w:val="true"/>
        </w:trPr>
        <w:tc>
          <w:tcPr>
            <w:tcW w:w="180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Post-event</w:t>
            </w:r>
          </w:p>
        </w:tc>
        <w:tc>
          <w:tcPr>
            <w:tcW w:w="777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Root-cause analysis, lessons, reconciled source, exception closure, test/profile changes and retained evidence</w:t>
            </w:r>
          </w:p>
        </w:tc>
      </w:tr>
    </w:tbl>
    <w:p>
      <w:pPr>
        <w:pStyle w:val="BodyText"/>
        <w:rPr/>
      </w:pPr>
      <w:r>
        <w:rPr/>
        <w:t>Capture volatile configuration/route/policy facts when safe; urgent containment is not delayed solely to collect perfect evidence. Preserve who did what and why. Restrict forensic access to the authorized tenant/data scope and maintain artifact integrity. After recovery, revoke emergency grants, release containment through the proper authority, reconcile the source of truth and verify no stale route or credential persists.</w:t>
      </w:r>
    </w:p>
    <w:p>
      <w:pPr>
        <w:pStyle w:val="Requirement"/>
        <w:keepNext w:val="true"/>
        <w:rPr/>
      </w:pPr>
      <w:bookmarkStart w:id="304" w:name="req_IR_001"/>
      <w:bookmarkEnd w:id="304"/>
      <w:r>
        <w:rPr>
          <w:rStyle w:val="ReqID"/>
        </w:rPr>
        <w:t xml:space="preserve">IR-001  </w:t>
      </w:r>
      <w:r>
        <w:rPr/>
        <w:t>Emergency containment SHALL be possible without requiring a physical-fabric redesign or broad outage to unrelated tenants.</w:t>
      </w:r>
    </w:p>
    <w:p>
      <w:pPr>
        <w:pStyle w:val="ReqMeta"/>
        <w:rPr/>
      </w:pPr>
      <w:r>
        <w:rPr/>
        <w:t xml:space="preserve">Incident response  |  Verify: </w:t>
      </w:r>
      <w:hyperlink w:anchor="test_CT_057">
        <w:r>
          <w:rPr>
            <w:rStyle w:val="Hyperlink"/>
          </w:rPr>
          <w:t>CT-057</w:t>
        </w:r>
      </w:hyperlink>
      <w:r>
        <w:rPr/>
        <w:t xml:space="preserve">, </w:t>
      </w:r>
      <w:hyperlink w:anchor="test_CT_067">
        <w:r>
          <w:rPr>
            <w:rStyle w:val="Hyperlink"/>
          </w:rPr>
          <w:t>CT-067</w:t>
        </w:r>
      </w:hyperlink>
      <w:r>
        <w:rPr/>
        <w:t xml:space="preserve">  |  Basis: </w:t>
      </w:r>
      <w:hyperlink w:anchor="S00">
        <w:r>
          <w:rPr>
            <w:rStyle w:val="Hyperlink"/>
          </w:rPr>
          <w:t>S00</w:t>
        </w:r>
      </w:hyperlink>
      <w:r>
        <w:rPr/>
        <w:t xml:space="preserve">  |  retained-v1.0</w:t>
      </w:r>
    </w:p>
    <w:p>
      <w:pPr>
        <w:pStyle w:val="Requirement"/>
        <w:keepNext w:val="true"/>
        <w:rPr/>
      </w:pPr>
      <w:bookmarkStart w:id="305" w:name="req_IR_002"/>
      <w:bookmarkEnd w:id="305"/>
      <w:r>
        <w:rPr>
          <w:rStyle w:val="ReqID"/>
        </w:rPr>
        <w:t xml:space="preserve">IR-002  </w:t>
      </w:r>
      <w:r>
        <w:rPr/>
        <w:t>Incident procedures SHALL define authority, scoped containment, evidence custody, coordination, recovery acceptance and reconciliation of emergency changes; containment release SHALL be explicit and attributable.</w:t>
      </w:r>
    </w:p>
    <w:p>
      <w:pPr>
        <w:pStyle w:val="ReqMeta"/>
        <w:rPr/>
      </w:pPr>
      <w:r>
        <w:rPr/>
        <w:t xml:space="preserve">Incident response  |  Verify: </w:t>
      </w:r>
      <w:hyperlink w:anchor="test_CT_049">
        <w:r>
          <w:rPr>
            <w:rStyle w:val="Hyperlink"/>
          </w:rPr>
          <w:t>CT-049</w:t>
        </w:r>
      </w:hyperlink>
      <w:r>
        <w:rPr/>
        <w:t xml:space="preserve">, </w:t>
      </w:r>
      <w:hyperlink w:anchor="test_CT_057">
        <w:r>
          <w:rPr>
            <w:rStyle w:val="Hyperlink"/>
          </w:rPr>
          <w:t>CT-057</w:t>
        </w:r>
      </w:hyperlink>
      <w:r>
        <w:rPr/>
        <w:t xml:space="preserve">, </w:t>
      </w:r>
      <w:hyperlink w:anchor="test_CT_058">
        <w:r>
          <w:rPr>
            <w:rStyle w:val="Hyperlink"/>
          </w:rPr>
          <w:t>CT-058</w:t>
        </w:r>
      </w:hyperlink>
      <w:r>
        <w:rPr/>
        <w:t xml:space="preserve">, </w:t>
      </w:r>
      <w:hyperlink w:anchor="test_CT_066">
        <w:r>
          <w:rPr>
            <w:rStyle w:val="Hyperlink"/>
          </w:rPr>
          <w:t>CT-066</w:t>
        </w:r>
      </w:hyperlink>
      <w:r>
        <w:rPr/>
        <w:t xml:space="preserve">  |  Basis: </w:t>
      </w:r>
      <w:hyperlink w:anchor="S12">
        <w:r>
          <w:rPr>
            <w:rStyle w:val="Hyperlink"/>
          </w:rPr>
          <w:t>S12</w:t>
        </w:r>
      </w:hyperlink>
      <w:r>
        <w:rPr/>
        <w:t xml:space="preserve">  |  new-v1.1</w:t>
      </w:r>
    </w:p>
    <w:p>
      <w:pPr>
        <w:pStyle w:val="Heading2"/>
        <w:numPr>
          <w:ilvl w:val="0"/>
          <w:numId w:val="7"/>
        </w:numPr>
        <w:rPr/>
      </w:pPr>
      <w:bookmarkStart w:id="306" w:name="__RefHeading___Toc13407_1645000677"/>
      <w:bookmarkStart w:id="307" w:name="sec_56"/>
      <w:bookmarkEnd w:id="306"/>
      <w:r>
        <w:rPr/>
        <w:t>Lifecycle, retirement and secure disposal</w:t>
      </w:r>
      <w:bookmarkEnd w:id="307"/>
    </w:p>
    <w:p>
      <w:pPr>
        <w:pStyle w:val="BodyText"/>
        <w:rPr/>
      </w:pPr>
      <w:r>
        <w:rPr/>
        <w:t>Retirement is a dependency-aware security and data-governance workflow. Separate terminating the live service from disposing of every retained copy. A legal/administrative retention obligation can outlive a WSD; represent it as a RetainedDataRecord with owner, access boundary, retention/hold policy, key dependency and final destruction authority. The tenant inventory retains a tombstone rather than silently losing evidence. [</w:t>
      </w:r>
      <w:hyperlink w:anchor="S27">
        <w:r>
          <w:rPr>
            <w:rStyle w:val="Hyperlink"/>
          </w:rPr>
          <w:t>S27</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720"/>
        <w:gridCol w:w="8855"/>
      </w:tblGrid>
      <w:tr>
        <w:trPr>
          <w:tblHeader w:val="true"/>
          <w:cantSplit w:val="true"/>
        </w:trPr>
        <w:tc>
          <w:tcPr>
            <w:tcW w:w="72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Step</w:t>
            </w:r>
          </w:p>
        </w:tc>
        <w:tc>
          <w:tcPr>
            <w:tcW w:w="885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Action and completion condition</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Set Retiring, freeze optional new dependencies, identify consumers and approve the retirement/data-retention plan.</w:t>
            </w:r>
          </w:p>
        </w:tc>
      </w:tr>
      <w:tr>
        <w:trPr>
          <w:cantSplit w:val="true"/>
        </w:trPr>
        <w:tc>
          <w:tcPr>
            <w:tcW w:w="7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w:t>
            </w:r>
          </w:p>
        </w:tc>
        <w:tc>
          <w:tcPr>
            <w:tcW w:w="88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Verify required backups/exports and holds before removing the paths or identities needed to create them; test required recoverability.</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Withdraw public ingress and discretionary egress; notify dependent service owners and coordinate DNS TTL/cutover.</w:t>
            </w:r>
          </w:p>
        </w:tc>
      </w:tr>
      <w:tr>
        <w:trPr>
          <w:cantSplit w:val="true"/>
        </w:trPr>
        <w:tc>
          <w:tcPr>
            <w:tcW w:w="7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w:t>
            </w:r>
          </w:p>
        </w:tc>
        <w:tc>
          <w:tcPr>
            <w:tcW w:w="88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Revoke obsolete application flows, bindings and sessions in dependency-safe order while retaining only authorized recovery/retention paths.</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Stop and remove workload/ephemeral resources; remove unused domain instances only when no other owner/reference requires them.</w:t>
            </w:r>
          </w:p>
        </w:tc>
      </w:tr>
      <w:tr>
        <w:trPr>
          <w:cantSplit w:val="true"/>
        </w:trPr>
        <w:tc>
          <w:tcPr>
            <w:tcW w:w="7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w:t>
            </w:r>
          </w:p>
        </w:tc>
        <w:tc>
          <w:tcPr>
            <w:tcW w:w="88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Withdraw routes/attachments, remove DNS/DHCP records and release prefixes through quarantine; verify stale caches, leases and policy objects.</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7</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Revoke workload/automation identities, secrets and certificates; retain only separately authorized retained-data access and required recovery keys.</w:t>
            </w:r>
          </w:p>
        </w:tc>
      </w:tr>
      <w:tr>
        <w:trPr>
          <w:cantSplit w:val="true"/>
        </w:trPr>
        <w:tc>
          <w:tcPr>
            <w:tcW w:w="72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8</w:t>
            </w:r>
          </w:p>
        </w:tc>
        <w:tc>
          <w:tcPr>
            <w:tcW w:w="885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Sanitize disposable media/data according to the approved method and evidence; track replicas, snapshots, caches and offline copies; do not destroy shared/held keys prematurely.</w:t>
            </w:r>
          </w:p>
        </w:tc>
      </w:tr>
      <w:tr>
        <w:trPr>
          <w:cantSplit w:val="true"/>
        </w:trPr>
        <w:tc>
          <w:tcPr>
            <w:tcW w:w="72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9</w:t>
            </w:r>
          </w:p>
        </w:tc>
        <w:tc>
          <w:tcPr>
            <w:tcW w:w="885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Verify absence of live connectivity/authority, record retained-copy obligations and destruction evidence, and close service inventory with an auditable tombstone.</w:t>
            </w:r>
          </w:p>
        </w:tc>
      </w:tr>
    </w:tbl>
    <w:p>
      <w:pPr>
        <w:pStyle w:val="BodyText"/>
        <w:rPr/>
      </w:pPr>
      <w:r>
        <w:rPr/>
        <w:t>Choose sanitization using the media technology, data sensitivity and validated method. Cryptographic erase depends on effective encryption and exclusive key scope; deleting a shared key or merely deleting a volume record is not proof that all data copies were sanitized. For retained copies, report the remaining obligations accurately rather than marking total destruction complete. NIST SP 800-88 Rev. 2 is supporting guidance; applicable organizational disposal requirements remain authoritative. [</w:t>
      </w:r>
      <w:hyperlink w:anchor="S27">
        <w:r>
          <w:rPr>
            <w:rStyle w:val="Hyperlink"/>
          </w:rPr>
          <w:t>S27</w:t>
        </w:r>
      </w:hyperlink>
      <w:r>
        <w:rPr/>
        <w:t>]</w:t>
      </w:r>
    </w:p>
    <w:p>
      <w:pPr>
        <w:pStyle w:val="BodyText"/>
        <w:rPr/>
      </w:pPr>
      <w:r>
        <w:rPr/>
        <w:t>Deletion finalizers protect dependencies and held data, but they cannot become silent permanent blockers. Operators need an audited escalation path that resolves each obligation before removing a finalizer. Repeated deletion requests are idempotent. Resource name reuse cannot inherit stale identity, DNS, storage entitlement or firewall policy.</w:t>
      </w:r>
    </w:p>
    <w:p>
      <w:pPr>
        <w:pStyle w:val="Requirement"/>
        <w:keepNext w:val="true"/>
        <w:rPr/>
      </w:pPr>
      <w:bookmarkStart w:id="308" w:name="req_LIFE_001"/>
      <w:bookmarkEnd w:id="308"/>
      <w:r>
        <w:rPr>
          <w:rStyle w:val="ReqID"/>
        </w:rPr>
        <w:t xml:space="preserve">LIFE-001  </w:t>
      </w:r>
      <w:r>
        <w:rPr/>
        <w:t>Offboarding SHALL remove obsolete routes and policy objects and SHALL produce evidence of completion.</w:t>
      </w:r>
    </w:p>
    <w:p>
      <w:pPr>
        <w:pStyle w:val="ReqMeta"/>
        <w:rPr/>
      </w:pPr>
      <w:r>
        <w:rPr/>
        <w:t xml:space="preserve">Service management  |  Verify: </w:t>
      </w:r>
      <w:hyperlink w:anchor="test_CT_013">
        <w:r>
          <w:rPr>
            <w:rStyle w:val="Hyperlink"/>
          </w:rPr>
          <w:t>CT-013</w:t>
        </w:r>
      </w:hyperlink>
      <w:r>
        <w:rPr/>
        <w:t xml:space="preserve">, </w:t>
      </w:r>
      <w:hyperlink w:anchor="test_CT_059">
        <w:r>
          <w:rPr>
            <w:rStyle w:val="Hyperlink"/>
          </w:rPr>
          <w:t>CT-059</w:t>
        </w:r>
      </w:hyperlink>
      <w:r>
        <w:rPr/>
        <w:t xml:space="preserve">, </w:t>
      </w:r>
      <w:hyperlink w:anchor="test_CT_070">
        <w:r>
          <w:rPr>
            <w:rStyle w:val="Hyperlink"/>
          </w:rPr>
          <w:t>CT-070</w:t>
        </w:r>
      </w:hyperlink>
      <w:r>
        <w:rPr/>
        <w:t xml:space="preserve">  |  Basis: </w:t>
      </w:r>
      <w:hyperlink w:anchor="S00">
        <w:r>
          <w:rPr>
            <w:rStyle w:val="Hyperlink"/>
          </w:rPr>
          <w:t>S00</w:t>
        </w:r>
      </w:hyperlink>
      <w:r>
        <w:rPr/>
        <w:t xml:space="preserve">  |  retained-v1.0</w:t>
      </w:r>
    </w:p>
    <w:p>
      <w:pPr>
        <w:pStyle w:val="Requirement"/>
        <w:keepNext w:val="true"/>
        <w:rPr/>
      </w:pPr>
      <w:bookmarkStart w:id="309" w:name="req_LIFE_002"/>
      <w:bookmarkEnd w:id="309"/>
      <w:r>
        <w:rPr>
          <w:rStyle w:val="ReqID"/>
        </w:rPr>
        <w:t xml:space="preserve">LIFE-002  </w:t>
      </w:r>
      <w:r>
        <w:rPr/>
        <w:t>Retirement SHALL distinguish live-service removal from retained-data obligations and SHALL verify identity, DNS, route, policy, attachment, copy and key lifecycle without deleting shared or held resources.</w:t>
      </w:r>
    </w:p>
    <w:p>
      <w:pPr>
        <w:pStyle w:val="ReqMeta"/>
        <w:rPr/>
      </w:pPr>
      <w:r>
        <w:rPr/>
        <w:t xml:space="preserve">Service management  |  Verify: </w:t>
      </w:r>
      <w:hyperlink w:anchor="test_CT_013">
        <w:r>
          <w:rPr>
            <w:rStyle w:val="Hyperlink"/>
          </w:rPr>
          <w:t>CT-013</w:t>
        </w:r>
      </w:hyperlink>
      <w:r>
        <w:rPr/>
        <w:t xml:space="preserve">, </w:t>
      </w:r>
      <w:hyperlink w:anchor="test_CT_053">
        <w:r>
          <w:rPr>
            <w:rStyle w:val="Hyperlink"/>
          </w:rPr>
          <w:t>CT-053</w:t>
        </w:r>
      </w:hyperlink>
      <w:r>
        <w:rPr/>
        <w:t xml:space="preserve">, </w:t>
      </w:r>
      <w:hyperlink w:anchor="test_CT_059">
        <w:r>
          <w:rPr>
            <w:rStyle w:val="Hyperlink"/>
          </w:rPr>
          <w:t>CT-059</w:t>
        </w:r>
      </w:hyperlink>
      <w:r>
        <w:rPr/>
        <w:t xml:space="preserve">, </w:t>
      </w:r>
      <w:hyperlink w:anchor="test_CT_070">
        <w:r>
          <w:rPr>
            <w:rStyle w:val="Hyperlink"/>
          </w:rPr>
          <w:t>CT-070</w:t>
        </w:r>
      </w:hyperlink>
      <w:r>
        <w:rPr/>
        <w:t xml:space="preserve">, </w:t>
      </w:r>
      <w:hyperlink w:anchor="test_CT_078">
        <w:r>
          <w:rPr>
            <w:rStyle w:val="Hyperlink"/>
          </w:rPr>
          <w:t>CT-078</w:t>
        </w:r>
      </w:hyperlink>
      <w:r>
        <w:rPr/>
        <w:t xml:space="preserve">  |  Basis: </w:t>
      </w:r>
      <w:hyperlink w:anchor="S27">
        <w:r>
          <w:rPr>
            <w:rStyle w:val="Hyperlink"/>
          </w:rPr>
          <w:t>S27</w:t>
        </w:r>
      </w:hyperlink>
      <w:r>
        <w:rPr/>
        <w:t xml:space="preserve">  |  new-v1.1</w:t>
      </w:r>
    </w:p>
    <w:p>
      <w:pPr>
        <w:pStyle w:val="Requirement"/>
        <w:keepNext w:val="true"/>
        <w:rPr/>
      </w:pPr>
      <w:bookmarkStart w:id="310" w:name="req_LIFE_003"/>
      <w:bookmarkEnd w:id="310"/>
      <w:r>
        <w:rPr>
          <w:rStyle w:val="ReqID"/>
        </w:rPr>
        <w:t xml:space="preserve">LIFE-003  </w:t>
      </w:r>
      <w:r>
        <w:rPr/>
        <w:t>Sanitization SHALL use an approved media-appropriate method with copy/key-scope evidence; deletion of a resource record SHALL NOT alone constitute proof of data destruction.</w:t>
      </w:r>
    </w:p>
    <w:p>
      <w:pPr>
        <w:pStyle w:val="ReqMeta"/>
        <w:rPr/>
      </w:pPr>
      <w:r>
        <w:rPr/>
        <w:t xml:space="preserve">Data owner  |  Verify: </w:t>
      </w:r>
      <w:hyperlink w:anchor="test_CT_053">
        <w:r>
          <w:rPr>
            <w:rStyle w:val="Hyperlink"/>
          </w:rPr>
          <w:t>CT-053</w:t>
        </w:r>
      </w:hyperlink>
      <w:r>
        <w:rPr/>
        <w:t xml:space="preserve">, </w:t>
      </w:r>
      <w:hyperlink w:anchor="test_CT_059">
        <w:r>
          <w:rPr>
            <w:rStyle w:val="Hyperlink"/>
          </w:rPr>
          <w:t>CT-059</w:t>
        </w:r>
      </w:hyperlink>
      <w:r>
        <w:rPr/>
        <w:t xml:space="preserve">  |  Basis: </w:t>
      </w:r>
      <w:hyperlink w:anchor="S27">
        <w:r>
          <w:rPr>
            <w:rStyle w:val="Hyperlink"/>
          </w:rPr>
          <w:t>S27</w:t>
        </w:r>
      </w:hyperlink>
      <w:r>
        <w:rPr/>
        <w:t xml:space="preserve">  |  new-v1.1</w:t>
      </w:r>
    </w:p>
    <w:p>
      <w:pPr>
        <w:pStyle w:val="Heading2"/>
        <w:numPr>
          <w:ilvl w:val="0"/>
          <w:numId w:val="7"/>
        </w:numPr>
        <w:rPr/>
      </w:pPr>
      <w:bookmarkStart w:id="311" w:name="__RefHeading___Toc13409_1645000677"/>
      <w:bookmarkStart w:id="312" w:name="sec_57"/>
      <w:bookmarkEnd w:id="311"/>
      <w:r>
        <w:rPr/>
        <w:t>Migration, portability and exit rehearsal</w:t>
      </w:r>
      <w:bookmarkEnd w:id="312"/>
    </w:p>
    <w:p>
      <w:pPr>
        <w:pStyle w:val="BodyText"/>
        <w:rPr/>
      </w:pPr>
      <w:r>
        <w:rPr/>
        <w:t>A MigrationConnection expresses a bounded transition between approved source and target domains. It includes data classification, source/destination authority, service/protocol, bandwidth, window/expiry, migration owner, consistency method, rollback or recovery plan, telemetry and teardown. A permanent migration/transit network is not the default. Do not use transition pressure to bypass ZIP controls or broaden shared-service access.</w:t>
      </w:r>
    </w:p>
    <w:p>
      <w:pPr>
        <w:pStyle w:val="BodyText"/>
        <w:rPr/>
      </w:pPr>
      <w:r>
        <w:rPr/>
        <w:t>Recreate the same WSD semantics at the target with newly qualified platform-specific instances. Validate CPU/guest compatibility, drivers, boot mode, image/container formats, storage/application consistency, identity, keys, certificates, DNS, monitoring, backup and policy. Exportable disks alone do not make an application portable. Live migration between unrelated hypervisors is not promised; conversion, backup/restore or application-level transfer may be required.</w:t>
      </w:r>
    </w:p>
    <w:p>
      <w:pPr>
        <w:pStyle w:val="BodyText"/>
        <w:rPr/>
      </w:pPr>
      <w:r>
        <w:rPr/>
        <w:t>A cutover plan chooses a final consistency point, fences old writers, confirms the target data state, tests permitted and forbidden paths, moves DNS/ingress through approved steps and observes the service before declaring success. A rollback may require reverse synchronization rather than simply starting the old VM. Retain both environments only within an approved time/cost/security window; remove transition connectivity and obsolete copies according to retention policy.</w:t>
      </w:r>
    </w:p>
    <w:p>
      <w:pPr>
        <w:pStyle w:val="BodyText"/>
        <w:rPr/>
      </w:pPr>
      <w:r>
        <w:rPr/>
        <w:t>Run periodic exit rehearsals using representative workloads on a second qualified platform. Measure elapsed effort, data transfer, downtime, policy equivalence, dependency changes, egress/copy costs and operational skills. Record non-portable extensions explicitly and maintain a viable exit plan for them. Portability is an evidenced service outcome, not a commitment that every implementation has identical native capabilities.</w:t>
      </w:r>
    </w:p>
    <w:p>
      <w:pPr>
        <w:pStyle w:val="Requirement"/>
        <w:keepNext w:val="true"/>
        <w:rPr/>
      </w:pPr>
      <w:bookmarkStart w:id="313" w:name="req_MIG_001"/>
      <w:bookmarkEnd w:id="313"/>
      <w:r>
        <w:rPr>
          <w:rStyle w:val="ReqID"/>
        </w:rPr>
        <w:t xml:space="preserve">MIG-001  </w:t>
      </w:r>
      <w:r>
        <w:rPr/>
        <w:t>Migration connectivity SHALL be time-bound unless explicitly converted to an approved steady-state connection.</w:t>
      </w:r>
    </w:p>
    <w:p>
      <w:pPr>
        <w:pStyle w:val="ReqMeta"/>
        <w:rPr/>
      </w:pPr>
      <w:r>
        <w:rPr/>
        <w:t xml:space="preserve">Migration owner  |  Verify: </w:t>
      </w:r>
      <w:hyperlink w:anchor="test_CT_058">
        <w:r>
          <w:rPr>
            <w:rStyle w:val="Hyperlink"/>
          </w:rPr>
          <w:t>CT-058</w:t>
        </w:r>
      </w:hyperlink>
      <w:r>
        <w:rPr/>
        <w:t xml:space="preserve">, </w:t>
      </w:r>
      <w:hyperlink w:anchor="test_CT_060">
        <w:r>
          <w:rPr>
            <w:rStyle w:val="Hyperlink"/>
          </w:rPr>
          <w:t>CT-060</w:t>
        </w:r>
      </w:hyperlink>
      <w:r>
        <w:rPr/>
        <w:t xml:space="preserve">, </w:t>
      </w:r>
      <w:hyperlink w:anchor="test_CT_076">
        <w:r>
          <w:rPr>
            <w:rStyle w:val="Hyperlink"/>
          </w:rPr>
          <w:t>CT-076</w:t>
        </w:r>
      </w:hyperlink>
      <w:r>
        <w:rPr/>
        <w:t xml:space="preserve">  |  Basis: </w:t>
      </w:r>
      <w:hyperlink w:anchor="S00">
        <w:r>
          <w:rPr>
            <w:rStyle w:val="Hyperlink"/>
          </w:rPr>
          <w:t>S00</w:t>
        </w:r>
      </w:hyperlink>
      <w:r>
        <w:rPr/>
        <w:t xml:space="preserve">  |  retained-v1.0</w:t>
      </w:r>
    </w:p>
    <w:p>
      <w:pPr>
        <w:pStyle w:val="Requirement"/>
        <w:keepNext w:val="true"/>
        <w:rPr/>
      </w:pPr>
      <w:bookmarkStart w:id="314" w:name="req_MIG_002"/>
      <w:bookmarkEnd w:id="314"/>
      <w:r>
        <w:rPr>
          <w:rStyle w:val="ReqID"/>
        </w:rPr>
        <w:t xml:space="preserve">MIG-002  </w:t>
      </w:r>
      <w:r>
        <w:rPr/>
        <w:t>Migration flows SHALL traverse an approved security edge when they cross security-domain boundaries.</w:t>
      </w:r>
    </w:p>
    <w:p>
      <w:pPr>
        <w:pStyle w:val="ReqMeta"/>
        <w:rPr/>
      </w:pPr>
      <w:r>
        <w:rPr/>
        <w:t xml:space="preserve">Migration owner  |  Verify: </w:t>
      </w:r>
      <w:hyperlink w:anchor="test_CT_003">
        <w:r>
          <w:rPr>
            <w:rStyle w:val="Hyperlink"/>
          </w:rPr>
          <w:t>CT-003</w:t>
        </w:r>
      </w:hyperlink>
      <w:r>
        <w:rPr/>
        <w:t xml:space="preserve">, </w:t>
      </w:r>
      <w:hyperlink w:anchor="test_CT_060">
        <w:r>
          <w:rPr>
            <w:rStyle w:val="Hyperlink"/>
          </w:rPr>
          <w:t>CT-060</w:t>
        </w:r>
      </w:hyperlink>
      <w:r>
        <w:rPr/>
        <w:t xml:space="preserve">  |  Basis: </w:t>
      </w:r>
      <w:hyperlink w:anchor="S00">
        <w:r>
          <w:rPr>
            <w:rStyle w:val="Hyperlink"/>
          </w:rPr>
          <w:t>S00</w:t>
        </w:r>
      </w:hyperlink>
      <w:r>
        <w:rPr/>
        <w:t xml:space="preserve">  |  retained-v1.0</w:t>
      </w:r>
    </w:p>
    <w:p>
      <w:pPr>
        <w:pStyle w:val="Requirement"/>
        <w:keepNext w:val="true"/>
        <w:rPr/>
      </w:pPr>
      <w:bookmarkStart w:id="315" w:name="req_MIG_003"/>
      <w:bookmarkEnd w:id="315"/>
      <w:r>
        <w:rPr>
          <w:rStyle w:val="ReqID"/>
        </w:rPr>
        <w:t xml:space="preserve">MIG-003  </w:t>
      </w:r>
      <w:r>
        <w:rPr/>
        <w:t>Migration and exit rehearsals SHALL validate data/application consistency, identity/key dependencies, equivalent security outcomes, fencing/cutover, rollback feasibility and complete transition teardown.</w:t>
      </w:r>
    </w:p>
    <w:p>
      <w:pPr>
        <w:pStyle w:val="ReqMeta"/>
        <w:rPr/>
      </w:pPr>
      <w:r>
        <w:rPr/>
        <w:t xml:space="preserve">Migration owner  |  Verify: </w:t>
      </w:r>
      <w:hyperlink w:anchor="test_CT_054">
        <w:r>
          <w:rPr>
            <w:rStyle w:val="Hyperlink"/>
          </w:rPr>
          <w:t>CT-054</w:t>
        </w:r>
      </w:hyperlink>
      <w:r>
        <w:rPr/>
        <w:t xml:space="preserve">, </w:t>
      </w:r>
      <w:hyperlink w:anchor="test_CT_060">
        <w:r>
          <w:rPr>
            <w:rStyle w:val="Hyperlink"/>
          </w:rPr>
          <w:t>CT-060</w:t>
        </w:r>
      </w:hyperlink>
      <w:r>
        <w:rPr/>
        <w:t xml:space="preserve">, </w:t>
      </w:r>
      <w:hyperlink w:anchor="test_CT_073">
        <w:r>
          <w:rPr>
            <w:rStyle w:val="Hyperlink"/>
          </w:rPr>
          <w:t>CT-073</w:t>
        </w:r>
      </w:hyperlink>
      <w:r>
        <w:rPr/>
        <w:t xml:space="preserve">, </w:t>
      </w:r>
      <w:hyperlink w:anchor="test_CT_078">
        <w:r>
          <w:rPr>
            <w:rStyle w:val="Hyperlink"/>
          </w:rPr>
          <w:t>CT-078</w:t>
        </w:r>
      </w:hyperlink>
      <w:r>
        <w:rPr/>
        <w:t xml:space="preserve">  |  Basis: </w:t>
      </w:r>
      <w:hyperlink w:anchor="S00">
        <w:r>
          <w:rPr>
            <w:rStyle w:val="Hyperlink"/>
          </w:rPr>
          <w:t>S00</w:t>
        </w:r>
      </w:hyperlink>
      <w:r>
        <w:rPr/>
        <w:t xml:space="preserve">  |  new-v1.1</w:t>
      </w:r>
    </w:p>
    <w:p>
      <w:pPr>
        <w:pStyle w:val="Normal"/>
        <w:rPr/>
      </w:pPr>
      <w:r>
        <w:rPr/>
      </w:r>
      <w:r>
        <w:br w:type="page"/>
      </w:r>
    </w:p>
    <w:p>
      <w:pPr>
        <w:pStyle w:val="Heading1"/>
        <w:spacing w:before="0" w:after="180"/>
        <w:rPr/>
      </w:pPr>
      <w:bookmarkStart w:id="316" w:name="__RefHeading___Toc13411_1645000677"/>
      <w:bookmarkStart w:id="317" w:name="part_7"/>
      <w:bookmarkEnd w:id="316"/>
      <w:r>
        <w:rPr/>
        <w:t>Part VII — Governance and delivery</w:t>
      </w:r>
      <w:bookmarkEnd w:id="317"/>
    </w:p>
    <w:p>
      <w:pPr>
        <w:pStyle w:val="Heading2"/>
        <w:numPr>
          <w:ilvl w:val="0"/>
          <w:numId w:val="7"/>
        </w:numPr>
        <w:rPr/>
      </w:pPr>
      <w:bookmarkStart w:id="318" w:name="__RefHeading___Toc13413_1645000677"/>
      <w:bookmarkStart w:id="319" w:name="sec_58"/>
      <w:bookmarkEnd w:id="318"/>
      <w:r>
        <w:rPr/>
        <w:t>Operating model and separation of duties</w:t>
      </w:r>
      <w:bookmarkEnd w:id="319"/>
    </w:p>
    <w:p>
      <w:pPr>
        <w:pStyle w:val="BodyText"/>
        <w:rPr/>
      </w:pPr>
      <w:r>
        <w:rPr/>
        <w:t>Adopt a service-based operating model with accountable ownership of the durable contract, shared service products, foundation capacity, security policy and assurance. Tenant teams own workload requirements and application controls; provider teams own the qualified infrastructure and inherited controls. The precise split is recorded for each service rather than assumed from a platform brand or hosting location. [</w:t>
      </w:r>
      <w:hyperlink w:anchor="S05">
        <w:r>
          <w:rPr>
            <w:rStyle w:val="Hyperlink"/>
          </w:rPr>
          <w:t>S05</w:t>
        </w:r>
      </w:hyperlink>
      <w:r>
        <w:rPr/>
        <w:t xml:space="preserve">; </w:t>
      </w:r>
      <w:hyperlink w:anchor="S28">
        <w:r>
          <w:rPr>
            <w:rStyle w:val="Hyperlink"/>
          </w:rPr>
          <w:t>S28</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880"/>
        <w:gridCol w:w="6695"/>
      </w:tblGrid>
      <w:tr>
        <w:trPr>
          <w:tblHeader w:val="true"/>
          <w:cantSplit w:val="true"/>
        </w:trPr>
        <w:tc>
          <w:tcPr>
            <w:tcW w:w="28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Role</w:t>
            </w:r>
          </w:p>
        </w:tc>
        <w:tc>
          <w:tcPr>
            <w:tcW w:w="669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Accountability and authority boundary</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Architecture authority</w:t>
            </w:r>
          </w:p>
        </w:tc>
        <w:tc>
          <w:tcPr>
            <w:tcW w:w="669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Portable model, requirements, approved design decisions and architectural change impact</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Security authority / authorizing official</w:t>
            </w:r>
          </w:p>
        </w:tc>
        <w:tc>
          <w:tcPr>
            <w:tcW w:w="669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Categorization/profile decisions, risk acceptance, selected controls and formal authorization; technical testing may be delegated but decision authority is not fabricated</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Foundation/network engineering</w:t>
            </w:r>
          </w:p>
        </w:tc>
        <w:tc>
          <w:tcPr>
            <w:tcW w:w="669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Physical fabric, attachments, underlay/EVPN, OOB and platform bootstrap within scoped identities</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Platform/service engineering</w:t>
            </w:r>
          </w:p>
        </w:tc>
        <w:tc>
          <w:tcPr>
            <w:tcW w:w="669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Native adapters, compute/storage/identity/shared-service products, qualification and supported lifecycle</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Security-edge operations</w:t>
            </w:r>
          </w:p>
        </w:tc>
        <w:tc>
          <w:tcPr>
            <w:tcW w:w="669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ZIP contexts, route/policy enforcement, sensor health, HA and edge capacity</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Automation platform</w:t>
            </w:r>
          </w:p>
        </w:tc>
        <w:tc>
          <w:tcPr>
            <w:tcW w:w="669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API/controller, source/state/journal integrity, runners, profile registry and evidence service</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Assurance / security operations</w:t>
            </w:r>
          </w:p>
        </w:tc>
        <w:tc>
          <w:tcPr>
            <w:tcW w:w="669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Test execution, independent review, event correlation, evidence freshness and incident coordination</w:t>
            </w:r>
          </w:p>
        </w:tc>
      </w:tr>
      <w:tr>
        <w:trPr>
          <w:cantSplit w:val="true"/>
        </w:trPr>
        <w:tc>
          <w:tcPr>
            <w:tcW w:w="288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Tenant service/data owner</w:t>
            </w:r>
          </w:p>
        </w:tc>
        <w:tc>
          <w:tcPr>
            <w:tcW w:w="669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Workload intent, application/data lifecycle, acceptance, retention, recovery requirements and declared extensions</w:t>
            </w:r>
          </w:p>
        </w:tc>
      </w:tr>
    </w:tbl>
    <w:p>
      <w:pPr>
        <w:pStyle w:val="BodyText"/>
        <w:rPr/>
      </w:pPr>
      <w:r>
        <w:rPr/>
        <w:t>A requestor cannot approve their own high-risk privilege or exposure change merely because they operate the pipeline. Define who is responsible, accountable, consulted and informed for onboarding, profile changes, edge changes, emergency containment, risk acceptance, backup retention, restore and disposal. A single accountable role owns each decision, even when several teams execute it. Access reviews compare actual API/native roles with this model, not just job titles.</w:t>
      </w:r>
    </w:p>
    <w:p>
      <w:pPr>
        <w:pStyle w:val="BodyText"/>
        <w:rPr/>
      </w:pPr>
      <w:r>
        <w:rPr/>
        <w:t>Operations handover includes ownership/contact escalation, service dependencies, SLO and recovery profiles, capacity, monitoring, credentials/break-glass, runbooks, known limitations, supported versions, costs and qualification evidence. No unresolved operational responsibility is silently assigned to a tenant at Service Ready.</w:t>
      </w:r>
    </w:p>
    <w:p>
      <w:pPr>
        <w:pStyle w:val="Requirement"/>
        <w:keepNext w:val="true"/>
        <w:rPr/>
      </w:pPr>
      <w:bookmarkStart w:id="320" w:name="req_OPS_001"/>
      <w:bookmarkEnd w:id="320"/>
      <w:r>
        <w:rPr>
          <w:rStyle w:val="ReqID"/>
        </w:rPr>
        <w:t xml:space="preserve">OPS-001  </w:t>
      </w:r>
      <w:r>
        <w:rPr/>
        <w:t>Each service SHALL publish a provider/tenant/shared control responsibility matrix and accountable decision owners for its complete lifecycle, including inherited controls, support access and data disposal.</w:t>
      </w:r>
    </w:p>
    <w:p>
      <w:pPr>
        <w:pStyle w:val="ReqMeta"/>
        <w:rPr/>
      </w:pPr>
      <w:r>
        <w:rPr/>
        <w:t xml:space="preserve">Service management  |  Verify: </w:t>
      </w:r>
      <w:hyperlink w:anchor="test_CT_019">
        <w:r>
          <w:rPr>
            <w:rStyle w:val="Hyperlink"/>
          </w:rPr>
          <w:t>CT-019</w:t>
        </w:r>
      </w:hyperlink>
      <w:r>
        <w:rPr/>
        <w:t xml:space="preserve">, </w:t>
      </w:r>
      <w:hyperlink w:anchor="test_CT_062">
        <w:r>
          <w:rPr>
            <w:rStyle w:val="Hyperlink"/>
          </w:rPr>
          <w:t>CT-062</w:t>
        </w:r>
      </w:hyperlink>
      <w:r>
        <w:rPr/>
        <w:t xml:space="preserve">, </w:t>
      </w:r>
      <w:hyperlink w:anchor="test_CT_079">
        <w:r>
          <w:rPr>
            <w:rStyle w:val="Hyperlink"/>
          </w:rPr>
          <w:t>CT-079</w:t>
        </w:r>
      </w:hyperlink>
      <w:r>
        <w:rPr/>
        <w:t xml:space="preserve">  |  Basis: </w:t>
      </w:r>
      <w:hyperlink w:anchor="S05">
        <w:r>
          <w:rPr>
            <w:rStyle w:val="Hyperlink"/>
          </w:rPr>
          <w:t>S05</w:t>
        </w:r>
      </w:hyperlink>
      <w:r>
        <w:rPr/>
        <w:t xml:space="preserve"> / </w:t>
      </w:r>
      <w:hyperlink w:anchor="S28">
        <w:r>
          <w:rPr>
            <w:rStyle w:val="Hyperlink"/>
          </w:rPr>
          <w:t>S28</w:t>
        </w:r>
      </w:hyperlink>
      <w:r>
        <w:rPr/>
        <w:t xml:space="preserve">  |  new-v1.1</w:t>
      </w:r>
    </w:p>
    <w:p>
      <w:pPr>
        <w:pStyle w:val="Requirement"/>
        <w:keepNext w:val="true"/>
        <w:rPr/>
      </w:pPr>
      <w:bookmarkStart w:id="321" w:name="req_OPS_002"/>
      <w:bookmarkEnd w:id="321"/>
      <w:r>
        <w:rPr>
          <w:rStyle w:val="ReqID"/>
        </w:rPr>
        <w:t xml:space="preserve">OPS-002  </w:t>
      </w:r>
      <w:r>
        <w:rPr/>
        <w:t>Production handover SHALL include owner/escalation, dependency, SLO/recovery, capacity, monitoring, runbook, support/version and evidence records; privileged access SHALL be reviewed against the actual authority model.</w:t>
      </w:r>
    </w:p>
    <w:p>
      <w:pPr>
        <w:pStyle w:val="ReqMeta"/>
        <w:rPr/>
      </w:pPr>
      <w:r>
        <w:rPr/>
        <w:t xml:space="preserve">Service management  |  Verify: </w:t>
      </w:r>
      <w:hyperlink w:anchor="test_CT_019">
        <w:r>
          <w:rPr>
            <w:rStyle w:val="Hyperlink"/>
          </w:rPr>
          <w:t>CT-019</w:t>
        </w:r>
      </w:hyperlink>
      <w:r>
        <w:rPr/>
        <w:t xml:space="preserve">, </w:t>
      </w:r>
      <w:hyperlink w:anchor="test_CT_062">
        <w:r>
          <w:rPr>
            <w:rStyle w:val="Hyperlink"/>
          </w:rPr>
          <w:t>CT-062</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Heading2"/>
        <w:numPr>
          <w:ilvl w:val="0"/>
          <w:numId w:val="7"/>
        </w:numPr>
        <w:rPr/>
      </w:pPr>
      <w:bookmarkStart w:id="322" w:name="__RefHeading___Toc13415_1645000677"/>
      <w:bookmarkStart w:id="323" w:name="sec_59"/>
      <w:bookmarkEnd w:id="322"/>
      <w:r>
        <w:rPr/>
        <w:t>Change, exceptions and risk decisions</w:t>
      </w:r>
      <w:bookmarkEnd w:id="323"/>
    </w:p>
    <w:p>
      <w:pPr>
        <w:pStyle w:val="BodyText"/>
        <w:rPr/>
      </w:pPr>
      <w:r>
        <w:rPr/>
        <w:t>Classify changes by their effect, not by their Terraform file location. Workload scale within an approved envelope can be pre-authorized; inter-zone policy, public exposure, privileged roles, keys, routing authority, assurance or data location requires the corresponding elevated authority. Every production change binds current intent and approval to a specific immutable plan and target generation.</w:t>
      </w:r>
    </w:p>
    <w:p>
      <w:pPr>
        <w:pStyle w:val="BodyText"/>
        <w:rPr/>
      </w:pPr>
      <w:r>
        <w:rPr/>
        <w:t>A SecurityException includes requirement IDs, exact scope, accountable risk owner, justification, compensating controls, approving authority, effective date, expiry/review, constraints and closure evidence. An exception does not grant rights to waive laws, external policy or an authorization condition beyond the approver’s remit. An architecture cannot silently “exception” away mandatory isolation and still claim the original assurance profile; change the offered scope or obtain a properly authorized alternative.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374"/>
        <w:gridCol w:w="7201"/>
      </w:tblGrid>
      <w:tr>
        <w:trPr>
          <w:tblHeader w:val="true"/>
          <w:cantSplit w:val="true"/>
        </w:trPr>
        <w:tc>
          <w:tcPr>
            <w:tcW w:w="237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State/event</w:t>
            </w:r>
          </w:p>
        </w:tc>
        <w:tc>
          <w:tcPr>
            <w:tcW w:w="720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Controller behavior</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Proposed or rejected exception</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 enforcement relaxation; record decision and rationale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Approved and effective</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Apply only within its exact requirement/resource/time scope; show residual risk in evidence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Approaching expiry</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Notify owner/authority; require renewal evidence or planned remediation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Expired or revoked</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Mark affected conformance/readiness and block new reliance; execute pre-approved remediation/continuity action, not blind destruction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Closed</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Verify compensating/temporary objects removed or incorporated into an approved baseline; retain history</w:t>
            </w:r>
          </w:p>
        </w:tc>
      </w:tr>
    </w:tbl>
    <w:p>
      <w:pPr>
        <w:pStyle w:val="BodyText"/>
        <w:rPr/>
      </w:pPr>
      <w:r>
        <w:rPr/>
        <w:t>Emergency change and incident override are related but distinct. An urgent containment block can be authorized before the ordinary pipeline completes; it still needs actor, scope, time, incident reference and retrospective reconciliation. An exception permitting a risky path requires its own risk authority. A generic “emergency” label is not an unrestricted allow rule.</w:t>
      </w:r>
    </w:p>
    <w:p>
      <w:pPr>
        <w:pStyle w:val="Requirement"/>
        <w:keepNext w:val="true"/>
        <w:rPr/>
      </w:pPr>
      <w:bookmarkStart w:id="324" w:name="req_EXC_001"/>
      <w:bookmarkEnd w:id="324"/>
      <w:r>
        <w:rPr>
          <w:rStyle w:val="ReqID"/>
        </w:rPr>
        <w:t xml:space="preserve">EXC-001  </w:t>
      </w:r>
      <w:r>
        <w:rPr/>
        <w:t>Every exception SHALL have an accountable risk owner and expiry or review date.</w:t>
      </w:r>
    </w:p>
    <w:p>
      <w:pPr>
        <w:pStyle w:val="ReqMeta"/>
        <w:rPr/>
      </w:pPr>
      <w:r>
        <w:rPr/>
        <w:t xml:space="preserve">Risk owner  |  Verify: </w:t>
      </w:r>
      <w:hyperlink w:anchor="test_CT_058">
        <w:r>
          <w:rPr>
            <w:rStyle w:val="Hyperlink"/>
          </w:rPr>
          <w:t>CT-058</w:t>
        </w:r>
      </w:hyperlink>
      <w:r>
        <w:rPr/>
        <w:t xml:space="preserve">, </w:t>
      </w:r>
      <w:hyperlink w:anchor="test_CT_062">
        <w:r>
          <w:rPr>
            <w:rStyle w:val="Hyperlink"/>
          </w:rPr>
          <w:t>CT-062</w:t>
        </w:r>
      </w:hyperlink>
      <w:r>
        <w:rPr/>
        <w:t xml:space="preserve">  |  Basis: </w:t>
      </w:r>
      <w:hyperlink w:anchor="S00">
        <w:r>
          <w:rPr>
            <w:rStyle w:val="Hyperlink"/>
          </w:rPr>
          <w:t>S00</w:t>
        </w:r>
      </w:hyperlink>
      <w:r>
        <w:rPr/>
        <w:t xml:space="preserve">  |  retained-v1.0</w:t>
      </w:r>
    </w:p>
    <w:p>
      <w:pPr>
        <w:pStyle w:val="Requirement"/>
        <w:keepNext w:val="true"/>
        <w:rPr/>
      </w:pPr>
      <w:bookmarkStart w:id="325" w:name="req_EXC_002"/>
      <w:bookmarkEnd w:id="325"/>
      <w:r>
        <w:rPr>
          <w:rStyle w:val="ReqID"/>
        </w:rPr>
        <w:t xml:space="preserve">EXC-002  </w:t>
      </w:r>
      <w:r>
        <w:rPr/>
        <w:t>The control plane SHALL surface expired exceptions as non-compliant state rather than allowing them to become permanent undocumented architecture.</w:t>
      </w:r>
    </w:p>
    <w:p>
      <w:pPr>
        <w:pStyle w:val="ReqMeta"/>
        <w:rPr/>
      </w:pPr>
      <w:r>
        <w:rPr/>
        <w:t xml:space="preserve">Risk owner  |  Verify: </w:t>
      </w:r>
      <w:hyperlink w:anchor="test_CT_058">
        <w:r>
          <w:rPr>
            <w:rStyle w:val="Hyperlink"/>
          </w:rPr>
          <w:t>CT-058</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retained-v1.0</w:t>
      </w:r>
    </w:p>
    <w:p>
      <w:pPr>
        <w:pStyle w:val="Requirement"/>
        <w:keepNext w:val="true"/>
        <w:rPr/>
      </w:pPr>
      <w:bookmarkStart w:id="326" w:name="req_EXC_003"/>
      <w:bookmarkEnd w:id="326"/>
      <w:r>
        <w:rPr>
          <w:rStyle w:val="ReqID"/>
        </w:rPr>
        <w:t xml:space="preserve">EXC-003  </w:t>
      </w:r>
      <w:r>
        <w:rPr/>
        <w:t>Exceptions SHALL bind requirement IDs, precise scope, effective/expiry times, compensating controls and authorized risk approval; expiry handling SHALL preserve evidence and follow a pre-approved secure continuity/remediation decision.</w:t>
      </w:r>
    </w:p>
    <w:p>
      <w:pPr>
        <w:pStyle w:val="ReqMeta"/>
        <w:rPr/>
      </w:pPr>
      <w:r>
        <w:rPr/>
        <w:t xml:space="preserve">Risk owner  |  Verify: </w:t>
      </w:r>
      <w:hyperlink w:anchor="test_CT_017">
        <w:r>
          <w:rPr>
            <w:rStyle w:val="Hyperlink"/>
          </w:rPr>
          <w:t>CT-017</w:t>
        </w:r>
      </w:hyperlink>
      <w:r>
        <w:rPr/>
        <w:t xml:space="preserve">, </w:t>
      </w:r>
      <w:hyperlink w:anchor="test_CT_058">
        <w:r>
          <w:rPr>
            <w:rStyle w:val="Hyperlink"/>
          </w:rPr>
          <w:t>CT-058</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Heading2"/>
        <w:numPr>
          <w:ilvl w:val="0"/>
          <w:numId w:val="7"/>
        </w:numPr>
        <w:rPr/>
      </w:pPr>
      <w:bookmarkStart w:id="327" w:name="__RefHeading___Toc13417_1645000677"/>
      <w:bookmarkStart w:id="328" w:name="sec_60"/>
      <w:bookmarkEnd w:id="327"/>
      <w:r>
        <w:rPr/>
        <w:t>Architecture review and onboarding gates</w:t>
      </w:r>
      <w:bookmarkEnd w:id="328"/>
    </w:p>
    <w:p>
      <w:pPr>
        <w:pStyle w:val="BodyText"/>
        <w:rPr/>
      </w:pPr>
      <w:r>
        <w:rPr/>
        <w:t>The following review is a release checklist, not a substitute for the detailed requirement catalogue. Each answer links to a named object, owner, test or evidence artifact. “Not applicable” includes rationale and approving authority. An implementation that cannot supply an item remains Candidate or blocked for that offered service class.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232"/>
        <w:gridCol w:w="7343"/>
      </w:tblGrid>
      <w:tr>
        <w:trPr>
          <w:tblHeader w:val="true"/>
          <w:cantSplit w:val="true"/>
        </w:trPr>
        <w:tc>
          <w:tcPr>
            <w:tcW w:w="223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Gate</w:t>
            </w:r>
          </w:p>
        </w:tc>
        <w:tc>
          <w:tcPr>
            <w:tcW w:w="734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evidence</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Ownership and scope</w:t>
            </w:r>
          </w:p>
        </w:tc>
        <w:tc>
          <w:tcPr>
            <w:tcW w:w="734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Tenant/service/data/security owners, supported category, application/provider responsibility split and lifecycle</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Intent and model</w:t>
            </w:r>
          </w:p>
        </w:tc>
        <w:tc>
          <w:tcPr>
            <w:tcW w:w="734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Validated WSD, logical domains/instances, network ownership, flow/service/exposure references and no vendor IDs in consumer intent</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 and placement</w:t>
            </w:r>
          </w:p>
        </w:tc>
        <w:tc>
          <w:tcPr>
            <w:tcW w:w="734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Separate C/I/A categorization, approved profiles, co-residency/data-location constraints, selected controls and current authorization conditions</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Network and management</w:t>
            </w:r>
          </w:p>
        </w:tc>
        <w:tc>
          <w:tcPr>
            <w:tcW w:w="734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Valid zone adjacency/ZIPs, management/OOB separation, route authority, dual-stack posture and edge attachments</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Compute, data and identity</w:t>
            </w:r>
          </w:p>
        </w:tc>
        <w:tc>
          <w:tcPr>
            <w:tcW w:w="734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Qualified host/image/storage/crypto/key/backup identity controls and copy lineage</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Readiness and reliability</w:t>
            </w:r>
          </w:p>
        </w:tc>
        <w:tc>
          <w:tcPr>
            <w:tcW w:w="734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Defined service SLO/RTO/RPO, dependency/failure model, capacity reserves, operational ownership and tested restore</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Automation and assurance</w:t>
            </w:r>
          </w:p>
        </w:tc>
        <w:tc>
          <w:tcPr>
            <w:tcW w:w="734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Immutable approved plan, scoped state/credentials, conformance results, current evidence and active exceptions</w:t>
            </w:r>
          </w:p>
        </w:tc>
      </w:tr>
      <w:tr>
        <w:trPr>
          <w:cantSplit w:val="true"/>
        </w:trPr>
        <w:tc>
          <w:tcPr>
            <w:tcW w:w="223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Lifecycle and exit</w:t>
            </w:r>
          </w:p>
        </w:tc>
        <w:tc>
          <w:tcPr>
            <w:tcW w:w="734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Safe change/deletion, retention/sanitization, migration/exit method and inventory integration</w:t>
            </w:r>
          </w:p>
        </w:tc>
      </w:tr>
    </w:tbl>
    <w:p>
      <w:pPr>
        <w:pStyle w:val="BodyText"/>
        <w:rPr/>
      </w:pPr>
      <w:r>
        <w:rPr/>
        <w:t>The final readiness decision checks that the observed generation equals the requested generation, all mandatory conditions are satisfied, required test evidence is current, profiles/capabilities are Qualified and authorization conditions are met. The owner accepts the delivered service scope. A deployment can exist in Quarantined or Degraded state without being Service Ready; this permits safe troubleshooting without falsifying its status.</w:t>
      </w:r>
    </w:p>
    <w:p>
      <w:pPr>
        <w:pStyle w:val="Requirement"/>
        <w:keepNext w:val="true"/>
        <w:rPr/>
      </w:pPr>
      <w:bookmarkStart w:id="329" w:name="req_ONB_001"/>
      <w:bookmarkEnd w:id="329"/>
      <w:r>
        <w:rPr>
          <w:rStyle w:val="ReqID"/>
        </w:rPr>
        <w:t xml:space="preserve">ONB-001  </w:t>
      </w:r>
      <w:r>
        <w:rPr/>
        <w:t>Onboarding SHALL verify ownership, complete intent/profiles, current qualification/authorization conditions, operational readiness and lifecycle obligations before Service Ready is granted.</w:t>
      </w:r>
    </w:p>
    <w:p>
      <w:pPr>
        <w:pStyle w:val="ReqMeta"/>
        <w:rPr/>
      </w:pPr>
      <w:r>
        <w:rPr/>
        <w:t xml:space="preserve">Service management  |  Verify: </w:t>
      </w:r>
      <w:hyperlink w:anchor="test_CT_017">
        <w:r>
          <w:rPr>
            <w:rStyle w:val="Hyperlink"/>
          </w:rPr>
          <w:t>CT-017</w:t>
        </w:r>
      </w:hyperlink>
      <w:r>
        <w:rPr/>
        <w:t xml:space="preserve">, </w:t>
      </w:r>
      <w:hyperlink w:anchor="test_CT_018">
        <w:r>
          <w:rPr>
            <w:rStyle w:val="Hyperlink"/>
          </w:rPr>
          <w:t>CT-018</w:t>
        </w:r>
      </w:hyperlink>
      <w:r>
        <w:rPr/>
        <w:t xml:space="preserve">, </w:t>
      </w:r>
      <w:hyperlink w:anchor="test_CT_049">
        <w:r>
          <w:rPr>
            <w:rStyle w:val="Hyperlink"/>
          </w:rPr>
          <w:t>CT-049</w:t>
        </w:r>
      </w:hyperlink>
      <w:r>
        <w:rPr/>
        <w:t xml:space="preserve">, </w:t>
      </w:r>
      <w:hyperlink w:anchor="test_CT_062">
        <w:r>
          <w:rPr>
            <w:rStyle w:val="Hyperlink"/>
          </w:rPr>
          <w:t>CT-062</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Heading2"/>
        <w:numPr>
          <w:ilvl w:val="0"/>
          <w:numId w:val="7"/>
        </w:numPr>
        <w:rPr/>
      </w:pPr>
      <w:bookmarkStart w:id="330" w:name="__RefHeading___Toc13419_1645000677"/>
      <w:bookmarkStart w:id="331" w:name="sec_61"/>
      <w:bookmarkEnd w:id="330"/>
      <w:r>
        <w:rPr/>
        <w:t>Delivery roadmap and reference implementation</w:t>
      </w:r>
      <w:bookmarkEnd w:id="331"/>
    </w:p>
    <w:p>
      <w:pPr>
        <w:pStyle w:val="BodyText"/>
        <w:rPr/>
      </w:pPr>
      <w:r>
        <w:rPr/>
        <w:t>Build a small but end-to-end reference implementation before expanding platform count. The initial laboratory contains two tenants, each with OZ and RZ logical domains and site-local instances, zone-specific host pools, a qualified data ZIP service, isolated MZ/OOB, DNS/time/logging/identity/backup/key services, IPv4 and controlled IPv6 testing, and no direct public exposure. Add a PAZ/public-ingress fixture separately to test that service rather than forcing every workload to have a PAZ.</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447"/>
        <w:gridCol w:w="7128"/>
      </w:tblGrid>
      <w:tr>
        <w:trPr>
          <w:tblHeader w:val="true"/>
          <w:cantSplit w:val="true"/>
        </w:trPr>
        <w:tc>
          <w:tcPr>
            <w:tcW w:w="244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Stage</w:t>
            </w:r>
          </w:p>
        </w:tc>
        <w:tc>
          <w:tcPr>
            <w:tcW w:w="712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Deliverable and exit gate</w:t>
            </w:r>
          </w:p>
        </w:tc>
      </w:tr>
      <w:tr>
        <w:trPr>
          <w:cantSplit w:val="true"/>
        </w:trPr>
        <w:tc>
          <w:tcPr>
            <w:tcW w:w="244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 — Adopt the contract</w:t>
            </w:r>
          </w:p>
        </w:tc>
        <w:tc>
          <w:tcPr>
            <w:tcW w:w="712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Agree sources, categorization, profiles, authority, schema and requirements; document adoption is not deployment approval</w:t>
            </w:r>
          </w:p>
        </w:tc>
      </w:tr>
      <w:tr>
        <w:trPr>
          <w:cantSplit w:val="true"/>
        </w:trPr>
        <w:tc>
          <w:tcPr>
            <w:tcW w:w="244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 — Qualify foundations</w:t>
            </w:r>
          </w:p>
        </w:tc>
        <w:tc>
          <w:tcPr>
            <w:tcW w:w="712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Commission OOB/fabric/platform and protected bootstrap; prove routing/management isolation, versions and capacity</w:t>
            </w:r>
          </w:p>
        </w:tc>
      </w:tr>
      <w:tr>
        <w:trPr>
          <w:cantSplit w:val="true"/>
        </w:trPr>
        <w:tc>
          <w:tcPr>
            <w:tcW w:w="244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 — Qualify edges/services</w:t>
            </w:r>
          </w:p>
        </w:tc>
        <w:tc>
          <w:tcPr>
            <w:tcW w:w="712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Build two-endpoint ZIP relationships, bindings, key/identity/log/backup services and failure behavior</w:t>
            </w:r>
          </w:p>
        </w:tc>
      </w:tr>
      <w:tr>
        <w:trPr>
          <w:cantSplit w:val="true"/>
        </w:trPr>
        <w:tc>
          <w:tcPr>
            <w:tcW w:w="244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 — First complete platform</w:t>
            </w:r>
          </w:p>
        </w:tc>
        <w:tc>
          <w:tcPr>
            <w:tcW w:w="712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Implement native adapters and controller workflow; provision two tenants and demonstrate positive/negative, partial-failure and retirement tests</w:t>
            </w:r>
          </w:p>
        </w:tc>
      </w:tr>
      <w:tr>
        <w:trPr>
          <w:cantSplit w:val="true"/>
        </w:trPr>
        <w:tc>
          <w:tcPr>
            <w:tcW w:w="244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 — Operational assurance</w:t>
            </w:r>
          </w:p>
        </w:tc>
        <w:tc>
          <w:tcPr>
            <w:tcW w:w="712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Protect evidence/state/source, exercise restore and site/control recovery, establish drift/patch/incident processes</w:t>
            </w:r>
          </w:p>
        </w:tc>
      </w:tr>
      <w:tr>
        <w:trPr>
          <w:cantSplit w:val="true"/>
        </w:trPr>
        <w:tc>
          <w:tcPr>
            <w:tcW w:w="244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 — Second platform and exit</w:t>
            </w:r>
          </w:p>
        </w:tc>
        <w:tc>
          <w:tcPr>
            <w:tcW w:w="712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Realize the same portable request on a second qualified platform; test data/application exit and policy equivalence</w:t>
            </w:r>
          </w:p>
        </w:tc>
      </w:tr>
      <w:tr>
        <w:trPr>
          <w:cantSplit w:val="true"/>
        </w:trPr>
        <w:tc>
          <w:tcPr>
            <w:tcW w:w="244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7 — Production adoption</w:t>
            </w:r>
          </w:p>
        </w:tc>
        <w:tc>
          <w:tcPr>
            <w:tcW w:w="712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Independent review, actual service parameters/owners, residual-risk decisions and formal authorization before production readiness</w:t>
            </w:r>
          </w:p>
        </w:tc>
      </w:tr>
      <w:tr>
        <w:trPr>
          <w:cantSplit w:val="true"/>
        </w:trPr>
        <w:tc>
          <w:tcPr>
            <w:tcW w:w="244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8 — Expand and maintain</w:t>
            </w:r>
          </w:p>
        </w:tc>
        <w:tc>
          <w:tcPr>
            <w:tcW w:w="712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Add the third/future platform, measured scale and automated placement; requalify material changes and publish service limitations</w:t>
            </w:r>
          </w:p>
        </w:tc>
      </w:tr>
    </w:tbl>
    <w:p>
      <w:pPr>
        <w:pStyle w:val="BodyText"/>
        <w:rPr/>
      </w:pPr>
      <w:r>
        <w:rPr/>
        <w:t>For each platform, capture an inventory snapshot and exact qualification tuple, then repeat the same contract and core test set. Separately test any shared-attachment or distributed-ZIP design because those paths are the most likely place for “no switch churn” to conflict with isolation. The first success is a fully evidenced small system, not a maximal feature count or a green empty Terraform root.</w:t>
      </w:r>
    </w:p>
    <w:p>
      <w:pPr>
        <w:pStyle w:val="BodyText"/>
        <w:rPr/>
      </w:pPr>
      <w:r>
        <w:rPr/>
        <w:t>The companion validation suite verifies schemas, sample contracts, requirement/test/source completeness and internal document-package consistency. It does not contact real switches, hypervisors, clouds, KMS or backup services. Implementers execute Appendix D against their authorized target environments and retain the resulting evidence. None of those live test outcomes are pre-populated as passes in this release.</w:t>
      </w:r>
    </w:p>
    <w:p>
      <w:pPr>
        <w:pStyle w:val="Requirement"/>
        <w:keepNext w:val="true"/>
        <w:rPr/>
      </w:pPr>
      <w:bookmarkStart w:id="332" w:name="req_DEL_001"/>
      <w:bookmarkEnd w:id="332"/>
      <w:r>
        <w:rPr>
          <w:rStyle w:val="ReqID"/>
        </w:rPr>
        <w:t xml:space="preserve">DEL-001  </w:t>
      </w:r>
      <w:r>
        <w:rPr/>
        <w:t>The reference implementation SHALL demonstrate two-tenant isolation, controlled zone transitions, protected management, service bindings, recovery and retirement on a qualified first platform before scale expansion.</w:t>
      </w:r>
    </w:p>
    <w:p>
      <w:pPr>
        <w:pStyle w:val="ReqMeta"/>
        <w:rPr/>
      </w:pPr>
      <w:r>
        <w:rPr/>
        <w:t xml:space="preserve">Delivery owner  |  Verify: </w:t>
      </w:r>
      <w:hyperlink w:anchor="test_CT_001">
        <w:r>
          <w:rPr>
            <w:rStyle w:val="Hyperlink"/>
          </w:rPr>
          <w:t>CT-001</w:t>
        </w:r>
      </w:hyperlink>
      <w:r>
        <w:rPr/>
        <w:t xml:space="preserve">, </w:t>
      </w:r>
      <w:hyperlink w:anchor="test_CT_003">
        <w:r>
          <w:rPr>
            <w:rStyle w:val="Hyperlink"/>
          </w:rPr>
          <w:t>CT-003</w:t>
        </w:r>
      </w:hyperlink>
      <w:r>
        <w:rPr/>
        <w:t xml:space="preserve">, </w:t>
      </w:r>
      <w:hyperlink w:anchor="test_CT_004">
        <w:r>
          <w:rPr>
            <w:rStyle w:val="Hyperlink"/>
          </w:rPr>
          <w:t>CT-004</w:t>
        </w:r>
      </w:hyperlink>
      <w:r>
        <w:rPr/>
        <w:t xml:space="preserve">, </w:t>
      </w:r>
      <w:hyperlink w:anchor="test_CT_008">
        <w:r>
          <w:rPr>
            <w:rStyle w:val="Hyperlink"/>
          </w:rPr>
          <w:t>CT-008</w:t>
        </w:r>
      </w:hyperlink>
      <w:r>
        <w:rPr/>
        <w:t xml:space="preserve">, </w:t>
      </w:r>
      <w:hyperlink w:anchor="test_CT_013">
        <w:r>
          <w:rPr>
            <w:rStyle w:val="Hyperlink"/>
          </w:rPr>
          <w:t>CT-013</w:t>
        </w:r>
      </w:hyperlink>
      <w:r>
        <w:rPr/>
        <w:t xml:space="preserve">, </w:t>
      </w:r>
      <w:hyperlink w:anchor="test_CT_052">
        <w:r>
          <w:rPr>
            <w:rStyle w:val="Hyperlink"/>
          </w:rPr>
          <w:t>CT-052</w:t>
        </w:r>
      </w:hyperlink>
      <w:r>
        <w:rPr/>
        <w:t xml:space="preserve">, </w:t>
      </w:r>
      <w:hyperlink w:anchor="test_CT_069">
        <w:r>
          <w:rPr>
            <w:rStyle w:val="Hyperlink"/>
          </w:rPr>
          <w:t>CT-069</w:t>
        </w:r>
      </w:hyperlink>
      <w:r>
        <w:rPr/>
        <w:t xml:space="preserve">  |  Basis: </w:t>
      </w:r>
      <w:hyperlink w:anchor="S00">
        <w:r>
          <w:rPr>
            <w:rStyle w:val="Hyperlink"/>
          </w:rPr>
          <w:t>S00</w:t>
        </w:r>
      </w:hyperlink>
      <w:r>
        <w:rPr/>
        <w:t xml:space="preserve">  |  new-v1.1</w:t>
      </w:r>
    </w:p>
    <w:p>
      <w:pPr>
        <w:pStyle w:val="Requirement"/>
        <w:keepNext w:val="true"/>
        <w:rPr/>
      </w:pPr>
      <w:bookmarkStart w:id="333" w:name="req_DEL_002"/>
      <w:bookmarkEnd w:id="333"/>
      <w:r>
        <w:rPr>
          <w:rStyle w:val="ReqID"/>
        </w:rPr>
        <w:t xml:space="preserve">DEL-002  </w:t>
      </w:r>
      <w:r>
        <w:rPr/>
        <w:t>Multi-platform portability claims SHALL be supported by the same intent/core conformance outcomes on at least two qualified implementations and by a representative data/application exit rehearsal.</w:t>
      </w:r>
    </w:p>
    <w:p>
      <w:pPr>
        <w:pStyle w:val="ReqMeta"/>
        <w:rPr/>
      </w:pPr>
      <w:r>
        <w:rPr/>
        <w:t xml:space="preserve">Delivery owner  |  Verify: </w:t>
      </w:r>
      <w:hyperlink w:anchor="test_CT_016">
        <w:r>
          <w:rPr>
            <w:rStyle w:val="Hyperlink"/>
          </w:rPr>
          <w:t>CT-016</w:t>
        </w:r>
      </w:hyperlink>
      <w:r>
        <w:rPr/>
        <w:t xml:space="preserve">, </w:t>
      </w:r>
      <w:hyperlink w:anchor="test_CT_060">
        <w:r>
          <w:rPr>
            <w:rStyle w:val="Hyperlink"/>
          </w:rPr>
          <w:t>CT-060</w:t>
        </w:r>
      </w:hyperlink>
      <w:r>
        <w:rPr/>
        <w:t xml:space="preserve">, </w:t>
      </w:r>
      <w:hyperlink w:anchor="test_CT_073">
        <w:r>
          <w:rPr>
            <w:rStyle w:val="Hyperlink"/>
          </w:rPr>
          <w:t>CT-073</w:t>
        </w:r>
      </w:hyperlink>
      <w:r>
        <w:rPr/>
        <w:t xml:space="preserve">  |  Basis: </w:t>
      </w:r>
      <w:hyperlink w:anchor="S00">
        <w:r>
          <w:rPr>
            <w:rStyle w:val="Hyperlink"/>
          </w:rPr>
          <w:t>S00</w:t>
        </w:r>
      </w:hyperlink>
      <w:r>
        <w:rPr/>
        <w:t xml:space="preserve">  |  new-v1.1</w:t>
      </w:r>
    </w:p>
    <w:p>
      <w:pPr>
        <w:pStyle w:val="Heading2"/>
        <w:numPr>
          <w:ilvl w:val="0"/>
          <w:numId w:val="7"/>
        </w:numPr>
        <w:rPr/>
      </w:pPr>
      <w:bookmarkStart w:id="334" w:name="__RefHeading___Toc13421_1645000677"/>
      <w:bookmarkStart w:id="335" w:name="sec_62"/>
      <w:bookmarkEnd w:id="334"/>
      <w:r>
        <w:rPr/>
        <w:t>Architecture acceptance and document release</w:t>
      </w:r>
      <w:bookmarkEnd w:id="335"/>
    </w:p>
    <w:p>
      <w:pPr>
        <w:pStyle w:val="BodyText"/>
        <w:rPr/>
      </w:pPr>
      <w:r>
        <w:rPr/>
        <w:t>The original thirteen acceptance criteria are preserved as an acceptance register, with clarified scope for routine overlay lifecycle and separation of technical readiness from formal authorization. Additional criteria close the hosting, recovery, identity, supply-chain and traceability gaps. Acceptance of this document package means the specified architecture and supporting artefacts are internally complete for their declared reference scope; it does not mean the tests have run on a production system. [</w:t>
      </w:r>
      <w:hyperlink w:anchor="S00">
        <w:r>
          <w:rPr>
            <w:rStyle w:val="Hyperlink"/>
          </w:rPr>
          <w:t>S00</w:t>
        </w:r>
      </w:hyperlink>
      <w:r>
        <w:rPr/>
        <w:t>, section 52]</w:t>
      </w:r>
    </w:p>
    <w:p>
      <w:pPr>
        <w:pStyle w:val="BodyText"/>
        <w:rPr/>
      </w:pPr>
      <w:r>
        <w:rPr/>
        <w:t>A production acceptance decision requires applicable criteria to pass with current evidence, unsupported capabilities to be excluded, residual risks to be authorized and named operational owners to accept the service. Candidate profiles and not-run tests intentionally remain visible. Appendix J records the changes from v1.0 and the closure status of the audit findings; Appendix C and the machine catalogue are generated from the same normative records, preventing the previous partial-index defect.</w:t>
      </w:r>
    </w:p>
    <w:p>
      <w:pPr>
        <w:pStyle w:val="Requirement"/>
        <w:keepNext w:val="true"/>
        <w:rPr/>
      </w:pPr>
      <w:bookmarkStart w:id="336" w:name="req_ACPT_001"/>
      <w:bookmarkEnd w:id="336"/>
      <w:r>
        <w:rPr>
          <w:rStyle w:val="ReqID"/>
        </w:rPr>
        <w:t xml:space="preserve">ACPT-001  </w:t>
      </w:r>
      <w:r>
        <w:rPr/>
        <w:t>Production acceptance SHALL require current evidence for every applicable acceptance criterion, explicit exclusions and risk decisions, operational owner acceptance and a valid separately issued authorization decision.</w:t>
      </w:r>
    </w:p>
    <w:p>
      <w:pPr>
        <w:pStyle w:val="ReqMeta"/>
        <w:rPr/>
      </w:pPr>
      <w:r>
        <w:rPr/>
        <w:t xml:space="preserve">Security authority  |  Verify: </w:t>
      </w:r>
      <w:hyperlink w:anchor="test_CT_018">
        <w:r>
          <w:rPr>
            <w:rStyle w:val="Hyperlink"/>
          </w:rPr>
          <w:t>CT-018</w:t>
        </w:r>
      </w:hyperlink>
      <w:r>
        <w:rPr/>
        <w:t xml:space="preserve">, </w:t>
      </w:r>
      <w:hyperlink w:anchor="test_CT_049">
        <w:r>
          <w:rPr>
            <w:rStyle w:val="Hyperlink"/>
          </w:rPr>
          <w:t>CT-049</w:t>
        </w:r>
      </w:hyperlink>
      <w:r>
        <w:rPr/>
        <w:t xml:space="preserve">, </w:t>
      </w:r>
      <w:hyperlink w:anchor="test_CT_062">
        <w:r>
          <w:rPr>
            <w:rStyle w:val="Hyperlink"/>
          </w:rPr>
          <w:t>CT-062</w:t>
        </w:r>
      </w:hyperlink>
      <w:r>
        <w:rPr/>
        <w:t xml:space="preserve">, </w:t>
      </w:r>
      <w:hyperlink w:anchor="test_CT_069">
        <w:r>
          <w:rPr>
            <w:rStyle w:val="Hyperlink"/>
          </w:rPr>
          <w:t>CT-069</w:t>
        </w:r>
      </w:hyperlink>
      <w:r>
        <w:rPr/>
        <w:t xml:space="preserve">  |  Basis: </w:t>
      </w:r>
      <w:hyperlink w:anchor="S04">
        <w:r>
          <w:rPr>
            <w:rStyle w:val="Hyperlink"/>
          </w:rPr>
          <w:t>S04</w:t>
        </w:r>
      </w:hyperlink>
      <w:r>
        <w:rPr/>
        <w:t xml:space="preserve"> / </w:t>
      </w:r>
      <w:hyperlink w:anchor="S05">
        <w:r>
          <w:rPr>
            <w:rStyle w:val="Hyperlink"/>
          </w:rPr>
          <w:t>S05</w:t>
        </w:r>
      </w:hyperlink>
      <w:r>
        <w:rPr/>
        <w:t xml:space="preserve">  |  new-v1.1</w:t>
      </w:r>
    </w:p>
    <w:p>
      <w:pPr>
        <w:pStyle w:val="BodyText"/>
        <w:rPr/>
      </w:pPr>
      <w:r>
        <w:rPr/>
        <w:t xml:space="preserve">The evidence/authorization distinction is illustrated in Figure </w:t>
      </w:r>
      <w:r>
        <w:rPr/>
        <w:fldChar w:fldCharType="begin"/>
      </w:r>
      <w:r>
        <w:rPr/>
        <w:instrText xml:space="preserve"> REF fig_evidence \h </w:instrText>
      </w:r>
      <w:r>
        <w:rPr/>
        <w:fldChar w:fldCharType="separate"/>
      </w:r>
      <w:r>
        <w:rPr/>
        <w:t>5</w:t>
      </w:r>
      <w:r>
        <w:rPr/>
        <w:fldChar w:fldCharType="end"/>
      </w:r>
      <w:r>
        <w:rPr/>
        <w:t>. The complete implementation acceptance register follows; none is marked as passed by this document release.</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008"/>
        <w:gridCol w:w="8567"/>
      </w:tblGrid>
      <w:tr>
        <w:trPr>
          <w:tblHeader w:val="true"/>
          <w:cantSplit w:val="true"/>
        </w:trPr>
        <w:tc>
          <w:tcPr>
            <w:tcW w:w="100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Criterion</w:t>
            </w:r>
          </w:p>
        </w:tc>
        <w:tc>
          <w:tcPr>
            <w:tcW w:w="856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Acceptance outcome / verification</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AC-01</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Routine precommissioned overlay tenant/WSD lifecycle needs no leaf/spine change; physical/bare-metal growth is a separate authorized service class.</w:t>
              <w:br/>
              <w:t>Tests: CT-071 CT-072</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AC-02</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Cross-tenant isolation is demonstrated for every offered address family.</w:t>
              <w:br/>
              <w:t>Tests: CT-001 CT-002</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AC-03</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Inter-zone and independent-domain communication cannot bypass the declared qualified ZIP path.</w:t>
              <w:br/>
              <w:t>Tests: CT-003 CT-025 CT-080</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AC-04</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Workload paths do not grant access to provider management/OOB; administration follows the approved management path.</w:t>
              <w:br/>
              <w:t>Tests: CT-004 CT-026</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AC-05</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Shared services are consumed through explicit bindings, not broad shared-subnet or management access.</w:t>
              <w:br/>
              <w:t>Tests: CT-008 CT-051</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AC-06</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Consumers cannot create arbitrary routes, BGP peers or external attachments.</w:t>
              <w:br/>
              <w:t>Tests: CT-009 CT-017 CT-033</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AC-07</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Equivalent IPv4/IPv6 policy is demonstrated where dual stack is offered; IPv4-only service also governs alternate IPv6 paths.</w:t>
              <w:br/>
              <w:t>Tests: CT-002 CT-031</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AC-08</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Public ingress and Internet egress require approved service paths and attributable telemetry.</w:t>
              <w:br/>
              <w:t>Tests: CT-005 CT-006 CT-063 CT-064</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AC-09</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Unsupported or unqualified platform capabilities fail placement rather than silently downgrade the request.</w:t>
              <w:br/>
              <w:t>Tests: CT-018</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AC-10</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Every Ready deployment has current evidence bound to intent, profiles, source and realized state.</w:t>
              <w:br/>
              <w:t>Tests: CT-049 CT-069</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AC-11</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Security-significant drift and expired exceptions update technical conformance/readiness without rewriting formal authorization history.</w:t>
              <w:br/>
              <w:t>Tests: CT-014 CT-049 CT-058</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AC-12</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Offboarding removes obsolete live connectivity and authority while explicitly retaining required data/evidence obligations.</w:t>
              <w:br/>
              <w:t>Tests: CT-013 CT-053 CT-059</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AC-13</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At least two qualified platform profiles realize equivalent portable semantics and support a representative exit rehearsal.</w:t>
              <w:br/>
              <w:t>Tests: CT-016 CT-060 CT-073</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AC-14</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Compute/host co-residency and storage/copy isolation satisfy the actual assurance profile.</w:t>
              <w:br/>
              <w:t>Tests: CT-035 CT-036 CT-037 CT-078</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AC-15</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Identity, privileged access, cryptography, key recovery and credential revocation meet the declared profiles.</w:t>
              <w:br/>
              <w:t>Tests: CT-027 CT-028 CT-038 CT-043 CT-079</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AC-16</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Backup restore, site/control-plane recovery and failback meet measured service objectives without security bypass.</w:t>
              <w:br/>
              <w:t>Tests: CT-051 CT-052 CT-054 CT-055</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AC-17</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Partial apply, concurrent operations, state recovery and stale approvals fail safely and reconcile deterministically.</w:t>
              <w:br/>
              <w:t>Tests: CT-044 CT-045 CT-046 CT-048 CT-070</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AC-18</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Capacity, patch, image and supply-chain processes operate against the exact inventory and supported tuple.</w:t>
              <w:br/>
              <w:t>Tests: CT-040 CT-041 CT-042 CT-056 CT-074</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AC-19</w:t>
            </w:r>
          </w:p>
        </w:tc>
        <w:tc>
          <w:tcPr>
            <w:tcW w:w="856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Every active requirement has an owner, source basis and verification procedure; generated catalogues have no omissions.</w:t>
              <w:br/>
              <w:t>Tests: CT-075</w:t>
            </w:r>
          </w:p>
        </w:tc>
      </w:tr>
      <w:tr>
        <w:trPr>
          <w:cantSplit w:val="true"/>
        </w:trPr>
        <w:tc>
          <w:tcPr>
            <w:tcW w:w="100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AC-20</w:t>
            </w:r>
          </w:p>
        </w:tc>
        <w:tc>
          <w:tcPr>
            <w:tcW w:w="856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Operational owners, selected controls, actual profile parameters and separate formal authorization are in place before production.</w:t>
              <w:br/>
              <w:t>Tests: CT-018 CT-049 CT-062 CT-069</w:t>
            </w:r>
          </w:p>
        </w:tc>
      </w:tr>
    </w:tbl>
    <w:p>
      <w:pPr>
        <w:pStyle w:val="Heading1"/>
        <w:rPr/>
      </w:pPr>
      <w:r>
        <w:br w:type="page"/>
      </w:r>
      <w:bookmarkStart w:id="337" w:name="__RefHeading___Toc13423_1645000677"/>
      <w:bookmarkStart w:id="338" w:name="app_A"/>
      <w:bookmarkEnd w:id="337"/>
      <w:r>
        <w:rPr/>
        <w:t>Appendix A — Canonical object contract and API surface</w:t>
      </w:r>
      <w:bookmarkEnd w:id="338"/>
    </w:p>
    <w:p>
      <w:pPr>
        <w:pStyle w:val="BodyText"/>
        <w:rPr/>
      </w:pPr>
      <w:r>
        <w:rPr/>
        <w:t>The companion schemas are the exact machine-readable reference for field types, closed property sets, enums and conditional structural requirements. The following dictionary lists every object and every required spec field. References have kind, name and immutable semantic version. Objects use apiVersion: hosting.platform/v1.1, kind, metadata and spec; status is a separately authorized observed-state surface. [</w:t>
      </w:r>
      <w:hyperlink w:anchor="S30">
        <w:r>
          <w:rPr>
            <w:rStyle w:val="Hyperlink"/>
          </w:rPr>
          <w:t>S30</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3024"/>
        <w:gridCol w:w="6551"/>
      </w:tblGrid>
      <w:tr>
        <w:trPr>
          <w:tblHeader w:val="true"/>
          <w:cantSplit w:val="true"/>
        </w:trPr>
        <w:tc>
          <w:tcPr>
            <w:tcW w:w="302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Envelope field</w:t>
            </w:r>
          </w:p>
        </w:tc>
        <w:tc>
          <w:tcPr>
            <w:tcW w:w="655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Meaning / write authority</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apiVersion / kind</w:t>
            </w:r>
          </w:p>
        </w:tc>
        <w:tc>
          <w:tcPr>
            <w:tcW w:w="655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Versioned contract and object type; unknown versions/kinds are rejected</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metadata.name / namespace / ownerRef / version</w:t>
            </w:r>
          </w:p>
        </w:tc>
        <w:tc>
          <w:tcPr>
            <w:tcW w:w="655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Stable named identity, administrative scope, accountable owner and immutable definition version</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metadata.uid / generation / resourceVersion</w:t>
            </w:r>
          </w:p>
        </w:tc>
        <w:tc>
          <w:tcPr>
            <w:tcW w:w="655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Server-issued identity, desired-state generation and optimistic concurrency token</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metadata.createdAt / deletionTimestamp / finalizers</w:t>
            </w:r>
          </w:p>
        </w:tc>
        <w:tc>
          <w:tcPr>
            <w:tcW w:w="655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Server lifecycle and controlled deletion obligations; not consumer-granted authority</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spec</w:t>
            </w:r>
          </w:p>
        </w:tc>
        <w:tc>
          <w:tcPr>
            <w:tcW w:w="655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Desired fields defined by the exact object kind; unknown fields rejected</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status</w:t>
            </w:r>
          </w:p>
        </w:tc>
        <w:tc>
          <w:tcPr>
            <w:tcW w:w="655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Controller-issued phase, observedGeneration, conditions, operation and evidence references; not a consumer input</w:t>
            </w:r>
          </w:p>
        </w:tc>
      </w:tr>
      <w:tr>
        <w:trPr>
          <w:cantSplit w:val="true"/>
        </w:trPr>
        <w:tc>
          <w:tcPr>
            <w:tcW w:w="302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Typed reference</w:t>
            </w:r>
          </w:p>
        </w:tc>
        <w:tc>
          <w:tcPr>
            <w:tcW w:w="655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{kind, name, version}; authenticated authorization and tenant/provider scope are evaluated independently of existence</w:t>
            </w:r>
          </w:p>
        </w:tc>
      </w:tr>
    </w:tbl>
    <w:p>
      <w:pPr>
        <w:pStyle w:val="Heading2"/>
        <w:ind w:hanging="0" w:start="0"/>
        <w:rPr/>
      </w:pPr>
      <w:bookmarkStart w:id="339" w:name="__RefHeading___Toc13425_1645000677"/>
      <w:bookmarkEnd w:id="339"/>
      <w:r>
        <w:rPr/>
        <w:t>Object definitions</w:t>
      </w:r>
    </w:p>
    <w:p>
      <w:pPr>
        <w:pStyle w:val="Heading3"/>
        <w:spacing w:before="140" w:after="80"/>
        <w:rPr/>
      </w:pPr>
      <w:bookmarkStart w:id="340" w:name="kind_TenantNamespace"/>
      <w:r>
        <w:rPr/>
        <w:t>TenantNamespace</w:t>
      </w:r>
      <w:bookmarkEnd w:id="340"/>
    </w:p>
    <w:p>
      <w:pPr>
        <w:pStyle w:val="BodyText"/>
        <w:keepNext w:val="true"/>
        <w:rPr/>
      </w:pPr>
      <w:r>
        <w:rPr/>
        <w:t>Administrative scope. Quotas are illustrative entitlements, not measured available capacity.</w:t>
      </w:r>
    </w:p>
    <w:p>
      <w:pPr>
        <w:pStyle w:val="Small"/>
        <w:rPr/>
      </w:pPr>
      <w:r>
        <w:rPr/>
        <w:t>Required spec fields: identityGroups, entitlements, quotas, lifecycle, securityAuthorityRef.</w:t>
      </w:r>
    </w:p>
    <w:p>
      <w:pPr>
        <w:pStyle w:val="Small"/>
        <w:rPr/>
      </w:pPr>
      <w:r>
        <w:rPr/>
        <w:t>lifecycle = Requested | Active | Restricted | Suspended | Retiring | Retired.</w:t>
      </w:r>
    </w:p>
    <w:p>
      <w:pPr>
        <w:pStyle w:val="Heading3"/>
        <w:spacing w:before="140" w:after="80"/>
        <w:rPr/>
      </w:pPr>
      <w:bookmarkStart w:id="341" w:name="kind_SecurityProfile"/>
      <w:r>
        <w:rPr/>
        <w:t>SecurityProfile</w:t>
      </w:r>
      <w:bookmarkEnd w:id="341"/>
    </w:p>
    <w:p>
      <w:pPr>
        <w:pStyle w:val="BodyText"/>
        <w:keepNext w:val="true"/>
        <w:rPr/>
      </w:pPr>
      <w:r>
        <w:rPr/>
        <w:t>Impact levels and tailored control selection are separate from operational uptime. Empty control selection is legal only as a non-approved design example.</w:t>
      </w:r>
    </w:p>
    <w:p>
      <w:pPr>
        <w:pStyle w:val="Small"/>
        <w:rPr/>
      </w:pPr>
      <w:r>
        <w:rPr/>
        <w:t>Required spec fields: confidentiality, integrity, availabilityImpact, catalogueEdition, controlSelections, mandatoryServiceProfiles, cryptographicProfileRef, evidenceProfileRef, approvalState.</w:t>
      </w:r>
    </w:p>
    <w:p>
      <w:pPr>
        <w:pStyle w:val="Small"/>
        <w:rPr/>
      </w:pPr>
      <w:r>
        <w:rPr/>
        <w:t>confidentiality = Unclassified | ProtectedA | ProtectedB; integrity = Low | Medium | High; availabilityImpact = Low | Medium | High; approvalState = Proposed | Approved | Retired.</w:t>
      </w:r>
    </w:p>
    <w:p>
      <w:pPr>
        <w:pStyle w:val="Heading3"/>
        <w:spacing w:before="140" w:after="80"/>
        <w:rPr/>
      </w:pPr>
      <w:bookmarkStart w:id="342" w:name="kind_AssuranceProfile"/>
      <w:r>
        <w:rPr/>
        <w:t>AssuranceProfile</w:t>
      </w:r>
      <w:bookmarkEnd w:id="342"/>
    </w:p>
    <w:p>
      <w:pPr>
        <w:pStyle w:val="BodyText"/>
        <w:keepNext w:val="true"/>
        <w:rPr/>
      </w:pPr>
      <w:r>
        <w:rPr/>
        <w:t>Dedicated scope is a vector; numeric values are local proposed examples.</w:t>
      </w:r>
    </w:p>
    <w:p>
      <w:pPr>
        <w:pStyle w:val="Small"/>
        <w:rPr/>
      </w:pPr>
      <w:r>
        <w:rPr/>
        <w:t>Required spec fields: level, isolation, hostZoneSharing, requiredTests, maxEvidenceAgeHours, approvalState.</w:t>
      </w:r>
    </w:p>
    <w:p>
      <w:pPr>
        <w:pStyle w:val="Small"/>
        <w:rPr/>
      </w:pPr>
      <w:r>
        <w:rPr/>
        <w:t>level = Standard | Enhanced | Dedicated; hostZoneSharing = single-zone | approved-alternative; approvalState = Proposed | Approved | Retired.</w:t>
      </w:r>
    </w:p>
    <w:p>
      <w:pPr>
        <w:pStyle w:val="Heading3"/>
        <w:spacing w:before="140" w:after="80"/>
        <w:rPr/>
      </w:pPr>
      <w:bookmarkStart w:id="343" w:name="kind_AvailabilityProfile"/>
      <w:r>
        <w:rPr/>
        <w:t>AvailabilityProfile</w:t>
      </w:r>
      <w:bookmarkEnd w:id="343"/>
    </w:p>
    <w:p>
      <w:pPr>
        <w:pStyle w:val="BodyText"/>
        <w:keepNext w:val="true"/>
        <w:rPr/>
      </w:pPr>
      <w:r>
        <w:rPr/>
        <w:t>Measured service SLO, not the availability-impact classification and not a delivered guarantee.</w:t>
      </w:r>
    </w:p>
    <w:p>
      <w:pPr>
        <w:pStyle w:val="Small"/>
        <w:rPr/>
      </w:pPr>
      <w:r>
        <w:rPr/>
        <w:t>Required spec fields: sloPercent, measurementWindowDays, minimumFailureDomains, coveredFailureModel, maintenancePolicy, recoveryProfileRef, approvalState.</w:t>
      </w:r>
    </w:p>
    <w:p>
      <w:pPr>
        <w:pStyle w:val="Small"/>
        <w:rPr/>
      </w:pPr>
      <w:r>
        <w:rPr/>
        <w:t>approvalState = Proposed | Approved | Retired.</w:t>
      </w:r>
    </w:p>
    <w:p>
      <w:pPr>
        <w:pStyle w:val="Heading3"/>
        <w:spacing w:before="140" w:after="80"/>
        <w:rPr/>
      </w:pPr>
      <w:bookmarkStart w:id="344" w:name="kind_RecoveryProfile"/>
      <w:r>
        <w:rPr/>
        <w:t>RecoveryProfile</w:t>
      </w:r>
      <w:bookmarkEnd w:id="344"/>
    </w:p>
    <w:p>
      <w:pPr>
        <w:pStyle w:val="BodyText"/>
        <w:keepNext w:val="true"/>
        <w:rPr/>
      </w:pPr>
      <w:r>
        <w:rPr/>
        <w:t>RTO/RPO include the service-specific measurement boundary.</w:t>
      </w:r>
    </w:p>
    <w:p>
      <w:pPr>
        <w:pStyle w:val="Small"/>
        <w:rPr/>
      </w:pPr>
      <w:r>
        <w:rPr/>
        <w:t>Required spec fields: rtoMinutes, rpoMinutes, exerciseIntervalDays, recoverySitePolicy, fencingRequired, bootstrapRunbookRef, failbackRunbookRef.</w:t>
      </w:r>
    </w:p>
    <w:p>
      <w:pPr>
        <w:pStyle w:val="Small"/>
        <w:rPr/>
      </w:pPr>
      <w:r>
        <w:rPr/>
        <w:t>fencingRequired = true.</w:t>
      </w:r>
    </w:p>
    <w:p>
      <w:pPr>
        <w:pStyle w:val="Heading3"/>
        <w:spacing w:before="140" w:after="80"/>
        <w:rPr/>
      </w:pPr>
      <w:bookmarkStart w:id="345" w:name="kind_BackupPolicy"/>
      <w:r>
        <w:rPr/>
        <w:t>BackupPolicy</w:t>
      </w:r>
      <w:bookmarkEnd w:id="345"/>
    </w:p>
    <w:p>
      <w:pPr>
        <w:pStyle w:val="BodyText"/>
        <w:keepNext w:val="true"/>
        <w:rPr/>
      </w:pPr>
      <w:r>
        <w:rPr/>
        <w:t>Retention is a proposed example. Successful restore is a mandatory acceptance outcome.</w:t>
      </w:r>
    </w:p>
    <w:p>
      <w:pPr>
        <w:pStyle w:val="Small"/>
        <w:rPr/>
      </w:pPr>
      <w:r>
        <w:rPr/>
        <w:t>Required spec fields: retentionDays, immutableCopyRequired, isolatedAdministrationRequired, copyLocationPolicy, restoreTestIntervalDays, keyPolicyRef, holdOverridesDeletion.</w:t>
      </w:r>
    </w:p>
    <w:p>
      <w:pPr>
        <w:pStyle w:val="Small"/>
        <w:rPr/>
      </w:pPr>
      <w:r>
        <w:rPr/>
        <w:t>isolatedAdministrationRequired = true; holdOverridesDeletion = true.</w:t>
      </w:r>
    </w:p>
    <w:p>
      <w:pPr>
        <w:pStyle w:val="Heading3"/>
        <w:spacing w:before="140" w:after="80"/>
        <w:rPr/>
      </w:pPr>
      <w:bookmarkStart w:id="346" w:name="kind_CryptographicProfile"/>
      <w:r>
        <w:rPr/>
        <w:t>CryptographicProfile</w:t>
      </w:r>
      <w:bookmarkEnd w:id="346"/>
    </w:p>
    <w:p>
      <w:pPr>
        <w:pStyle w:val="BodyText"/>
        <w:keepNext w:val="true"/>
        <w:rPr/>
      </w:pPr>
      <w:r>
        <w:rPr/>
        <w:t>Algorithms are selected through an approved external policy; this sample does not invent a certification.</w:t>
      </w:r>
    </w:p>
    <w:p>
      <w:pPr>
        <w:pStyle w:val="Small"/>
        <w:rPr/>
      </w:pPr>
      <w:r>
        <w:rPr/>
        <w:t>Required spec fields: guidanceEdition, transportPolicyRef, atRestRequired, moduleValidationPolicy, algorithmInventoryRef, keyPolicyRef, plaintextFallbackAllowed.</w:t>
      </w:r>
    </w:p>
    <w:p>
      <w:pPr>
        <w:pStyle w:val="Small"/>
        <w:rPr/>
      </w:pPr>
      <w:r>
        <w:rPr/>
        <w:t>plaintextFallbackAllowed = false.</w:t>
      </w:r>
    </w:p>
    <w:p>
      <w:pPr>
        <w:pStyle w:val="Heading3"/>
        <w:spacing w:before="140" w:after="80"/>
        <w:rPr/>
      </w:pPr>
      <w:bookmarkStart w:id="347" w:name="kind_KeyPolicy"/>
      <w:r>
        <w:rPr/>
        <w:t>KeyPolicy</w:t>
      </w:r>
      <w:bookmarkEnd w:id="347"/>
    </w:p>
    <w:p>
      <w:pPr>
        <w:pStyle w:val="BodyText"/>
        <w:keepNext w:val="true"/>
        <w:rPr/>
      </w:pPr>
      <w:r>
        <w:rPr/>
        <w:t>Rotation intervals need local approval; destroy only keys with proven exclusive eligible scope.</w:t>
      </w:r>
    </w:p>
    <w:p>
      <w:pPr>
        <w:pStyle w:val="Small"/>
        <w:rPr/>
      </w:pPr>
      <w:r>
        <w:rPr/>
        <w:t>Required spec fields: ownerRef, custodyPolicy, kmsServiceProfileRef, rotationIntervalDays, recoveryPolicyRef, destructionApprovalRef, sharedKeyDestructionAllowed.</w:t>
      </w:r>
    </w:p>
    <w:p>
      <w:pPr>
        <w:pStyle w:val="Small"/>
        <w:rPr/>
      </w:pPr>
      <w:r>
        <w:rPr/>
        <w:t>sharedKeyDestructionAllowed = false.</w:t>
      </w:r>
    </w:p>
    <w:p>
      <w:pPr>
        <w:pStyle w:val="Heading3"/>
        <w:spacing w:before="140" w:after="80"/>
        <w:rPr/>
      </w:pPr>
      <w:bookmarkStart w:id="348" w:name="kind_ComputeProfile"/>
      <w:r>
        <w:rPr/>
        <w:t>ComputeProfile</w:t>
      </w:r>
      <w:bookmarkEnd w:id="348"/>
    </w:p>
    <w:p>
      <w:pPr>
        <w:pStyle w:val="BodyText"/>
        <w:keepNext w:val="true"/>
        <w:rPr/>
      </w:pPr>
      <w:r>
        <w:rPr/>
        <w:t>Compute requirements are independent of vendor VM identifiers.</w:t>
      </w:r>
    </w:p>
    <w:p>
      <w:pPr>
        <w:pStyle w:val="Small"/>
        <w:rPr/>
      </w:pPr>
      <w:r>
        <w:rPr/>
        <w:t>Required spec fields: cpuArchitecture, minimumMemoryGiB, minimumVcpus, hostZoneSharing, secureBootPolicy, overcommitPolicy, imageProfileRef, antiAffinityRequired.</w:t>
      </w:r>
    </w:p>
    <w:p>
      <w:pPr>
        <w:pStyle w:val="Small"/>
        <w:rPr/>
      </w:pPr>
      <w:r>
        <w:rPr/>
        <w:t>cpuArchitecture = x86_64 | aarch64; hostZoneSharing = single-zone | approved-alternative.</w:t>
      </w:r>
    </w:p>
    <w:p>
      <w:pPr>
        <w:pStyle w:val="Heading3"/>
        <w:spacing w:before="140" w:after="80"/>
        <w:rPr/>
      </w:pPr>
      <w:bookmarkStart w:id="349" w:name="kind_StorageProfile"/>
      <w:r>
        <w:rPr/>
        <w:t>StorageProfile</w:t>
      </w:r>
      <w:bookmarkEnd w:id="349"/>
    </w:p>
    <w:p>
      <w:pPr>
        <w:pStyle w:val="BodyText"/>
        <w:keepNext w:val="true"/>
        <w:rPr/>
      </w:pPr>
      <w:r>
        <w:rPr/>
        <w:t>Block, file and object profiles cannot be treated as interchangeable just because all store bytes.</w:t>
      </w:r>
    </w:p>
    <w:p>
      <w:pPr>
        <w:pStyle w:val="Small"/>
        <w:rPr/>
      </w:pPr>
      <w:r>
        <w:rPr/>
        <w:t>Required spec fields: interface, minimumCapacityGiB, performanceClass, isolationPolicy, cryptographicProfileRef, backupPolicyRef, copyLineageRequired, exportFormatPolicy.</w:t>
      </w:r>
    </w:p>
    <w:p>
      <w:pPr>
        <w:pStyle w:val="Small"/>
        <w:rPr/>
      </w:pPr>
      <w:r>
        <w:rPr/>
        <w:t>interface = block | file | object; copyLineageRequired = true.</w:t>
      </w:r>
    </w:p>
    <w:p>
      <w:pPr>
        <w:pStyle w:val="Heading3"/>
        <w:spacing w:before="140" w:after="80"/>
        <w:rPr/>
      </w:pPr>
      <w:bookmarkStart w:id="350" w:name="kind_ImageProfile"/>
      <w:r>
        <w:rPr/>
        <w:t>ImageProfile</w:t>
      </w:r>
      <w:bookmarkEnd w:id="350"/>
    </w:p>
    <w:p>
      <w:pPr>
        <w:pStyle w:val="BodyText"/>
        <w:keepNext w:val="true"/>
        <w:rPr/>
      </w:pPr>
      <w:r>
        <w:rPr/>
        <w:t>Illustrative unapproved image. Zero digest is a sentinel, not a production artifact digest.</w:t>
      </w:r>
    </w:p>
    <w:p>
      <w:pPr>
        <w:pStyle w:val="Small"/>
        <w:rPr/>
      </w:pPr>
      <w:r>
        <w:rPr/>
        <w:t>Required spec fields: artifactRef, artifactDigest, provenanceRef, baselineRef, vulnerabilityDispositionRef, retirementAt, approved.</w:t>
      </w:r>
    </w:p>
    <w:p>
      <w:pPr>
        <w:pStyle w:val="Heading3"/>
        <w:spacing w:before="140" w:after="80"/>
        <w:rPr/>
      </w:pPr>
      <w:bookmarkStart w:id="351" w:name="kind_PlacementProfile"/>
      <w:r>
        <w:rPr/>
        <w:t>PlacementProfile</w:t>
      </w:r>
      <w:bookmarkEnd w:id="351"/>
    </w:p>
    <w:p>
      <w:pPr>
        <w:pStyle w:val="BodyText"/>
        <w:keepNext w:val="true"/>
        <w:rPr/>
      </w:pPr>
      <w:r>
        <w:rPr/>
        <w:t>Location and support constraints are independent facts; residency does not establish sovereignty.</w:t>
      </w:r>
    </w:p>
    <w:p>
      <w:pPr>
        <w:pStyle w:val="Small"/>
        <w:rPr/>
      </w:pPr>
      <w:r>
        <w:rPr/>
        <w:t>Required spec fields: allowedSites, allowedPlatforms, dataLocations, controlLocations, supportAccessPolicy, keyCustodyPolicy, coResidencyPolicyRef, portabilityExtensions.</w:t>
      </w:r>
    </w:p>
    <w:p>
      <w:pPr>
        <w:pStyle w:val="Heading3"/>
        <w:spacing w:before="140" w:after="80"/>
        <w:rPr/>
      </w:pPr>
      <w:bookmarkStart w:id="352" w:name="kind_EvidenceProfile"/>
      <w:r>
        <w:rPr/>
        <w:t>EvidenceProfile</w:t>
      </w:r>
      <w:bookmarkEnd w:id="352"/>
    </w:p>
    <w:p>
      <w:pPr>
        <w:pStyle w:val="BodyText"/>
        <w:keepNext w:val="true"/>
        <w:rPr/>
      </w:pPr>
      <w:r>
        <w:rPr/>
        <w:t>Evidence freshness follows change and profile scope, not simply a single timer.</w:t>
      </w:r>
    </w:p>
    <w:p>
      <w:pPr>
        <w:pStyle w:val="Small"/>
        <w:rPr/>
      </w:pPr>
      <w:r>
        <w:rPr/>
        <w:t>Required spec fields: requiredTests, maxAgeHours, retentionDays, integrityPolicy, accessPolicy.</w:t>
      </w:r>
    </w:p>
    <w:p>
      <w:pPr>
        <w:pStyle w:val="Heading3"/>
        <w:spacing w:before="140" w:after="80"/>
        <w:rPr/>
      </w:pPr>
      <w:bookmarkStart w:id="353" w:name="kind_FlowProfile"/>
      <w:r>
        <w:rPr/>
        <w:t>FlowProfile</w:t>
      </w:r>
      <w:bookmarkEnd w:id="353"/>
    </w:p>
    <w:p>
      <w:pPr>
        <w:pStyle w:val="BodyText"/>
        <w:keepNext w:val="true"/>
        <w:rPr/>
      </w:pPr>
      <w:r>
        <w:rPr/>
        <w:t>Raw firewall rule order and provider identifiers stay out of the consumer contract.</w:t>
      </w:r>
    </w:p>
    <w:p>
      <w:pPr>
        <w:pStyle w:val="Small"/>
        <w:rPr/>
      </w:pPr>
      <w:r>
        <w:rPr/>
        <w:t>Required spec fields: protocol, ports, stateful, tlsRequired, mtlsRequired, l7PolicyRef, loggingProfileRef.</w:t>
      </w:r>
    </w:p>
    <w:p>
      <w:pPr>
        <w:pStyle w:val="Small"/>
        <w:rPr/>
      </w:pPr>
      <w:r>
        <w:rPr/>
        <w:t>protocol = tcp | udp | icmp | icmpv6 | other.</w:t>
      </w:r>
    </w:p>
    <w:p>
      <w:pPr>
        <w:pStyle w:val="Heading3"/>
        <w:spacing w:before="140" w:after="80"/>
        <w:rPr/>
      </w:pPr>
      <w:bookmarkStart w:id="354" w:name="kind_ServiceProfile"/>
      <w:r>
        <w:rPr/>
        <w:t>ServiceProfile</w:t>
      </w:r>
      <w:bookmarkEnd w:id="354"/>
    </w:p>
    <w:p>
      <w:pPr>
        <w:pStyle w:val="BodyText"/>
        <w:keepNext w:val="true"/>
        <w:rPr/>
      </w:pPr>
      <w:r>
        <w:rPr/>
        <w:t>Service endpoints are explicit; binding does not grant a shared subnet or management path.</w:t>
      </w:r>
    </w:p>
    <w:p>
      <w:pPr>
        <w:pStyle w:val="Small"/>
        <w:rPr/>
      </w:pPr>
      <w:r>
        <w:rPr/>
        <w:t>Required spec fields: serviceType, flowProfileRef, endpointNames, providerScope, availabilityProfileRef, managementEndpointExposed.</w:t>
      </w:r>
    </w:p>
    <w:p>
      <w:pPr>
        <w:pStyle w:val="Small"/>
        <w:rPr/>
      </w:pPr>
      <w:r>
        <w:rPr/>
        <w:t>serviceType = dns | time | identity | logging | backup | kms | pki | monitoring | other; managementEndpointExposed = false.</w:t>
      </w:r>
    </w:p>
    <w:p>
      <w:pPr>
        <w:pStyle w:val="Heading3"/>
        <w:spacing w:before="140" w:after="80"/>
        <w:rPr/>
      </w:pPr>
      <w:bookmarkStart w:id="355" w:name="kind_SecurityDomain"/>
      <w:r>
        <w:rPr/>
        <w:t>SecurityDomain</w:t>
      </w:r>
      <w:bookmarkEnd w:id="355"/>
    </w:p>
    <w:p>
      <w:pPr>
        <w:pStyle w:val="BodyText"/>
        <w:keepNext w:val="true"/>
        <w:rPr/>
      </w:pPr>
      <w:r>
        <w:rPr/>
        <w:t>Logical authority, independent of site-specific native routing contexts. MZ is provider-only.</w:t>
      </w:r>
    </w:p>
    <w:p>
      <w:pPr>
        <w:pStyle w:val="Small"/>
        <w:rPr/>
      </w:pPr>
      <w:r>
        <w:rPr/>
        <w:t>Required spec fields: zoneClass, authorityRef, tenantScope, assuranceProfileRef, sharingPolicy, addressPolicyRef.</w:t>
      </w:r>
    </w:p>
    <w:p>
      <w:pPr>
        <w:pStyle w:val="Small"/>
        <w:rPr/>
      </w:pPr>
      <w:r>
        <w:rPr/>
        <w:t>zoneClass = PAZ | OZ | RZ | HRZ | MZ; sharingPolicy = exclusive-wsd | same-authority-approved | provider-service.</w:t>
      </w:r>
    </w:p>
    <w:p>
      <w:pPr>
        <w:pStyle w:val="Heading3"/>
        <w:spacing w:before="140" w:after="80"/>
        <w:rPr/>
      </w:pPr>
      <w:bookmarkStart w:id="356" w:name="kind_SecurityDomainInstance"/>
      <w:r>
        <w:rPr/>
        <w:t>SecurityDomainInstance</w:t>
      </w:r>
      <w:bookmarkEnd w:id="356"/>
    </w:p>
    <w:p>
      <w:pPr>
        <w:pStyle w:val="BodyText"/>
        <w:keepNext w:val="true"/>
        <w:rPr/>
      </w:pPr>
      <w:r>
        <w:rPr/>
        <w:t>Provider-internal realization; a candidate platform cannot become Ready by passing schema validation.</w:t>
      </w:r>
    </w:p>
    <w:p>
      <w:pPr>
        <w:pStyle w:val="Small"/>
        <w:rPr/>
      </w:pPr>
      <w:r>
        <w:rPr/>
        <w:t>Required spec fields: domainRef, siteRef, platformProfileRef, addressScopeRef, edgeAttachmentRefs, failureDomainRef.</w:t>
      </w:r>
    </w:p>
    <w:p>
      <w:pPr>
        <w:pStyle w:val="Heading3"/>
        <w:spacing w:before="140" w:after="80"/>
        <w:rPr/>
      </w:pPr>
      <w:bookmarkStart w:id="357" w:name="kind_Network"/>
      <w:r>
        <w:rPr/>
        <w:t>Network</w:t>
      </w:r>
      <w:bookmarkEnd w:id="357"/>
    </w:p>
    <w:p>
      <w:pPr>
        <w:pStyle w:val="BodyText"/>
        <w:keepNext w:val="true"/>
        <w:rPr/>
      </w:pPr>
      <w:r>
        <w:rPr/>
        <w:t>Observed provider network; example prefixes are not allocations for a real environment.</w:t>
      </w:r>
    </w:p>
    <w:p>
      <w:pPr>
        <w:pStyle w:val="Small"/>
        <w:rPr/>
      </w:pPr>
      <w:r>
        <w:rPr/>
        <w:t>Required spec fields: wsdRef, instanceRef, ipv4Prefix, ipv6Prefix, allocationRef, dhcpProfileRef, dnsPolicyRef, endpointSecurityPolicyRef.</w:t>
      </w:r>
    </w:p>
    <w:p>
      <w:pPr>
        <w:pStyle w:val="Heading3"/>
        <w:spacing w:before="140" w:after="80"/>
        <w:rPr/>
      </w:pPr>
      <w:bookmarkStart w:id="358" w:name="kind_FlowIntent"/>
      <w:r>
        <w:rPr/>
        <w:t>FlowIntent</w:t>
      </w:r>
      <w:bookmarkEnd w:id="358"/>
    </w:p>
    <w:p>
      <w:pPr>
        <w:pStyle w:val="BodyText"/>
        <w:keepNext w:val="true"/>
        <w:rPr/>
      </w:pPr>
      <w:r>
        <w:rPr/>
        <w:t>Flow approval and path compilation are semantic operations, not inferred from this JSON alone.</w:t>
      </w:r>
    </w:p>
    <w:p>
      <w:pPr>
        <w:pStyle w:val="Small"/>
        <w:rPr/>
      </w:pPr>
      <w:r>
        <w:rPr/>
        <w:t>Required spec fields: wsdRef, source, destination, flowProfileRef, direction, justification, validFrom, expiresAt, loggingRequired.</w:t>
      </w:r>
    </w:p>
    <w:p>
      <w:pPr>
        <w:pStyle w:val="Small"/>
        <w:rPr/>
      </w:pPr>
      <w:r>
        <w:rPr/>
        <w:t>direction = source-to-destination | bidirectional; loggingRequired = true.</w:t>
      </w:r>
    </w:p>
    <w:p>
      <w:pPr>
        <w:pStyle w:val="Heading3"/>
        <w:spacing w:before="140" w:after="80"/>
        <w:rPr/>
      </w:pPr>
      <w:bookmarkStart w:id="359" w:name="kind_ServiceBinding"/>
      <w:r>
        <w:rPr/>
        <w:t>ServiceBinding</w:t>
      </w:r>
      <w:bookmarkEnd w:id="359"/>
    </w:p>
    <w:p>
      <w:pPr>
        <w:pStyle w:val="BodyText"/>
        <w:keepNext w:val="true"/>
        <w:rPr/>
      </w:pPr>
      <w:r>
        <w:rPr/>
        <w:t>Publishing a service and authorizing a consumer binding are separate decisions.</w:t>
      </w:r>
    </w:p>
    <w:p>
      <w:pPr>
        <w:pStyle w:val="Small"/>
        <w:rPr/>
      </w:pPr>
      <w:r>
        <w:rPr/>
        <w:t>Required spec fields: wsdRef, consumerDomainRef, serviceProfileRef, direction, loggingRequired.</w:t>
      </w:r>
    </w:p>
    <w:p>
      <w:pPr>
        <w:pStyle w:val="Small"/>
        <w:rPr/>
      </w:pPr>
      <w:r>
        <w:rPr/>
        <w:t>direction = consumer-to-service | service-to-consumer | bidirectional; loggingRequired = true.</w:t>
      </w:r>
    </w:p>
    <w:p>
      <w:pPr>
        <w:pStyle w:val="Heading3"/>
        <w:spacing w:before="140" w:after="80"/>
        <w:rPr/>
      </w:pPr>
      <w:bookmarkStart w:id="360" w:name="kind_ExternalDomain"/>
      <w:r>
        <w:rPr/>
        <w:t>ExternalDomain</w:t>
      </w:r>
      <w:bookmarkEnd w:id="360"/>
    </w:p>
    <w:p>
      <w:pPr>
        <w:pStyle w:val="BodyText"/>
        <w:keepNext w:val="true"/>
        <w:rPr/>
      </w:pPr>
      <w:r>
        <w:rPr/>
        <w:t>REZ is only a qualified extranet relationship; ENTERPRISE must not automatically receive REZ trust.</w:t>
      </w:r>
    </w:p>
    <w:p>
      <w:pPr>
        <w:pStyle w:val="Small"/>
        <w:rPr/>
      </w:pPr>
      <w:r>
        <w:rPr/>
        <w:t>Required spec fields: domainType, authorityRef, agreementRef, approvedPrefixPolicyRef, authenticationPolicyRef, validUntil.</w:t>
      </w:r>
    </w:p>
    <w:p>
      <w:pPr>
        <w:pStyle w:val="Small"/>
        <w:rPr/>
      </w:pPr>
      <w:r>
        <w:rPr/>
        <w:t>domainType = PUBLIC | REZ_PARTNER | ENTERPRISE | CLOUD_INTERCONNECT.</w:t>
      </w:r>
    </w:p>
    <w:p>
      <w:pPr>
        <w:pStyle w:val="Heading3"/>
        <w:spacing w:before="140" w:after="80"/>
        <w:rPr/>
      </w:pPr>
      <w:bookmarkStart w:id="361" w:name="kind_Exposure"/>
      <w:r>
        <w:rPr/>
        <w:t>Exposure</w:t>
      </w:r>
      <w:bookmarkEnd w:id="361"/>
    </w:p>
    <w:p>
      <w:pPr>
        <w:pStyle w:val="BodyText"/>
        <w:keepNext w:val="true"/>
        <w:rPr/>
      </w:pPr>
      <w:r>
        <w:rPr/>
        <w:t>Public ingress requires a PAZ boundary and a distinct authorized application flow downstream.</w:t>
      </w:r>
    </w:p>
    <w:p>
      <w:pPr>
        <w:pStyle w:val="Small"/>
        <w:rPr/>
      </w:pPr>
      <w:r>
        <w:rPr/>
        <w:t>Required spec fields: wsdRef, exposureType, externalDomainRef, serviceProfileRef, boundaryRef, certificatePolicyRef, dnsPolicyRef, expiresAt, approvalState.</w:t>
      </w:r>
    </w:p>
    <w:p>
      <w:pPr>
        <w:pStyle w:val="Small"/>
        <w:rPr/>
      </w:pPr>
      <w:r>
        <w:rPr/>
        <w:t>exposureType = publicIngress | internetEgress | partner | enterprise; approvalState = Proposed | Approved | Withdrawn.</w:t>
      </w:r>
    </w:p>
    <w:p>
      <w:pPr>
        <w:pStyle w:val="Heading3"/>
        <w:spacing w:before="140" w:after="80"/>
        <w:rPr/>
      </w:pPr>
      <w:bookmarkStart w:id="362" w:name="kind_EdgeAttachment"/>
      <w:r>
        <w:rPr/>
        <w:t>EdgeAttachment</w:t>
      </w:r>
      <w:bookmarkEnd w:id="362"/>
    </w:p>
    <w:p>
      <w:pPr>
        <w:pStyle w:val="BodyText"/>
        <w:keepNext w:val="true"/>
        <w:rPr/>
      </w:pPr>
      <w:r>
        <w:rPr/>
        <w:t>Provider internal contract; MTU and limits are examples to measure end to end.</w:t>
      </w:r>
    </w:p>
    <w:p>
      <w:pPr>
        <w:pStyle w:val="Small"/>
        <w:rPr/>
      </w:pPr>
      <w:r>
        <w:rPr/>
        <w:t>Required spec fields: instanceRef, boundaryRef, addressFamilies, transportClass, mtuBytes, routeAuthorityRef, prefixPolicyRef, maximumPrefixes, haProfileRef, sourceIdentityPolicy.</w:t>
      </w:r>
    </w:p>
    <w:p>
      <w:pPr>
        <w:pStyle w:val="Small"/>
        <w:rPr/>
      </w:pPr>
      <w:r>
        <w:rPr/>
        <w:t>transportClass = precommissioned-overlay | fabric-routed | dedicated.</w:t>
      </w:r>
    </w:p>
    <w:p>
      <w:pPr>
        <w:pStyle w:val="Heading3"/>
        <w:spacing w:before="140" w:after="80"/>
        <w:rPr/>
      </w:pPr>
      <w:bookmarkStart w:id="363" w:name="kind_ZIPRelationship"/>
      <w:r>
        <w:rPr/>
        <w:t>ZIPRelationship</w:t>
      </w:r>
      <w:bookmarkEnd w:id="363"/>
    </w:p>
    <w:p>
      <w:pPr>
        <w:pStyle w:val="BodyText"/>
        <w:keepNext w:val="true"/>
        <w:rPr/>
      </w:pPr>
      <w:r>
        <w:rPr/>
        <w:t>Exactly two endpoints; shared physical edge does not merge relationships. Endpoint kinds checked semantically.</w:t>
      </w:r>
    </w:p>
    <w:p>
      <w:pPr>
        <w:pStyle w:val="Small"/>
        <w:rPr/>
      </w:pPr>
      <w:r>
        <w:rPr/>
        <w:t>Required spec fields: leftEndpoint, rightEndpoint, pathClass, leftAuthorityRef, rightAuthorityRef, enforcementProfileRef, managementPathRef, defaultAction, heightenedPosturePolicyRef, evidenceProfileRef.</w:t>
      </w:r>
    </w:p>
    <w:p>
      <w:pPr>
        <w:pStyle w:val="Small"/>
        <w:rPr/>
      </w:pPr>
      <w:r>
        <w:rPr/>
        <w:t>pathClass = data | management; defaultAction = deny.</w:t>
      </w:r>
    </w:p>
    <w:p>
      <w:pPr>
        <w:pStyle w:val="Heading3"/>
        <w:spacing w:before="140" w:after="80"/>
        <w:rPr/>
      </w:pPr>
      <w:bookmarkStart w:id="364" w:name="kind_PlatformProfile"/>
      <w:r>
        <w:rPr/>
        <w:t>PlatformProfile</w:t>
      </w:r>
      <w:bookmarkEnd w:id="364"/>
    </w:p>
    <w:p>
      <w:pPr>
        <w:pStyle w:val="BodyText"/>
        <w:keepNext w:val="true"/>
        <w:rPr/>
      </w:pPr>
      <w:r>
        <w:rPr/>
        <w:t>Candidate values deliberately remain unknown. Qualified records require exact versions, evidence, approval, dates and non-empty measured limits.</w:t>
      </w:r>
    </w:p>
    <w:p>
      <w:pPr>
        <w:pStyle w:val="Small"/>
        <w:rPr/>
      </w:pPr>
      <w:r>
        <w:rPr/>
        <w:t>Required spec fields: product, productVersion, providerSource, providerVersion, apiVersion, networkBackend, capabilities, verifiedLimits, qualificationState, testBundleDigest, evidenceRef, qualifiedAt, revalidateBy, approvalRef, knownLimitations.</w:t>
      </w:r>
    </w:p>
    <w:p>
      <w:pPr>
        <w:pStyle w:val="Small"/>
        <w:rPr/>
      </w:pPr>
      <w:r>
        <w:rPr/>
        <w:t>qualificationState = Candidate | Qualified | Suspended | Retired.</w:t>
      </w:r>
    </w:p>
    <w:p>
      <w:pPr>
        <w:pStyle w:val="Heading3"/>
        <w:spacing w:before="140" w:after="80"/>
        <w:rPr/>
      </w:pPr>
      <w:bookmarkStart w:id="365" w:name="kind_WorkloadSecurityDomain"/>
      <w:r>
        <w:rPr/>
        <w:t>WorkloadSecurityDomain</w:t>
      </w:r>
      <w:bookmarkEnd w:id="365"/>
    </w:p>
    <w:p>
      <w:pPr>
        <w:pStyle w:val="BodyText"/>
        <w:keepNext w:val="true"/>
        <w:rPr/>
      </w:pPr>
      <w:r>
        <w:rPr/>
        <w:t>Consumer desired state. Provider placement, actual prefixes, native IDs and status are not request authority.</w:t>
      </w:r>
    </w:p>
    <w:p>
      <w:pPr>
        <w:pStyle w:val="Small"/>
        <w:rPr/>
      </w:pPr>
      <w:r>
        <w:rPr/>
        <w:t>Required spec fields: tenantRef, categorization, securityProfileRef, assuranceProfileRef, placementProfileRef, availabilityProfileRef, computeProfileRef, storageProfileRefs, backupPolicyRef, evidenceProfileRef, domains, networks, flowRefs, serviceBindingRefs, exposureRefs, lifecycleIntent.</w:t>
      </w:r>
    </w:p>
    <w:p>
      <w:pPr>
        <w:pStyle w:val="Small"/>
        <w:rPr/>
      </w:pPr>
      <w:r>
        <w:rPr/>
        <w:t>lifecycleIntent = Active | Retiring.</w:t>
      </w:r>
    </w:p>
    <w:p>
      <w:pPr>
        <w:pStyle w:val="Heading3"/>
        <w:spacing w:before="140" w:after="80"/>
        <w:rPr/>
      </w:pPr>
      <w:bookmarkStart w:id="366" w:name="kind_SecurityException"/>
      <w:r>
        <w:rPr/>
        <w:t>SecurityException</w:t>
      </w:r>
      <w:bookmarkEnd w:id="366"/>
    </w:p>
    <w:p>
      <w:pPr>
        <w:pStyle w:val="BodyText"/>
        <w:keepNext w:val="true"/>
        <w:rPr/>
      </w:pPr>
      <w:r>
        <w:rPr/>
        <w:t>Approved requires external risk authority; schema cannot prove the authority is genuine.</w:t>
      </w:r>
    </w:p>
    <w:p>
      <w:pPr>
        <w:pStyle w:val="Small"/>
        <w:rPr/>
      </w:pPr>
      <w:r>
        <w:rPr/>
        <w:t>Required spec fields: requirements, scopeRefs, riskOwnerRef, justification, compensatingControls, approvalRef, validFrom, expiresAt, decision, expiryAction.</w:t>
      </w:r>
    </w:p>
    <w:p>
      <w:pPr>
        <w:pStyle w:val="Small"/>
        <w:rPr/>
      </w:pPr>
      <w:r>
        <w:rPr/>
        <w:t>decision = Proposed | Approved | Rejected | Revoked | Closed.</w:t>
      </w:r>
    </w:p>
    <w:p>
      <w:pPr>
        <w:pStyle w:val="Heading3"/>
        <w:spacing w:before="140" w:after="80"/>
        <w:rPr/>
      </w:pPr>
      <w:bookmarkStart w:id="367" w:name="kind_IncidentOverride"/>
      <w:r>
        <w:rPr/>
        <w:t>IncidentOverride</w:t>
      </w:r>
      <w:bookmarkEnd w:id="367"/>
    </w:p>
    <w:p>
      <w:pPr>
        <w:pStyle w:val="BodyText"/>
        <w:keepNext w:val="true"/>
        <w:rPr/>
      </w:pPr>
      <w:r>
        <w:rPr/>
        <w:t>Containment takes precedence over ordinary reconciliation until authorized release.</w:t>
      </w:r>
    </w:p>
    <w:p>
      <w:pPr>
        <w:pStyle w:val="Small"/>
        <w:rPr/>
      </w:pPr>
      <w:r>
        <w:rPr/>
        <w:t>Required spec fields: incidentRef, scopeRefs, action, actorRef, authorityRef, effectiveAt, reviewBy, releaseAuthorityRef, state.</w:t>
      </w:r>
    </w:p>
    <w:p>
      <w:pPr>
        <w:pStyle w:val="Small"/>
        <w:rPr/>
      </w:pPr>
      <w:r>
        <w:rPr/>
        <w:t>action = quarantine | withdraw-exposure | suspend-egress | revoke-binding | heightened-posture | freeze-provisioning; state = Proposed | Active | Released.</w:t>
      </w:r>
    </w:p>
    <w:p>
      <w:pPr>
        <w:pStyle w:val="Heading3"/>
        <w:spacing w:before="140" w:after="80"/>
        <w:rPr/>
      </w:pPr>
      <w:bookmarkStart w:id="368" w:name="kind_AuthorizationDecision"/>
      <w:r>
        <w:rPr/>
        <w:t>AuthorizationDecision</w:t>
      </w:r>
      <w:bookmarkEnd w:id="368"/>
    </w:p>
    <w:p>
      <w:pPr>
        <w:pStyle w:val="BodyText"/>
        <w:keepNext w:val="true"/>
        <w:rPr/>
      </w:pPr>
      <w:r>
        <w:rPr/>
        <w:t>Sample explicitly contains no authorization decision.</w:t>
      </w:r>
    </w:p>
    <w:p>
      <w:pPr>
        <w:pStyle w:val="Small"/>
        <w:rPr/>
      </w:pPr>
      <w:r>
        <w:rPr/>
        <w:t>Required spec fields: scopeRefs, issuedBy, issuedAt, validUntil, decision, conditions, residualRiskRefs, signedArtifactRef.</w:t>
      </w:r>
    </w:p>
    <w:p>
      <w:pPr>
        <w:pStyle w:val="Small"/>
        <w:rPr/>
      </w:pPr>
      <w:r>
        <w:rPr/>
        <w:t>decision = NotIssued | Authorized | Denied | Revoked.</w:t>
      </w:r>
    </w:p>
    <w:p>
      <w:pPr>
        <w:pStyle w:val="Heading3"/>
        <w:spacing w:before="140" w:after="80"/>
        <w:rPr/>
      </w:pPr>
      <w:bookmarkStart w:id="369" w:name="kind_EvidenceRecord"/>
      <w:r>
        <w:rPr/>
        <w:t>EvidenceRecord</w:t>
      </w:r>
      <w:bookmarkEnd w:id="369"/>
    </w:p>
    <w:p>
      <w:pPr>
        <w:pStyle w:val="BodyText"/>
        <w:keepNext w:val="true"/>
        <w:rPr/>
      </w:pPr>
      <w:r>
        <w:rPr/>
        <w:t>Sentinel digests and not-run results are illustrations, not assessment artifacts.</w:t>
      </w:r>
    </w:p>
    <w:p>
      <w:pPr>
        <w:pStyle w:val="Small"/>
        <w:rPr/>
      </w:pPr>
      <w:r>
        <w:rPr/>
        <w:t>Required spec fields: wsdRef, targetGeneration, collectedAt, sourceDigest, policyDigest, profileDigests, testBundleDigest, realizationRefs, tests, technicalConformance, serviceReadiness, authorizationDecisionRef, exceptionRefs, artifactDigest, signatureRef.</w:t>
      </w:r>
    </w:p>
    <w:p>
      <w:pPr>
        <w:pStyle w:val="Small"/>
        <w:rPr/>
      </w:pPr>
      <w:r>
        <w:rPr/>
        <w:t>technicalConformance = unknown | compliant | noncompliant | exception; serviceReadiness = not-ready | ready | degraded | retired.</w:t>
      </w:r>
    </w:p>
    <w:p>
      <w:pPr>
        <w:pStyle w:val="Heading3"/>
        <w:spacing w:before="140" w:after="80"/>
        <w:rPr/>
      </w:pPr>
      <w:bookmarkStart w:id="370" w:name="kind_OperationRecord"/>
      <w:r>
        <w:rPr/>
        <w:t>OperationRecord</w:t>
      </w:r>
      <w:bookmarkEnd w:id="370"/>
    </w:p>
    <w:p>
      <w:pPr>
        <w:pStyle w:val="BodyText"/>
        <w:keepNext w:val="true"/>
        <w:rPr/>
      </w:pPr>
      <w:r>
        <w:rPr/>
        <w:t>An operation journal supports partial-apply recovery; it is not a transaction across all providers.</w:t>
      </w:r>
    </w:p>
    <w:p>
      <w:pPr>
        <w:pStyle w:val="Small"/>
        <w:rPr/>
      </w:pPr>
      <w:r>
        <w:rPr/>
        <w:t>Required spec fields: wsdRef, idempotencyKey, requestedGeneration, planDigest, authorityDomain, stage, completionTokens, compensationPolicyRef, lastError.</w:t>
      </w:r>
    </w:p>
    <w:p>
      <w:pPr>
        <w:pStyle w:val="Small"/>
        <w:rPr/>
      </w:pPr>
      <w:r>
        <w:rPr/>
        <w:t>authorityDomain = controller | foundation | management | edge | domain | workload | shared-service; stage = received | admitted | reserved | planned | applying | verifying | committed | compensating | failed.</w:t>
      </w:r>
    </w:p>
    <w:p>
      <w:pPr>
        <w:pStyle w:val="Heading3"/>
        <w:spacing w:before="140" w:after="80"/>
        <w:rPr/>
      </w:pPr>
      <w:bookmarkStart w:id="371" w:name="kind_MigrationConnection"/>
      <w:r>
        <w:rPr/>
        <w:t>MigrationConnection</w:t>
      </w:r>
      <w:bookmarkEnd w:id="371"/>
    </w:p>
    <w:p>
      <w:pPr>
        <w:pStyle w:val="BodyText"/>
        <w:keepNext w:val="true"/>
        <w:rPr/>
      </w:pPr>
      <w:r>
        <w:rPr/>
        <w:t>Bounded example; actual source/target zones and protocol require an approved migration design.</w:t>
      </w:r>
    </w:p>
    <w:p>
      <w:pPr>
        <w:pStyle w:val="Small"/>
        <w:rPr/>
      </w:pPr>
      <w:r>
        <w:rPr/>
        <w:t>Required spec fields: wsdRef, sourceDomainRef, targetDomainRef, flowProfileRef, bandwidthLimitMbps, startsAt, expiresAt, consistencyPolicyRef, cutoverRunbookRef, teardownRequired.</w:t>
      </w:r>
    </w:p>
    <w:p>
      <w:pPr>
        <w:pStyle w:val="Small"/>
        <w:rPr/>
      </w:pPr>
      <w:r>
        <w:rPr/>
        <w:t>teardownRequired = true.</w:t>
      </w:r>
    </w:p>
    <w:p>
      <w:pPr>
        <w:pStyle w:val="Heading3"/>
        <w:spacing w:before="140" w:after="80"/>
        <w:rPr/>
      </w:pPr>
      <w:bookmarkStart w:id="372" w:name="kind_RetainedDataRecord"/>
      <w:r>
        <w:rPr/>
        <w:t>RetainedDataRecord</w:t>
      </w:r>
      <w:bookmarkEnd w:id="372"/>
    </w:p>
    <w:p>
      <w:pPr>
        <w:pStyle w:val="BodyText"/>
        <w:keepNext w:val="true"/>
        <w:rPr/>
      </w:pPr>
      <w:r>
        <w:rPr/>
        <w:t>A live service can retire while separately controlled retained data obligations remain.</w:t>
      </w:r>
    </w:p>
    <w:p>
      <w:pPr>
        <w:pStyle w:val="Small"/>
        <w:rPr/>
      </w:pPr>
      <w:r>
        <w:rPr/>
        <w:t>Required spec fields: formerWsdRef, copyRefs, retentionPolicyRef, holdState, keyPolicyRef, accessAuthorityRef, reviewAt, disposalState.</w:t>
      </w:r>
    </w:p>
    <w:p>
      <w:pPr>
        <w:pStyle w:val="Small"/>
        <w:rPr/>
      </w:pPr>
      <w:r>
        <w:rPr/>
        <w:t>holdState = none | active | released; disposalState = retained | eligible | sanitized.</w:t>
      </w:r>
    </w:p>
    <w:p>
      <w:pPr>
        <w:pStyle w:val="Heading3"/>
        <w:rPr/>
      </w:pPr>
      <w:r>
        <w:rPr/>
        <w:t>Reference HTTP surface</w:t>
      </w:r>
    </w:p>
    <w:p>
      <w:pPr>
        <w:pStyle w:val="BodyText"/>
        <w:rPr/>
      </w:pPr>
      <w:r>
        <w:rPr/>
        <w:t>These routes define a proposed service API contract, not a deployed endpoint implementation. Authentication, tenant/provider authorization, rate limiting, request-size limits, idempotency and safe error handling apply to every method. Use 400 for invalid syntax, 403 for unauthorized scope, 409 for stale/conflicting state, 422 for unsatisfied semantic/capability requirements, 429 for rate limits and 503 for unavailable mandatory dependencies; do not leak secret or foreign-tenant object details in errors.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3887"/>
        <w:gridCol w:w="5688"/>
      </w:tblGrid>
      <w:tr>
        <w:trPr>
          <w:tblHeader w:val="true"/>
          <w:cantSplit w:val="true"/>
        </w:trPr>
        <w:tc>
          <w:tcPr>
            <w:tcW w:w="388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Method / route</w:t>
            </w:r>
          </w:p>
        </w:tc>
        <w:tc>
          <w:tcPr>
            <w:tcW w:w="568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Semantics</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POST /v1.1/tenants/{tenant}/wsds</w:t>
            </w:r>
          </w:p>
        </w:tc>
        <w:tc>
          <w:tcPr>
            <w:tcW w:w="5688"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Submit versioned desired state; authenticate tenant/service role; require idempotency key; return 202 + operation reference</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GET /v1.1/tenants/{tenant}/wsds/{name}</w:t>
            </w:r>
          </w:p>
        </w:tc>
        <w:tc>
          <w:tcPr>
            <w:tcW w:w="5688"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Return authorized desired state and redacted observed status; no cross-tenant enumeration</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PATCH /v1.1/tenants/{tenant}/wsds/{name}</w:t>
            </w:r>
          </w:p>
        </w:tc>
        <w:tc>
          <w:tcPr>
            <w:tcW w:w="5688"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Update desired fields with If-Match/resource version; re-admit security-significant change; server-owned fields denied</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DELETE /v1.1/tenants/{tenant}/wsds/{name}</w:t>
            </w:r>
          </w:p>
        </w:tc>
        <w:tc>
          <w:tcPr>
            <w:tcW w:w="5688"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Request retirement, not immediate destruction; return operation and remaining finalizers/retention obligations</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GET /v1.1/operations/{id}</w:t>
            </w:r>
          </w:p>
        </w:tc>
        <w:tc>
          <w:tcPr>
            <w:tcW w:w="5688"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Read only authorized operation journal status and safe error messages; never secrets/raw state</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GET /v1.1/capabilities</w:t>
            </w:r>
          </w:p>
        </w:tc>
        <w:tc>
          <w:tcPr>
            <w:tcW w:w="5688"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Return entitled service capabilities and limitations; Candidate is not production placement eligibility</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GET /v1.1/evidence/{id}</w:t>
            </w:r>
          </w:p>
        </w:tc>
        <w:tc>
          <w:tcPr>
            <w:tcW w:w="5688"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Read scoped manifest/artifacts through evidence authorization; log access</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POST /v1.1/admin/qualification-decisions</w:t>
            </w:r>
          </w:p>
        </w:tc>
        <w:tc>
          <w:tcPr>
            <w:tcW w:w="5688"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Separate provider/security authority publishes reviewed qualification; not consumer write access</w:t>
            </w:r>
          </w:p>
        </w:tc>
      </w:tr>
      <w:tr>
        <w:trPr>
          <w:cantSplit w:val="true"/>
        </w:trPr>
        <w:tc>
          <w:tcPr>
            <w:tcW w:w="3887"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POST /v1.1/admin/incident-overrides</w:t>
            </w:r>
          </w:p>
        </w:tc>
        <w:tc>
          <w:tcPr>
            <w:tcW w:w="5688"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Scoped authorized containment; independent release authority and reconciliation precedence</w:t>
            </w:r>
          </w:p>
        </w:tc>
      </w:tr>
    </w:tbl>
    <w:p>
      <w:pPr>
        <w:pStyle w:val="Heading1"/>
        <w:rPr/>
      </w:pPr>
      <w:r>
        <w:br w:type="page"/>
      </w:r>
      <w:bookmarkStart w:id="373" w:name="__RefHeading___Toc13427_1645000677"/>
      <w:bookmarkStart w:id="374" w:name="app_B"/>
      <w:bookmarkEnd w:id="373"/>
      <w:r>
        <w:rPr/>
        <w:t>Appendix B — Worked requests and Terraform execution boundary</w:t>
      </w:r>
      <w:bookmarkEnd w:id="374"/>
    </w:p>
    <w:p>
      <w:pPr>
        <w:pStyle w:val="Heading2"/>
        <w:ind w:hanging="0" w:start="0"/>
        <w:rPr/>
      </w:pPr>
      <w:bookmarkStart w:id="375" w:name="__RefHeading___Toc13429_1645000677"/>
      <w:bookmarkEnd w:id="375"/>
      <w:r>
        <w:rPr/>
        <w:t>Reference examples and migration</w:t>
      </w:r>
    </w:p>
    <w:p>
      <w:pPr>
        <w:pStyle w:val="BodyText"/>
        <w:rPr/>
      </w:pPr>
      <w:r>
        <w:rPr/>
        <w:t>This sample request is schema-validated and references the consistent example bundle in the companion package. It is not production-ready: its associated profiles are Proposed/Candidate, no authorization has been issued and no live evidence exists. The application has OZ and RZ intent, one declared database flow, a DNS binding and no public/Internet exposure. The entire bundle supplies the profile, domain, flow and binding definitions needed to interpret it.</w:t>
      </w:r>
    </w:p>
    <w:p>
      <w:pPr>
        <w:pStyle w:val="CodeBlock"/>
        <w:spacing w:lineRule="exact" w:line="210"/>
        <w:rPr/>
      </w:pPr>
      <w:r>
        <w:rPr/>
        <w:t>apiVersion: hosting.platform/v1.1</w:t>
        <w:br/>
        <w:t>kind: WorkloadSecurityDomain</w:t>
        <w:br/>
        <w:t>metadata:</w:t>
        <w:br/>
        <w:t xml:space="preserve">  name: application-prod</w:t>
        <w:br/>
        <w:t xml:space="preserve">  namespace: tenant-001</w:t>
        <w:br/>
        <w:t xml:space="preserve">  ownerRef: reference-owner-not-assigned</w:t>
        <w:br/>
        <w:t xml:space="preserve">  version: 1.0.0</w:t>
        <w:br/>
        <w:t>spec:</w:t>
        <w:br/>
        <w:t xml:space="preserve">  tenantRef:</w:t>
        <w:br/>
        <w:t xml:space="preserve">    kind: TenantNamespace</w:t>
        <w:br/>
        <w:t xml:space="preserve">    name: tenant-001</w:t>
        <w:br/>
        <w:t xml:space="preserve">    version: 1.0.0</w:t>
        <w:br/>
        <w:t xml:space="preserve">  categorization:</w:t>
        <w:br/>
        <w:t xml:space="preserve">    confidentiality: ProtectedB</w:t>
        <w:br/>
        <w:t xml:space="preserve">    integrity: Medium</w:t>
        <w:br/>
        <w:t xml:space="preserve">    availabilityImpact: Medium</w:t>
        <w:br/>
        <w:t xml:space="preserve">  securityProfileRef:</w:t>
        <w:br/>
        <w:t xml:space="preserve">    kind: SecurityProfile</w:t>
        <w:br/>
        <w:t xml:space="preserve">    name: security-reference</w:t>
        <w:br/>
        <w:t xml:space="preserve">    version: 1.0.0</w:t>
        <w:br/>
        <w:t xml:space="preserve">  assuranceProfileRef:</w:t>
        <w:br/>
        <w:t xml:space="preserve">    kind: AssuranceProfile</w:t>
        <w:br/>
        <w:t xml:space="preserve">    name: assurance-reference</w:t>
        <w:br/>
        <w:t xml:space="preserve">    version: 1.0.0</w:t>
        <w:br/>
        <w:t xml:space="preserve">  placementProfileRef:</w:t>
        <w:br/>
        <w:t xml:space="preserve">    kind: PlacementProfile</w:t>
        <w:br/>
        <w:t xml:space="preserve">    name: placement-reference</w:t>
        <w:br/>
        <w:t xml:space="preserve">    version: 1.0.0</w:t>
        <w:br/>
        <w:t xml:space="preserve">  availabilityProfileRef:</w:t>
        <w:br/>
        <w:t xml:space="preserve">    kind: AvailabilityProfile</w:t>
        <w:br/>
        <w:t xml:space="preserve">    name: availability-reference</w:t>
        <w:br/>
        <w:t xml:space="preserve">    version: 1.0.0</w:t>
        <w:br/>
        <w:t xml:space="preserve">  computeProfileRef:</w:t>
        <w:br/>
        <w:t xml:space="preserve">    kind: ComputeProfile</w:t>
        <w:br/>
        <w:t xml:space="preserve">    name: compute-reference</w:t>
        <w:br/>
        <w:t xml:space="preserve">    version: 1.0.0</w:t>
        <w:br/>
        <w:t xml:space="preserve">  storageProfileRefs:</w:t>
        <w:br/>
        <w:t xml:space="preserve">  - kind: StorageProfile</w:t>
        <w:br/>
        <w:t xml:space="preserve">    name: storage-reference</w:t>
        <w:br/>
        <w:t xml:space="preserve">    version: 1.0.0</w:t>
        <w:br/>
        <w:t xml:space="preserve">  backupPolicyRef:</w:t>
        <w:br/>
        <w:t xml:space="preserve">    kind: BackupPolicy</w:t>
        <w:br/>
        <w:t xml:space="preserve">    name: backup-reference</w:t>
        <w:br/>
        <w:t xml:space="preserve">    version: 1.0.0</w:t>
        <w:br/>
        <w:t xml:space="preserve">  evidenceProfileRef:</w:t>
        <w:br/>
        <w:t xml:space="preserve">    kind: EvidenceProfile</w:t>
        <w:br/>
        <w:t xml:space="preserve">    name: evidence-reference</w:t>
        <w:br/>
        <w:t xml:space="preserve">    version: 1.0.0</w:t>
        <w:br/>
        <w:t xml:space="preserve">  domains:</w:t>
        <w:br/>
        <w:t xml:space="preserve">  - name: operations</w:t>
        <w:br/>
        <w:t xml:space="preserve">    zoneClass: OZ</w:t>
        <w:br/>
        <w:t xml:space="preserve">    domainRef:</w:t>
        <w:br/>
        <w:t xml:space="preserve">      kind: SecurityDomain</w:t>
        <w:br/>
        <w:t xml:space="preserve">      name: operations-domain</w:t>
        <w:br/>
        <w:t xml:space="preserve">      version: 1.0.0</w:t>
        <w:br/>
        <w:t xml:space="preserve">  - name: restricted</w:t>
        <w:br/>
        <w:t xml:space="preserve">    zoneClass: RZ</w:t>
        <w:br/>
        <w:t xml:space="preserve">    domainRef:</w:t>
        <w:br/>
        <w:t xml:space="preserve">      kind: SecurityDomain</w:t>
        <w:br/>
        <w:t xml:space="preserve">      name: restricted-domain</w:t>
        <w:br/>
        <w:t xml:space="preserve">      version: 1.0.0</w:t>
        <w:br/>
        <w:t xml:space="preserve">  networks:</w:t>
        <w:br/>
        <w:t xml:space="preserve">  - name: frontend</w:t>
        <w:br/>
        <w:t xml:space="preserve">    domainName: operations</w:t>
        <w:br/>
        <w:t xml:space="preserve">    ipv4PrefixSize: 24</w:t>
        <w:br/>
        <w:t xml:space="preserve">    ipv6Mode: dual-stack</w:t>
        <w:br/>
        <w:t xml:space="preserve">  - name: database</w:t>
        <w:br/>
        <w:t xml:space="preserve">    domainName: restricted</w:t>
        <w:br/>
        <w:t xml:space="preserve">    ipv4PrefixSize: 24</w:t>
        <w:br/>
        <w:t xml:space="preserve">    ipv6Mode: dual-stack</w:t>
        <w:br/>
        <w:t xml:space="preserve">  flowRefs:</w:t>
        <w:br/>
        <w:t xml:space="preserve">  - kind: FlowIntent</w:t>
        <w:br/>
        <w:t xml:space="preserve">    name: flowintent-reference</w:t>
        <w:br/>
        <w:t xml:space="preserve">    version: 1.0.0</w:t>
        <w:br/>
        <w:t xml:space="preserve">  serviceBindingRefs:</w:t>
        <w:br/>
        <w:t xml:space="preserve">  - kind: ServiceBinding</w:t>
        <w:br/>
        <w:t xml:space="preserve">    name: servicebinding-reference</w:t>
        <w:br/>
        <w:t xml:space="preserve">    version: 1.0.0</w:t>
        <w:br/>
        <w:t xml:space="preserve">  exposureRefs: []</w:t>
        <w:br/>
        <w:t xml:space="preserve">  lifecycleIntent: Active</w:t>
        <w:br/>
      </w:r>
    </w:p>
    <w:p>
      <w:pPr>
        <w:pStyle w:val="Heading3"/>
        <w:rPr/>
      </w:pPr>
      <w:r>
        <w:rPr/>
        <w:t>Reading a FlowIntent</w:t>
      </w:r>
    </w:p>
    <w:p>
      <w:pPr>
        <w:pStyle w:val="CodeBlock"/>
        <w:spacing w:lineRule="exact" w:line="210"/>
        <w:rPr/>
      </w:pPr>
      <w:r>
        <w:rPr/>
        <w:t>kind: FlowIntent</w:t>
        <w:br/>
        <w:t>spec:</w:t>
        <w:br/>
        <w:t xml:space="preserve">  wsdRef:</w:t>
        <w:br/>
        <w:t xml:space="preserve">    kind: WorkloadSecurityDomain</w:t>
        <w:br/>
        <w:t xml:space="preserve">    name: application-prod</w:t>
        <w:br/>
        <w:t xml:space="preserve">    version: 1.0.0</w:t>
        <w:br/>
        <w:t xml:space="preserve">  source:</w:t>
        <w:br/>
        <w:t xml:space="preserve">    type: network</w:t>
        <w:br/>
        <w:t xml:space="preserve">    name: frontend</w:t>
        <w:br/>
        <w:t xml:space="preserve">  destination:</w:t>
        <w:br/>
        <w:t xml:space="preserve">    type: network</w:t>
        <w:br/>
        <w:t xml:space="preserve">    name: database</w:t>
        <w:br/>
        <w:t xml:space="preserve">  flowProfileRef:</w:t>
        <w:br/>
        <w:t xml:space="preserve">    kind: FlowProfile</w:t>
        <w:br/>
        <w:t xml:space="preserve">    name: flow-reference</w:t>
        <w:br/>
        <w:t xml:space="preserve">    version: 1.0.0</w:t>
        <w:br/>
        <w:t xml:space="preserve">  direction: source-to-destination</w:t>
        <w:br/>
        <w:t xml:space="preserve">  justification: Application tier accesses the approved database service</w:t>
        <w:br/>
        <w:t xml:space="preserve">  validFrom: '2026-09-16T00:00:00Z'</w:t>
        <w:br/>
        <w:t xml:space="preserve">  expiresAt: '2027-01-01T00:00:00Z'</w:t>
        <w:br/>
        <w:t xml:space="preserve">  loggingRequired: true</w:t>
        <w:br/>
      </w:r>
    </w:p>
    <w:p>
      <w:pPr>
        <w:pStyle w:val="BodyText"/>
        <w:rPr/>
      </w:pPr>
      <w:r>
        <w:rPr/>
        <w:t>The referenced FlowProfile specifies TCP/5432, stateful request/reply, required TLS and logging. Admission still resolves identities, checks both zone authorities, selects a qualified ZIP path and tests effective policy. A flow reference is not itself evidence that connectivity has been approved or configured.</w:t>
      </w:r>
    </w:p>
    <w:p>
      <w:pPr>
        <w:pStyle w:val="Heading3"/>
        <w:rPr/>
      </w:pPr>
      <w:r>
        <w:rPr/>
        <w:t>Terraform root configuration pattern</w:t>
      </w:r>
    </w:p>
    <w:p>
      <w:pPr>
        <w:pStyle w:val="BodyText"/>
        <w:rPr/>
      </w:pPr>
      <w:r>
        <w:rPr/>
        <w:t xml:space="preserve">The following is a syntactically concrete configuration pattern, not a deployable adapter or a certified stack. Provider version 2.4.2 is used only as the documentation snapshot example recorded in </w:t>
      </w:r>
      <w:hyperlink w:anchor="S17">
        <w:r>
          <w:rPr>
            <w:rStyle w:val="Hyperlink"/>
          </w:rPr>
          <w:t>S17</w:t>
        </w:r>
      </w:hyperlink>
      <w:r>
        <w:rPr/>
        <w:t>. Replace it through an approved compatibility/qualification decision, initialize and review the actual lock file, and supply a supported endpoint and credentials through the approved runner. The password input is ephemeral in a compatible Terraform runtime; provider behavior and all persisted artifacts still require verification. [</w:t>
      </w:r>
      <w:hyperlink w:anchor="S13">
        <w:r>
          <w:rPr>
            <w:rStyle w:val="Hyperlink"/>
          </w:rPr>
          <w:t>S13</w:t>
        </w:r>
      </w:hyperlink>
      <w:r>
        <w:rPr/>
        <w:t>–</w:t>
      </w:r>
      <w:hyperlink w:anchor="S17">
        <w:r>
          <w:rPr>
            <w:rStyle w:val="Hyperlink"/>
          </w:rPr>
          <w:t>S17</w:t>
        </w:r>
      </w:hyperlink>
      <w:r>
        <w:rPr/>
        <w:t>]</w:t>
      </w:r>
    </w:p>
    <w:p>
      <w:pPr>
        <w:pStyle w:val="CodeBlock"/>
        <w:spacing w:lineRule="exact" w:line="210"/>
        <w:rPr/>
      </w:pPr>
      <w:r>
        <w:rPr/>
        <w:t>terraform {</w:t>
        <w:br/>
        <w:t xml:space="preserve">  required_version = "&gt;= 1.11, &lt; 2.0"</w:t>
        <w:br/>
        <w:t xml:space="preserve">  required_providers {</w:t>
        <w:br/>
        <w:t xml:space="preserve">    nutanix = {</w:t>
        <w:br/>
        <w:t xml:space="preserve">      source  = "nutanix/nutanix"</w:t>
        <w:br/>
        <w:t xml:space="preserve">      version = "= 2.4.2"</w:t>
        <w:br/>
        <w:t xml:space="preserve">    }</w:t>
        <w:br/>
        <w:t xml:space="preserve">  }</w:t>
        <w:br/>
        <w:t>}</w:t>
        <w:br/>
        <w:t>variable "pc_endpoint" { type = string }</w:t>
        <w:br/>
        <w:t>variable "pc_username" { type = string }</w:t>
        <w:br/>
        <w:t>variable "pc_password" {</w:t>
        <w:br/>
        <w:t xml:space="preserve">  type      = string</w:t>
        <w:br/>
        <w:t xml:space="preserve">  sensitive = true</w:t>
        <w:br/>
        <w:t xml:space="preserve">  ephemeral = true</w:t>
        <w:br/>
        <w:t>}</w:t>
        <w:br/>
        <w:t>provider "nutanix" {</w:t>
        <w:br/>
        <w:t xml:space="preserve">  endpoint = var.pc_endpoint</w:t>
        <w:br/>
        <w:t xml:space="preserve">  username = var.pc_username</w:t>
        <w:br/>
        <w:t xml:space="preserve">  password = var.pc_password</w:t>
        <w:br/>
        <w:t xml:space="preserve">  insecure = false</w:t>
        <w:br/>
        <w:t>}</w:t>
        <w:br/>
        <w:t># Native resources/modules are supplied by the qualified adapter.</w:t>
        <w:br/>
        <w:t># Child modules declare required_providers and receive this provider.</w:t>
        <w:br/>
        <w:t># No production credentials or native resources are included here.</w:t>
      </w:r>
    </w:p>
    <w:p>
      <w:pPr>
        <w:pStyle w:val="BodyText"/>
        <w:rPr/>
      </w:pPr>
      <w:r>
        <w:rPr/>
        <w:t>A provider lock file covers provider selections and checksums, not remote module versions. Pin module versions or immutable source commits separately. Do not replace missing adapters with an empty root and label its successful plan a hosting deployment. The orchestrator manages admission, placement, approval, staged authority-specific apply, realization and evidence; Terraform is only one actuator. [</w:t>
      </w:r>
      <w:hyperlink w:anchor="S14">
        <w:r>
          <w:rPr>
            <w:rStyle w:val="Hyperlink"/>
          </w:rPr>
          <w:t>S14</w:t>
        </w:r>
      </w:hyperlink>
      <w:r>
        <w:rPr/>
        <w:t>]</w:t>
      </w:r>
    </w:p>
    <w:p>
      <w:pPr>
        <w:pStyle w:val="Heading3"/>
        <w:rPr/>
      </w:pPr>
      <w:r>
        <w:rPr/>
        <w:t>Contract migration from the illustrative v1.0 draft</w:t>
      </w:r>
    </w:p>
    <w:p>
      <w:pPr>
        <w:pStyle w:val="BodyText"/>
        <w:rPr/>
      </w:pPr>
      <w:r>
        <w:rPr/>
        <w:t>Move the original top-level intent fields under spec; replace ambiguous protected-b-medium and availability strings with independent impact classification and typed profile references. Split logical domains from site/platform instances, replace REZ internal enums with ExternalDomain, replace boolean service/exposure flags with typed binding/exposure references, and deny consumer writes to observed status. These are breaking semantic changes requiring controlled translation, dependency resolution, validation and re-admission. Do not silently mutate a deployed API or relabel v1.0 records as validated v1.1.</w:t>
      </w:r>
      <w:r>
        <w:br w:type="page"/>
      </w:r>
    </w:p>
    <w:p>
      <w:pPr>
        <w:pStyle w:val="Heading1"/>
        <w:spacing w:before="0" w:after="180"/>
        <w:rPr/>
      </w:pPr>
      <w:bookmarkStart w:id="376" w:name="__RefHeading___Toc13431_1645000677"/>
      <w:bookmarkStart w:id="377" w:name="app_C"/>
      <w:bookmarkEnd w:id="376"/>
      <w:r>
        <w:rPr/>
        <w:t>Appendix C — Complete normative requirement and verification index</w:t>
      </w:r>
      <w:bookmarkEnd w:id="377"/>
    </w:p>
    <w:p>
      <w:pPr>
        <w:pStyle w:val="BodyText"/>
        <w:rPr/>
      </w:pPr>
      <w:r>
        <w:rPr/>
        <w:t>This index is generated from the same 194 records used for the full normative text in the chapters and in catalogues/requirements.json. All 99 original requirement/invariant IDs are retained or explicitly revised. Each record includes applicability, source basis, owner, verification procedures, exception policy and origin. The machine-readable catalogue contains the full text and metadata; the compact index below points to its defining chapter.</w:t>
      </w:r>
    </w:p>
    <w:p>
      <w:pPr>
        <w:pStyle w:val="BodyText"/>
        <w:rPr/>
      </w:pPr>
      <w:r>
        <w:rPr/>
        <w:t>Default applicability is all offered service classes, subject to the particular requirement’s capability or conditional wording. Every deviation follows section 59. A cited source is the documented basis/context of a local translation, not an assertion that the source uses the exact handbook wording. Verification remains specified-not-executed until target-environment evidence exists. Acceptance criteria AC-01–AC-20 are separate decision gates, not duplicate normative IDs.</w:t>
      </w:r>
    </w:p>
    <w:p>
      <w:pPr>
        <w:pStyle w:val="Heading2"/>
        <w:ind w:hanging="0" w:start="0"/>
        <w:rPr/>
      </w:pPr>
      <w:bookmarkStart w:id="378" w:name="__RefHeading___Toc13433_1645000677"/>
      <w:bookmarkEnd w:id="378"/>
      <w:r>
        <w:rPr/>
        <w:t>Generated requirement index</w:t>
      </w:r>
    </w:p>
    <w:p>
      <w:pPr>
        <w:pStyle w:val="Heading3"/>
        <w:rPr/>
      </w:pPr>
      <w:r>
        <w:rPr/>
        <w:t>Part I requirements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512"/>
        <w:gridCol w:w="3384"/>
        <w:gridCol w:w="4680"/>
      </w:tblGrid>
      <w:tr>
        <w:trPr>
          <w:tblHeader w:val="true"/>
          <w:cantSplit w:val="true"/>
        </w:trPr>
        <w:tc>
          <w:tcPr>
            <w:tcW w:w="151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ID / chapter</w:t>
            </w:r>
          </w:p>
        </w:tc>
        <w:tc>
          <w:tcPr>
            <w:tcW w:w="338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Accountable owner / status</w:t>
            </w:r>
          </w:p>
        </w:tc>
        <w:tc>
          <w:tcPr>
            <w:tcW w:w="46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Verification procedures / source basis</w:t>
            </w:r>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ARCH-001</w:t>
              <w:br/>
              <w:t>§1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CT-016, CT-017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ARCH-002</w:t>
              <w:br/>
              <w:t>§1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Architecture authority</w:t>
              <w:br/>
              <w:t>SHOULD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CT-071, CT-072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ARCH-003</w:t>
              <w:br/>
              <w:t>§1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CT-003, CT-025</w:t>
              <w:br/>
              <w:t xml:space="preserve">Basis: </w:t>
            </w: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ARCH-004</w:t>
              <w:br/>
              <w:t>§1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Architecture authority</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CT-004, CT-026</w:t>
              <w:br/>
              <w:t xml:space="preserve">Basis: </w:t>
            </w: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SCOPE-001</w:t>
              <w:br/>
              <w:t>§1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CT-018, CT-062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INV-001</w:t>
              <w:br/>
              <w:t>§2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Architecture authority</w:t>
              <w:br/>
              <w:t>INVARIANT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CT-016,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INV-002</w:t>
              <w:br/>
              <w:t>§2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INVARIANT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CT-025, CT-080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INV-003</w:t>
              <w:br/>
              <w:t>§2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Architecture authority</w:t>
              <w:br/>
              <w:t>INVARIANT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CT-009, CT-033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INV-004</w:t>
              <w:br/>
              <w:t>§2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INVARIANT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CT-008</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INV-005</w:t>
              <w:br/>
              <w:t>§2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Architecture authority</w:t>
              <w:br/>
              <w:t>INVARIANT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CT-016, CT-060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INV-006</w:t>
              <w:br/>
              <w:t>§2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INVARIANT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CT-049,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INV-007</w:t>
              <w:br/>
              <w:t>§2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Architecture authority</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CT-011, CT-045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REF-001</w:t>
              <w:br/>
              <w:t>§2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CT-016, CT-060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REF-002</w:t>
              <w:br/>
              <w:t>§2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Architecture authority</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CT-016, CT-018</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DOC-001</w:t>
              <w:br/>
              <w:t>§2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CT-075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AUTH-001</w:t>
              <w:br/>
              <w:t>§2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CT-049, CT-069</w:t>
              <w:br/>
              <w:t xml:space="preserve">Basis: </w:t>
            </w:r>
            <w:hyperlink w:anchor="S04">
              <w:r>
                <w:rPr>
                  <w:rStyle w:val="Hyperlink"/>
                </w:rPr>
                <w:t>S04</w:t>
              </w:r>
            </w:hyperlink>
            <w:r>
              <w:rPr/>
              <w:t xml:space="preserve">, </w:t>
            </w:r>
            <w:hyperlink w:anchor="S05">
              <w:r>
                <w:rPr>
                  <w:rStyle w:val="Hyperlink"/>
                </w:rPr>
                <w:t>S05</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STD-001</w:t>
              <w:br/>
              <w:t>§3</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CT-062, CT-075</w:t>
              <w:br/>
              <w:t xml:space="preserve">Basis: </w:t>
            </w:r>
            <w:hyperlink w:anchor="S01">
              <w:r>
                <w:rPr>
                  <w:rStyle w:val="Hyperlink"/>
                </w:rPr>
                <w:t>S01</w:t>
              </w:r>
            </w:hyperlink>
            <w:r>
              <w:rPr/>
              <w:t xml:space="preserve">, </w:t>
            </w:r>
            <w:hyperlink w:anchor="S02">
              <w:r>
                <w:rPr>
                  <w:rStyle w:val="Hyperlink"/>
                </w:rPr>
                <w:t>S02</w:t>
              </w:r>
            </w:hyperlink>
            <w:r>
              <w:rPr/>
              <w:t xml:space="preserve">, </w:t>
            </w:r>
            <w:hyperlink w:anchor="S05">
              <w:r>
                <w:rPr>
                  <w:rStyle w:val="Hyperlink"/>
                </w:rPr>
                <w:t>S05</w:t>
              </w:r>
            </w:hyperlink>
            <w:r>
              <w:rPr/>
              <w:t xml:space="preserve">, </w:t>
            </w:r>
            <w:hyperlink w:anchor="S10">
              <w:r>
                <w:rPr>
                  <w:rStyle w:val="Hyperlink"/>
                </w:rPr>
                <w:t>S10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STD-002</w:t>
              <w:br/>
              <w:t>§3</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CT-062, CT-075</w:t>
              <w:br/>
              <w:t xml:space="preserve">Basis: </w:t>
            </w:r>
            <w:hyperlink w:anchor="S05">
              <w:r>
                <w:rPr>
                  <w:rStyle w:val="Hyperlink"/>
                </w:rPr>
                <w:t>S05</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CAT-001</w:t>
              <w:br/>
              <w:t>§4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CT-017, CT-062, CT-069</w:t>
              <w:br/>
              <w:t xml:space="preserve">Basis: </w:t>
            </w:r>
            <w:hyperlink w:anchor="S00">
              <w:r>
                <w:rPr>
                  <w:rStyle w:val="Hyperlink"/>
                </w:rPr>
                <w:t>S00</w:t>
              </w:r>
            </w:hyperlink>
            <w:r>
              <w:rPr/>
              <w:t xml:space="preserve">, </w:t>
            </w:r>
            <w:hyperlink w:anchor="S05">
              <w:r>
                <w:rPr>
                  <w:rStyle w:val="Hyperlink"/>
                </w:rPr>
                <w:t>S05</w:t>
              </w:r>
            </w:hyperlink>
            <w:r>
              <w:rPr/>
              <w:t xml:space="preserve">, </w:t>
            </w:r>
            <w:hyperlink w:anchor="S06">
              <w:r>
                <w:rPr>
                  <w:rStyle w:val="Hyperlink"/>
                </w:rPr>
                <w:t>S06</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CAT-002</w:t>
              <w:br/>
              <w:t>§4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CT-017, CT-018</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THR-001</w:t>
              <w:br/>
              <w:t>§5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CT-035, CT-062, CT-080</w:t>
              <w:br/>
              <w:t xml:space="preserve">Basis: </w:t>
            </w:r>
            <w:hyperlink w:anchor="S03">
              <w:r>
                <w:rPr>
                  <w:rStyle w:val="Hyperlink"/>
                </w:rPr>
                <w:t>S03</w:t>
              </w:r>
            </w:hyperlink>
            <w:r>
              <w:rPr/>
              <w:t xml:space="preserve">, </w:t>
            </w:r>
            <w:hyperlink w:anchor="S05">
              <w:r>
                <w:rPr>
                  <w:rStyle w:val="Hyperlink"/>
                </w:rPr>
                <w:t>S05</w:t>
              </w:r>
            </w:hyperlink>
            <w:r>
              <w:rPr/>
              <w:t xml:space="preserve">, </w:t>
            </w:r>
            <w:hyperlink w:anchor="S08">
              <w:r>
                <w:rPr>
                  <w:rStyle w:val="Hyperlink"/>
                </w:rPr>
                <w:t>S08</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MODEL-001</w:t>
              <w:br/>
              <w:t>§6</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Architecture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CT-017, CT-025,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MODEL-002</w:t>
              <w:br/>
              <w:t>§6</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CT-004, CT-008, CT-026</w:t>
              <w:br/>
              <w:t xml:space="preserve">Basis: </w:t>
            </w: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p>
        </w:tc>
      </w:tr>
    </w:tbl>
    <w:p>
      <w:pPr>
        <w:pStyle w:val="Heading3"/>
        <w:rPr/>
      </w:pPr>
      <w:r>
        <w:rPr/>
        <w:t>Part II requirements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512"/>
        <w:gridCol w:w="3384"/>
        <w:gridCol w:w="4680"/>
      </w:tblGrid>
      <w:tr>
        <w:trPr>
          <w:tblHeader w:val="true"/>
          <w:cantSplit w:val="true"/>
        </w:trPr>
        <w:tc>
          <w:tcPr>
            <w:tcW w:w="151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ID / chapter</w:t>
            </w:r>
          </w:p>
        </w:tc>
        <w:tc>
          <w:tcPr>
            <w:tcW w:w="338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Accountable owner / status</w:t>
            </w:r>
          </w:p>
        </w:tc>
        <w:tc>
          <w:tcPr>
            <w:tcW w:w="46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Verification procedures / source basis</w:t>
            </w:r>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TEN-001</w:t>
              <w:br/>
              <w:t>§7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CT-001, CT-002, CT-019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TEN-002</w:t>
              <w:br/>
              <w:t>§7</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CT-019, CT-026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TEN-003</w:t>
              <w:br/>
              <w:t>§7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Service owner</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CT-019, CT-057,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WSD-001</w:t>
              <w:br/>
              <w:t>§8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owner</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CT-017,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WSD-002</w:t>
              <w:br/>
              <w:t>§8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CT-016, CT-017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WSD-003</w:t>
              <w:br/>
              <w:t>§8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owner</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CT-062,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SDI-001</w:t>
              <w:br/>
              <w:t>§9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CT-025, CT-035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SDI-002</w:t>
              <w:br/>
              <w:t>§9</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CT-001, CT-002, CT-021</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SDI-003</w:t>
              <w:br/>
              <w:t>§9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SHOULD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CT-018, CT-035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SDI-004</w:t>
              <w:br/>
              <w:t>§9</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CT-025, CT-035, CT-048</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ZONE-001</w:t>
              <w:br/>
              <w:t>§10</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CT-017, CT-025, CT-076</w:t>
              <w:br/>
              <w:t xml:space="preserve">Basis: </w:t>
            </w:r>
            <w:hyperlink w:anchor="S01">
              <w:r>
                <w:rPr>
                  <w:rStyle w:val="Hyperlink"/>
                </w:rPr>
                <w:t>S01</w:t>
              </w:r>
            </w:hyperlink>
            <w:r>
              <w:rPr/>
              <w:t xml:space="preserve">, </w:t>
            </w:r>
            <w:hyperlink w:anchor="S02">
              <w:r>
                <w:rPr>
                  <w:rStyle w:val="Hyperlink"/>
                </w:rPr>
                <w:t>S02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ZONE-002</w:t>
              <w:br/>
              <w:t>§10</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CT-025, CT-066</w:t>
              <w:br/>
              <w:t xml:space="preserve">Basis: </w:t>
            </w:r>
            <w:hyperlink w:anchor="S01">
              <w:r>
                <w:rPr>
                  <w:rStyle w:val="Hyperlink"/>
                </w:rPr>
                <w:t>S01</w:t>
              </w:r>
            </w:hyperlink>
            <w:r>
              <w:rPr/>
              <w:t xml:space="preserve">, </w:t>
            </w:r>
            <w:hyperlink w:anchor="S02">
              <w:r>
                <w:rPr>
                  <w:rStyle w:val="Hyperlink"/>
                </w:rPr>
                <w:t>S02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ZIP-001</w:t>
              <w:br/>
              <w:t>§11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Security-edge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CT-003, CT-080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ZIP-002</w:t>
              <w:br/>
              <w:t>§11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revised-v1.0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CT-023, CT-025</w:t>
              <w:br/>
              <w:t xml:space="preserve">Basis: </w:t>
            </w: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ZIP-003</w:t>
              <w:br/>
              <w:t>§11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Security-edge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CT-007, CT-025, CT-066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ZIP-004</w:t>
              <w:br/>
              <w:t>§11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Security-edge operations</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CT-004, CT-026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ZIP-005</w:t>
              <w:br/>
              <w:t>§11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CT-026, CT-035, CT-080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ZIP-006</w:t>
              <w:br/>
              <w:t>§11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CT-067, CT-077, CT-080</w:t>
              <w:br/>
              <w:t xml:space="preserve">Basis: </w:t>
            </w:r>
            <w:hyperlink w:anchor="S01">
              <w:r>
                <w:rPr>
                  <w:rStyle w:val="Hyperlink"/>
                </w:rPr>
                <w:t>S01</w:t>
              </w:r>
            </w:hyperlink>
            <w:r>
              <w:rPr/>
              <w:t xml:space="preserve">, </w:t>
            </w:r>
            <w:hyperlink w:anchor="S02">
              <w:r>
                <w:rPr>
                  <w:rStyle w:val="Hyperlink"/>
                </w:rPr>
                <w:t>S02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ZIP-007</w:t>
              <w:br/>
              <w:t>§11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CT-003, CT-023, CT-080</w:t>
              <w:br/>
              <w:t xml:space="preserve">Basis: </w:t>
            </w:r>
            <w:hyperlink w:anchor="S02">
              <w:r>
                <w:rPr>
                  <w:rStyle w:val="Hyperlink"/>
                </w:rPr>
                <w:t>S02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MGT-001</w:t>
              <w:br/>
              <w:t>§12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Management operations</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CT-004, CT-026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MGT-002</w:t>
              <w:br/>
              <w:t>§12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Management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CT-026, CT-027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MGT-003</w:t>
              <w:br/>
              <w:t>§12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CT-019, CT-044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MGT-004</w:t>
              <w:br/>
              <w:t>§12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Management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CT-027, CT-079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MGT-005</w:t>
              <w:br/>
              <w:t>§12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Management operations</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CT-004, CT-026, CT-055</w:t>
              <w:br/>
              <w:t xml:space="preserve">Basis: </w:t>
            </w:r>
            <w:hyperlink w:anchor="S01">
              <w:r>
                <w:rPr>
                  <w:rStyle w:val="Hyperlink"/>
                </w:rPr>
                <w:t>S01</w:t>
              </w:r>
            </w:hyperlink>
            <w:r>
              <w:rPr/>
              <w:t xml:space="preserve">, </w:t>
            </w:r>
            <w:hyperlink w:anchor="S02">
              <w:r>
                <w:rPr>
                  <w:rStyle w:val="Hyperlink"/>
                </w:rPr>
                <w:t>S02</w:t>
              </w:r>
            </w:hyperlink>
            <w:r>
              <w:rPr/>
              <w:t xml:space="preserve">, </w:t>
            </w:r>
            <w:hyperlink w:anchor="S07">
              <w:r>
                <w:rPr>
                  <w:rStyle w:val="Hyperlink"/>
                </w:rPr>
                <w:t>S07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OVL-001</w:t>
              <w:br/>
              <w:t>§13</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CT-016, CT-018, CT-080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OVL-002</w:t>
              <w:br/>
              <w:t>§13</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revised-v1.0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CT-003, CT-021, CT-023</w:t>
              <w:br/>
              <w:t xml:space="preserve">Basis: </w:t>
            </w: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OVL-003</w:t>
              <w:br/>
              <w:t>§13</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CT-022, CT-066,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RTE-001</w:t>
              <w:br/>
              <w:t>§14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CT-009, CT-033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RTE-002</w:t>
              <w:br/>
              <w:t>§14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Network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CT-003, CT-009, CT-023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RTE-003</w:t>
              <w:br/>
              <w:t>§14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CT-009, CT-058, CT-077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RTE-004</w:t>
              <w:br/>
              <w:t>§14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Network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CT-009, CT-023, CT-024, CT-031</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IPAM-001</w:t>
              <w:br/>
              <w:t>§15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CT-029, CT-030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IPAM-002</w:t>
              <w:br/>
              <w:t>§15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Network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CT-029, CT-061</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IPAM-003</w:t>
              <w:br/>
              <w:t>§15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SHOULD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CT-013, CT-030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IPAM-004</w:t>
              <w:br/>
              <w:t>§15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CT-029, CT-030, CT-045, CT-046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IPV6-001</w:t>
              <w:br/>
              <w:t>§16</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CT-002, CT-031, CT-032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IPV6-002</w:t>
              <w:br/>
              <w:t>§16</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CT-002, CT-003, CT-031</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IPV6-003</w:t>
              <w:br/>
              <w:t>§16</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CT-018, CT-031, CT-032</w:t>
              <w:br/>
              <w:t xml:space="preserve">Basis: </w:t>
            </w:r>
            <w:hyperlink w:anchor="S23">
              <w:r>
                <w:rPr>
                  <w:rStyle w:val="Hyperlink"/>
                </w:rPr>
                <w:t>S23</w:t>
              </w:r>
            </w:hyperlink>
            <w:r>
              <w:rPr/>
              <w:t xml:space="preserve">, </w:t>
            </w:r>
            <w:hyperlink w:anchor="S24">
              <w:r>
                <w:rPr>
                  <w:rStyle w:val="Hyperlink"/>
                </w:rPr>
                <w:t>S24</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SVC-001</w:t>
              <w:br/>
              <w:t>§17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Service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CT-008, CT-037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SVC-002</w:t>
              <w:br/>
              <w:t>§17</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operations</w:t>
              <w:br/>
              <w:t>SHOULD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CT-008, CT-025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SVC-003</w:t>
              <w:br/>
              <w:t>§17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Service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CT-008, CT-028, CT-077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ING-001</w:t>
              <w:br/>
              <w:t>§18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Security-edge operations</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CT-006, CT-025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ING-002</w:t>
              <w:br/>
              <w:t>§18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Service owner</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CT-006, CT-063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EGR-001</w:t>
              <w:br/>
              <w:t>§18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Security-edge operations</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CT-005, CT-064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EGR-002</w:t>
              <w:br/>
              <w:t>§18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Security-edge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CT-010, CT-064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EXP-001</w:t>
              <w:br/>
              <w:t>§18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Security-edge operations</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CT-063, CT-069, CT-077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MICRO-001</w:t>
              <w:br/>
              <w:t>§19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revised-v1.0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CT-021, CT-066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MICRO-002</w:t>
              <w:br/>
              <w:t>§19</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CT-020, CT-066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MICRO-003</w:t>
              <w:br/>
              <w:t>§19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CT-020, CT-021, CT-022, CT-065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EDGE-001</w:t>
              <w:br/>
              <w:t>§20</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CT-023, CT-024, CT-032, CT-071</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EDGE-002</w:t>
              <w:br/>
              <w:t>§20</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CT-023, CT-024, CT-080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SITE-001</w:t>
              <w:br/>
              <w:t>§21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SHOULD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CT-054, CT-055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SITE-002</w:t>
              <w:br/>
              <w:t>§21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CT-054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SITE-003</w:t>
              <w:br/>
              <w:t>§21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Recovery operations</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CT-052, CT-054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SITE-004</w:t>
              <w:br/>
              <w:t>§21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Recovery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CT-035, CT-038, CT-054, CT-061</w:t>
              <w:br/>
              <w:t xml:space="preserve">Basis: </w:t>
            </w:r>
            <w:hyperlink w:anchor="S00">
              <w:r>
                <w:rPr>
                  <w:rStyle w:val="Hyperlink"/>
                </w:rPr>
                <w:t>S00</w:t>
              </w:r>
            </w:hyperlink>
          </w:p>
        </w:tc>
      </w:tr>
    </w:tbl>
    <w:p>
      <w:pPr>
        <w:pStyle w:val="Heading3"/>
        <w:rPr/>
      </w:pPr>
      <w:r>
        <w:rPr/>
        <w:t>Part III requirements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512"/>
        <w:gridCol w:w="3384"/>
        <w:gridCol w:w="4680"/>
      </w:tblGrid>
      <w:tr>
        <w:trPr>
          <w:tblHeader w:val="true"/>
          <w:cantSplit w:val="true"/>
        </w:trPr>
        <w:tc>
          <w:tcPr>
            <w:tcW w:w="151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ID / chapter</w:t>
            </w:r>
          </w:p>
        </w:tc>
        <w:tc>
          <w:tcPr>
            <w:tcW w:w="338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Accountable owner / status</w:t>
            </w:r>
          </w:p>
        </w:tc>
        <w:tc>
          <w:tcPr>
            <w:tcW w:w="46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Verification procedures / source basis</w:t>
            </w:r>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CMP-001</w:t>
              <w:br/>
              <w:t>§22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CT-035, CT-056</w:t>
              <w:br/>
              <w:t xml:space="preserve">Basis: </w:t>
            </w:r>
            <w:hyperlink w:anchor="S03">
              <w:r>
                <w:rPr>
                  <w:rStyle w:val="Hyperlink"/>
                </w:rPr>
                <w:t>S03</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CMP-002</w:t>
              <w:br/>
              <w:t>§22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CT-036, CT-039, CT-073</w:t>
              <w:br/>
              <w:t xml:space="preserve">Basis: </w:t>
            </w:r>
            <w:hyperlink w:anchor="S03">
              <w:r>
                <w:rPr>
                  <w:rStyle w:val="Hyperlink"/>
                </w:rPr>
                <w:t>S03</w:t>
              </w:r>
            </w:hyperlink>
            <w:r>
              <w:rPr/>
              <w:t xml:space="preserve">, </w:t>
            </w:r>
            <w:hyperlink w:anchor="S07">
              <w:r>
                <w:rPr>
                  <w:rStyle w:val="Hyperlink"/>
                </w:rPr>
                <w:t>S07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CMP-003</w:t>
              <w:br/>
              <w:t>§22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CT-035, CT-062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STO-001</w:t>
              <w:br/>
              <w:t>§23</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Storage operations</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CT-037, CT-053, CT-078</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STO-002</w:t>
              <w:br/>
              <w:t>§23</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Storage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CT-039, CT-052, CT-060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STO-003</w:t>
              <w:br/>
              <w:t>§23</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Storage operations</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CT-053, CT-059, CT-078</w:t>
              <w:br/>
              <w:t xml:space="preserve">Basis: </w:t>
            </w:r>
            <w:hyperlink w:anchor="S27">
              <w:r>
                <w:rPr>
                  <w:rStyle w:val="Hyperlink"/>
                </w:rPr>
                <w:t>S27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IAM-001</w:t>
              <w:br/>
              <w:t>§24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Identity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CT-019, CT-027, CT-028</w:t>
              <w:br/>
              <w:t xml:space="preserve">Basis: </w:t>
            </w:r>
            <w:hyperlink w:anchor="S07">
              <w:r>
                <w:rPr>
                  <w:rStyle w:val="Hyperlink"/>
                </w:rPr>
                <w:t>S07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IAM-002</w:t>
              <w:br/>
              <w:t>§24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Identity operations</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CT-026, CT-027, CT-079</w:t>
              <w:br/>
              <w:t xml:space="preserve">Basis: </w:t>
            </w:r>
            <w:hyperlink w:anchor="S07">
              <w:r>
                <w:rPr>
                  <w:rStyle w:val="Hyperlink"/>
                </w:rPr>
                <w:t>S07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IAM-003</w:t>
              <w:br/>
              <w:t>§24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Identity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CT-028, CT-077, CT-079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CRY-001</w:t>
              <w:br/>
              <w:t>§25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CT-028, CT-038, CT-063</w:t>
              <w:br/>
              <w:t xml:space="preserve">Basis: </w:t>
            </w:r>
            <w:hyperlink w:anchor="S09">
              <w:r>
                <w:rPr>
                  <w:rStyle w:val="Hyperlink"/>
                </w:rPr>
                <w:t>S09</w:t>
              </w:r>
            </w:hyperlink>
            <w:r>
              <w:rPr/>
              <w:t xml:space="preserve">, </w:t>
            </w:r>
            <w:hyperlink w:anchor="S10">
              <w:r>
                <w:rPr>
                  <w:rStyle w:val="Hyperlink"/>
                </w:rPr>
                <w:t>S10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CRY-002</w:t>
              <w:br/>
              <w:t>§25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Key-management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CT-038, CT-053, CT-059</w:t>
              <w:br/>
              <w:t xml:space="preserve">Basis: </w:t>
            </w:r>
            <w:hyperlink w:anchor="S09">
              <w:r>
                <w:rPr>
                  <w:rStyle w:val="Hyperlink"/>
                </w:rPr>
                <w:t>S09</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CRY-003</w:t>
              <w:br/>
              <w:t>§25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Key-management operations</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CT-028, CT-038, CT-055</w:t>
              <w:br/>
              <w:t xml:space="preserve">Basis: </w:t>
            </w:r>
            <w:hyperlink w:anchor="S09">
              <w:r>
                <w:rPr>
                  <w:rStyle w:val="Hyperlink"/>
                </w:rPr>
                <w:t>S09</w:t>
              </w:r>
            </w:hyperlink>
            <w:r>
              <w:rPr/>
              <w:t xml:space="preserve">, </w:t>
            </w:r>
            <w:hyperlink w:anchor="S10">
              <w:r>
                <w:rPr>
                  <w:rStyle w:val="Hyperlink"/>
                </w:rPr>
                <w:t>S10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IMG-001</w:t>
              <w:br/>
              <w:t>§26</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CT-036, CT-040, CT-041</w:t>
              <w:br/>
              <w:t xml:space="preserve">Basis: </w:t>
            </w:r>
            <w:hyperlink w:anchor="S07">
              <w:r>
                <w:rPr>
                  <w:rStyle w:val="Hyperlink"/>
                </w:rPr>
                <w:t>S07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IMG-002</w:t>
              <w:br/>
              <w:t>§26</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CT-014, CT-036, CT-040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BKP-001</w:t>
              <w:br/>
              <w:t>§27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Backup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CT-004, CT-051</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BKP-002</w:t>
              <w:br/>
              <w:t>§27</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Backup operations</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CT-052, CT-054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BKP-003</w:t>
              <w:br/>
              <w:t>§27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Backup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CT-051, CT-052, CT-053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BKP-004</w:t>
              <w:br/>
              <w:t>§27</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Backup operations</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CT-038, CT-051, CT-053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REL-001</w:t>
              <w:br/>
              <w:t>§28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Service owner</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CT-012, CT-052, CT-054, CT-062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REL-002</w:t>
              <w:br/>
              <w:t>§28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Operations/SRE</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CT-012, CT-039, CT-054, CT-056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PLACE-001</w:t>
              <w:br/>
              <w:t>§29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CT-018, CT-035, CT-056, CT-061</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PLACE-002</w:t>
              <w:br/>
              <w:t>§29</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owner</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CT-061, CT-079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PLACE-003</w:t>
              <w:br/>
              <w:t>§29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CT-060, CT-073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SVCM-001</w:t>
              <w:br/>
              <w:t>§30</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owner</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CT-019, CT-056, CT-062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SVCM-002</w:t>
              <w:br/>
              <w:t>§30</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Capacity management</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CT-074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RESP-001</w:t>
              <w:br/>
              <w:t>§31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owner</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CT-062, CT-069</w:t>
              <w:br/>
              <w:t xml:space="preserve">Basis: </w:t>
            </w:r>
            <w:hyperlink w:anchor="S05">
              <w:r>
                <w:rPr>
                  <w:rStyle w:val="Hyperlink"/>
                </w:rPr>
                <w:t>S05</w:t>
              </w:r>
            </w:hyperlink>
            <w:r>
              <w:rPr/>
              <w:t xml:space="preserve">, </w:t>
            </w:r>
            <w:hyperlink w:anchor="S08">
              <w:r>
                <w:rPr>
                  <w:rStyle w:val="Hyperlink"/>
                </w:rPr>
                <w:t>S08</w:t>
              </w:r>
            </w:hyperlink>
          </w:p>
        </w:tc>
      </w:tr>
    </w:tbl>
    <w:p>
      <w:pPr>
        <w:pStyle w:val="Heading3"/>
        <w:rPr/>
      </w:pPr>
      <w:r>
        <w:rPr/>
        <w:t>Part IV requirements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512"/>
        <w:gridCol w:w="3384"/>
        <w:gridCol w:w="4680"/>
      </w:tblGrid>
      <w:tr>
        <w:trPr>
          <w:tblHeader w:val="true"/>
          <w:cantSplit w:val="true"/>
        </w:trPr>
        <w:tc>
          <w:tcPr>
            <w:tcW w:w="151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ID / chapter</w:t>
            </w:r>
          </w:p>
        </w:tc>
        <w:tc>
          <w:tcPr>
            <w:tcW w:w="338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Accountable owner / status</w:t>
            </w:r>
          </w:p>
        </w:tc>
        <w:tc>
          <w:tcPr>
            <w:tcW w:w="46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Verification procedures / source basis</w:t>
            </w:r>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FAB-001</w:t>
              <w:br/>
              <w:t>§32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Network engineering</w:t>
              <w:br/>
              <w:t>SHALL / revised-v1.0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CT-071, CT-072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FAB-002</w:t>
              <w:br/>
              <w:t>§32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CT-009, CT-072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FAB-003</w:t>
              <w:br/>
              <w:t>§32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CT-025, CT-072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FAB-004</w:t>
              <w:br/>
              <w:t>§32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CT-026, CT-032, CT-033, CT-034</w:t>
              <w:br/>
              <w:t xml:space="preserve">Basis: </w:t>
            </w:r>
            <w:hyperlink w:anchor="S20">
              <w:r>
                <w:rPr>
                  <w:rStyle w:val="Hyperlink"/>
                </w:rPr>
                <w:t>S20</w:t>
              </w:r>
            </w:hyperlink>
            <w:r>
              <w:rPr/>
              <w:t xml:space="preserve">, </w:t>
            </w:r>
            <w:hyperlink w:anchor="S21">
              <w:r>
                <w:rPr>
                  <w:rStyle w:val="Hyperlink"/>
                </w:rPr>
                <w:t>S21</w:t>
              </w:r>
            </w:hyperlink>
            <w:r>
              <w:rPr/>
              <w:t xml:space="preserve">, </w:t>
            </w:r>
            <w:hyperlink w:anchor="S22">
              <w:r>
                <w:rPr>
                  <w:rStyle w:val="Hyperlink"/>
                </w:rPr>
                <w:t>S22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EVPN-001</w:t>
              <w:br/>
              <w:t>§33</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Network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CT-009, CT-033, CT-072</w:t>
              <w:br/>
              <w:t xml:space="preserve">Basis: </w:t>
            </w:r>
            <w:hyperlink w:anchor="S20">
              <w:r>
                <w:rPr>
                  <w:rStyle w:val="Hyperlink"/>
                </w:rPr>
                <w:t>S20</w:t>
              </w:r>
            </w:hyperlink>
            <w:r>
              <w:rPr/>
              <w:t xml:space="preserve">, </w:t>
            </w:r>
            <w:hyperlink w:anchor="S21">
              <w:r>
                <w:rPr>
                  <w:rStyle w:val="Hyperlink"/>
                </w:rPr>
                <w:t>S21</w:t>
              </w:r>
            </w:hyperlink>
            <w:r>
              <w:rPr/>
              <w:t xml:space="preserve">, </w:t>
            </w:r>
            <w:hyperlink w:anchor="S22">
              <w:r>
                <w:rPr>
                  <w:rStyle w:val="Hyperlink"/>
                </w:rPr>
                <w:t>S22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EVPN-002</w:t>
              <w:br/>
              <w:t>§33</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Network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CT-024, CT-032, CT-034</w:t>
              <w:br/>
              <w:t xml:space="preserve">Basis: </w:t>
            </w:r>
            <w:hyperlink w:anchor="S21">
              <w:r>
                <w:rPr>
                  <w:rStyle w:val="Hyperlink"/>
                </w:rPr>
                <w:t>S21</w:t>
              </w:r>
            </w:hyperlink>
            <w:r>
              <w:rPr/>
              <w:t xml:space="preserve">, </w:t>
            </w:r>
            <w:hyperlink w:anchor="S22">
              <w:r>
                <w:rPr>
                  <w:rStyle w:val="Hyperlink"/>
                </w:rPr>
                <w:t>S22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PORT-001</w:t>
              <w:br/>
              <w:t>§34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CT-015, CT-018, CT-080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PORT-002</w:t>
              <w:br/>
              <w:t>§34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CT-018, CT-061</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PORT-003</w:t>
              <w:br/>
              <w:t>§34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Architecture authority</w:t>
              <w:br/>
              <w:t>MAY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CT-016, CT-060, CT-073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QUAL-001</w:t>
              <w:br/>
              <w:t>§34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CT-015, CT-018,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NUT-001</w:t>
              <w:br/>
              <w:t>§35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SHOULD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CT-015, CT-018</w:t>
              <w:br/>
              <w:t xml:space="preserve">Basis: </w:t>
            </w:r>
            <w:hyperlink w:anchor="S00">
              <w:r>
                <w:rPr>
                  <w:rStyle w:val="Hyperlink"/>
                </w:rPr>
                <w:t>S00</w:t>
              </w:r>
            </w:hyperlink>
            <w:r>
              <w:rPr/>
              <w:t xml:space="preserve">, </w:t>
            </w:r>
            <w:hyperlink w:anchor="S17">
              <w:r>
                <w:rPr>
                  <w:rStyle w:val="Hyperlink"/>
                </w:rPr>
                <w:t>S17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NUT-002</w:t>
              <w:br/>
              <w:t>§35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CT-003, CT-023, CT-024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NUT-003</w:t>
              <w:br/>
              <w:t>§35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CT-020, CT-066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NUT-004</w:t>
              <w:br/>
              <w:t>§35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CT-015, CT-023, CT-045, CT-080</w:t>
              <w:br/>
              <w:t xml:space="preserve">Basis: </w:t>
            </w:r>
            <w:hyperlink w:anchor="S17">
              <w:r>
                <w:rPr>
                  <w:rStyle w:val="Hyperlink"/>
                </w:rPr>
                <w:t>S17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NSX-001</w:t>
              <w:br/>
              <w:t>§36</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CT-019, CT-020, CT-066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NSX-002</w:t>
              <w:br/>
              <w:t>§36</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CT-003, CT-007, CT-009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NSX-003</w:t>
              <w:br/>
              <w:t>§36</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CT-003, CT-015, CT-024, CT-080</w:t>
              <w:br/>
              <w:t xml:space="preserve">Basis: </w:t>
            </w:r>
            <w:hyperlink w:anchor="S18">
              <w:r>
                <w:rPr>
                  <w:rStyle w:val="Hyperlink"/>
                </w:rPr>
                <w:t>S18</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OS-001</w:t>
              <w:br/>
              <w:t>§37</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CT-005, CT-021, CT-066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OS-002</w:t>
              <w:br/>
              <w:t>§37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CT-019, CT-022, CT-023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OS-003</w:t>
              <w:br/>
              <w:t>§37</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CT-015, CT-018, CT-022, CT-080</w:t>
              <w:br/>
              <w:t xml:space="preserve">Basis: </w:t>
            </w:r>
            <w:hyperlink w:anchor="S19">
              <w:r>
                <w:rPr>
                  <w:rStyle w:val="Hyperlink"/>
                </w:rPr>
                <w:t>S19</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FUT-001</w:t>
              <w:br/>
              <w:t>§38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CT-015, CT-018, CT-065, CT-080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FUT-002</w:t>
              <w:br/>
              <w:t>§38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Platform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CT-018, CT-065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FUT-003</w:t>
              <w:br/>
              <w:t>§38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CT-035, CT-037, CT-059, CT-065, CT-072</w:t>
              <w:br/>
              <w:t xml:space="preserve">Basis: </w:t>
            </w:r>
            <w:hyperlink w:anchor="S25">
              <w:r>
                <w:rPr>
                  <w:rStyle w:val="Hyperlink"/>
                </w:rPr>
                <w:t>S25</w:t>
              </w:r>
            </w:hyperlink>
            <w:r>
              <w:rPr/>
              <w:t xml:space="preserve">, </w:t>
            </w:r>
            <w:hyperlink w:anchor="S26">
              <w:r>
                <w:rPr>
                  <w:rStyle w:val="Hyperlink"/>
                </w:rPr>
                <w:t>S26</w:t>
              </w:r>
            </w:hyperlink>
          </w:p>
        </w:tc>
      </w:tr>
    </w:tbl>
    <w:p>
      <w:pPr>
        <w:pStyle w:val="Heading3"/>
        <w:rPr/>
      </w:pPr>
      <w:r>
        <w:rPr/>
        <w:t>Part V requirements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512"/>
        <w:gridCol w:w="3384"/>
        <w:gridCol w:w="4680"/>
      </w:tblGrid>
      <w:tr>
        <w:trPr>
          <w:tblHeader w:val="true"/>
          <w:cantSplit w:val="true"/>
        </w:trPr>
        <w:tc>
          <w:tcPr>
            <w:tcW w:w="151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ID / chapter</w:t>
            </w:r>
          </w:p>
        </w:tc>
        <w:tc>
          <w:tcPr>
            <w:tcW w:w="338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Accountable owner / status</w:t>
            </w:r>
          </w:p>
        </w:tc>
        <w:tc>
          <w:tcPr>
            <w:tcW w:w="46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Verification procedures / source basis</w:t>
            </w:r>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API-001</w:t>
              <w:br/>
              <w:t>§39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CT-016,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API-002</w:t>
              <w:br/>
              <w:t>§39</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CT-017, CT-019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API-003</w:t>
              <w:br/>
              <w:t>§39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CT-017, CT-046,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POL-001</w:t>
              <w:br/>
              <w:t>§40</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CT-017, CT-025, CT-066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POL-002</w:t>
              <w:br/>
              <w:t>§40</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SHOULD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CT-009, CT-048, CT-066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FLOW-001</w:t>
              <w:br/>
              <w:t>§40</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Security-edge operations</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CT-007, CT-020, CT-066, CT-077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AUTO-001</w:t>
              <w:br/>
              <w:t>§41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CT-011, CT-029, CT-045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AUTO-002</w:t>
              <w:br/>
              <w:t>§41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CT-045, CT-046, CT-048,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AUTO-003</w:t>
              <w:br/>
              <w:t>§41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CT-045, CT-046, CT-047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TF-001</w:t>
              <w:br/>
              <w:t>§42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CT-042, CT-043</w:t>
              <w:br/>
              <w:t xml:space="preserve">Basis: </w:t>
            </w:r>
            <w:hyperlink w:anchor="S00">
              <w:r>
                <w:rPr>
                  <w:rStyle w:val="Hyperlink"/>
                </w:rPr>
                <w:t>S00</w:t>
              </w:r>
            </w:hyperlink>
            <w:r>
              <w:rPr/>
              <w:t xml:space="preserve">, </w:t>
            </w:r>
            <w:hyperlink w:anchor="S13">
              <w:r>
                <w:rPr>
                  <w:rStyle w:val="Hyperlink"/>
                </w:rPr>
                <w:t>S13</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TF-002</w:t>
              <w:br/>
              <w:t>§42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CT-015, CT-042, CT-048</w:t>
              <w:br/>
              <w:t xml:space="preserve">Basis: </w:t>
            </w:r>
            <w:hyperlink w:anchor="S00">
              <w:r>
                <w:rPr>
                  <w:rStyle w:val="Hyperlink"/>
                </w:rPr>
                <w:t>S00</w:t>
              </w:r>
            </w:hyperlink>
            <w:r>
              <w:rPr/>
              <w:t xml:space="preserve">, </w:t>
            </w:r>
            <w:hyperlink w:anchor="S14">
              <w:r>
                <w:rPr>
                  <w:rStyle w:val="Hyperlink"/>
                </w:rPr>
                <w:t>S14</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TF-003</w:t>
              <w:br/>
              <w:t>§42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CT-016, CT-044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TF-004</w:t>
              <w:br/>
              <w:t>§42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SHOULD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CT-044,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TF-005</w:t>
              <w:br/>
              <w:t>§42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CT-042, CT-048</w:t>
              <w:br/>
              <w:t xml:space="preserve">Basis: </w:t>
            </w:r>
            <w:hyperlink w:anchor="S14">
              <w:r>
                <w:rPr>
                  <w:rStyle w:val="Hyperlink"/>
                </w:rPr>
                <w:t>S14</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STATE-001</w:t>
              <w:br/>
              <w:t>§43</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CT-019, CT-044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STATE-002</w:t>
              <w:br/>
              <w:t>§43</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CT-043, CT-044, CT-055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STATE-003</w:t>
              <w:br/>
              <w:t>§43</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CT-044, CT-045,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CICD-001</w:t>
              <w:br/>
              <w:t>§44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Change authority</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CT-048, CT-058</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CICD-002</w:t>
              <w:br/>
              <w:t>§44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CT-042, CT-048</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SUP-001</w:t>
              <w:br/>
              <w:t>§44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CT-041, CT-042, CT-057</w:t>
              <w:br/>
              <w:t xml:space="preserve">Basis: </w:t>
            </w:r>
            <w:hyperlink w:anchor="S05">
              <w:r>
                <w:rPr>
                  <w:rStyle w:val="Hyperlink"/>
                </w:rPr>
                <w:t>S05</w:t>
              </w:r>
            </w:hyperlink>
            <w:r>
              <w:rPr/>
              <w:t xml:space="preserve">, </w:t>
            </w:r>
            <w:hyperlink w:anchor="S14">
              <w:r>
                <w:rPr>
                  <w:rStyle w:val="Hyperlink"/>
                </w:rPr>
                <w:t>S14</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SEC-001</w:t>
              <w:br/>
              <w:t>§45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CT-043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SEC-002</w:t>
              <w:br/>
              <w:t>§45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CT-019, CT-044, CT-079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SEC-003</w:t>
              <w:br/>
              <w:t>§45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Automation platform</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CT-027, CT-028, CT-043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SEC-004</w:t>
              <w:br/>
              <w:t>§45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Automation platform</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CT-043, CT-044</w:t>
              <w:br/>
              <w:t xml:space="preserve">Basis: </w:t>
            </w:r>
            <w:hyperlink w:anchor="S15">
              <w:r>
                <w:rPr>
                  <w:rStyle w:val="Hyperlink"/>
                </w:rPr>
                <w:t>S15</w:t>
              </w:r>
            </w:hyperlink>
            <w:r>
              <w:rPr/>
              <w:t xml:space="preserve">, </w:t>
            </w:r>
            <w:hyperlink w:anchor="S16">
              <w:r>
                <w:rPr>
                  <w:rStyle w:val="Hyperlink"/>
                </w:rPr>
                <w:t>S16</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DRIFT-001</w:t>
              <w:br/>
              <w:t>§46</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Operations/SRE</w:t>
              <w:br/>
              <w:t>SHALL / revised-v1.0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CT-014, CT-049, CT-057</w:t>
              <w:br/>
              <w:t xml:space="preserve">Basis: </w:t>
            </w:r>
            <w:hyperlink w:anchor="S00">
              <w:r>
                <w:rPr>
                  <w:rStyle w:val="Hyperlink"/>
                </w:rPr>
                <w:t>S00</w:t>
              </w:r>
            </w:hyperlink>
            <w:r>
              <w:rPr/>
              <w:t xml:space="preserve">, </w:t>
            </w:r>
            <w:hyperlink w:anchor="S05">
              <w:r>
                <w:rPr>
                  <w:rStyle w:val="Hyperlink"/>
                </w:rPr>
                <w:t>S05</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DRIFT-002</w:t>
              <w:br/>
              <w:t>§46</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Operations/SRE</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CT-014, CT-057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DRIFT-003</w:t>
              <w:br/>
              <w:t>§46</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Incident response</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CT-057, CT-058, CT-066</w:t>
              <w:br/>
              <w:t xml:space="preserve">Basis: </w:t>
            </w:r>
            <w:hyperlink w:anchor="S00">
              <w:r>
                <w:rPr>
                  <w:rStyle w:val="Hyperlink"/>
                </w:rPr>
                <w:t>S00</w:t>
              </w:r>
            </w:hyperlink>
          </w:p>
        </w:tc>
      </w:tr>
    </w:tbl>
    <w:p>
      <w:pPr>
        <w:pStyle w:val="Heading3"/>
        <w:rPr/>
      </w:pPr>
      <w:r>
        <w:rPr/>
        <w:t>Part VI requirements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512"/>
        <w:gridCol w:w="3384"/>
        <w:gridCol w:w="4680"/>
      </w:tblGrid>
      <w:tr>
        <w:trPr>
          <w:tblHeader w:val="true"/>
          <w:cantSplit w:val="true"/>
        </w:trPr>
        <w:tc>
          <w:tcPr>
            <w:tcW w:w="151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ID / chapter</w:t>
            </w:r>
          </w:p>
        </w:tc>
        <w:tc>
          <w:tcPr>
            <w:tcW w:w="338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Accountable owner / status</w:t>
            </w:r>
          </w:p>
        </w:tc>
        <w:tc>
          <w:tcPr>
            <w:tcW w:w="46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Verification procedures / source basis</w:t>
            </w:r>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ASSUR-001</w:t>
              <w:br/>
              <w:t>§47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CT-035, CT-062</w:t>
              <w:br/>
              <w:t xml:space="preserve">Basis: </w:t>
            </w:r>
            <w:hyperlink w:anchor="S00">
              <w:r>
                <w:rPr>
                  <w:rStyle w:val="Hyperlink"/>
                </w:rPr>
                <w:t>S00</w:t>
              </w:r>
            </w:hyperlink>
            <w:r>
              <w:rPr/>
              <w:t xml:space="preserve">, </w:t>
            </w:r>
            <w:hyperlink w:anchor="S03">
              <w:r>
                <w:rPr>
                  <w:rStyle w:val="Hyperlink"/>
                </w:rPr>
                <w:t>S03</w:t>
              </w:r>
            </w:hyperlink>
            <w:r>
              <w:rPr/>
              <w:t xml:space="preserve">, </w:t>
            </w:r>
            <w:hyperlink w:anchor="S05">
              <w:r>
                <w:rPr>
                  <w:rStyle w:val="Hyperlink"/>
                </w:rPr>
                <w:t>S05</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ASSUR-002</w:t>
              <w:br/>
              <w:t>§47</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CT-018, CT-035, CT-037, CT-062</w:t>
              <w:br/>
              <w:t xml:space="preserve">Basis: </w:t>
            </w:r>
            <w:hyperlink w:anchor="S03">
              <w:r>
                <w:rPr>
                  <w:rStyle w:val="Hyperlink"/>
                </w:rPr>
                <w:t>S03</w:t>
              </w:r>
            </w:hyperlink>
            <w:r>
              <w:rPr/>
              <w:t xml:space="preserve">, </w:t>
            </w:r>
            <w:hyperlink w:anchor="S05">
              <w:r>
                <w:rPr>
                  <w:rStyle w:val="Hyperlink"/>
                </w:rPr>
                <w:t>S05</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ASSUR-003</w:t>
              <w:br/>
              <w:t>§47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CT-018, CT-058,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TEST-001</w:t>
              <w:br/>
              <w:t>§48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Assurance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CT-001, CT-002, CT-003, CT-007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TEST-002</w:t>
              <w:br/>
              <w:t>§48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Assurance engineering</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CT-015, CT-018</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TEST-003</w:t>
              <w:br/>
              <w:t>§48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Assurance engineering</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CT-049, CT-069, CT-075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TEST-004</w:t>
              <w:br/>
              <w:t>§48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Assurance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CT-011, CT-012, CT-034, CT-054</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EVID-001</w:t>
              <w:br/>
              <w:t>§49</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Assurance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CT-049, CT-069, CT-075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EVID-002</w:t>
              <w:br/>
              <w:t>§49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Assurance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CT-048, CT-049, CT-069</w:t>
              <w:br/>
              <w:t xml:space="preserve">Basis: </w:t>
            </w:r>
            <w:hyperlink w:anchor="S05">
              <w:r>
                <w:rPr>
                  <w:rStyle w:val="Hyperlink"/>
                </w:rPr>
                <w:t>S05</w:t>
              </w:r>
            </w:hyperlink>
            <w:r>
              <w:rPr/>
              <w:t xml:space="preserve">, </w:t>
            </w:r>
            <w:hyperlink w:anchor="S11">
              <w:r>
                <w:rPr>
                  <w:rStyle w:val="Hyperlink"/>
                </w:rPr>
                <w:t>S11</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EVID-003</w:t>
              <w:br/>
              <w:t>§49</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CT-049, CT-058, CT-069</w:t>
              <w:br/>
              <w:t xml:space="preserve">Basis: </w:t>
            </w:r>
            <w:hyperlink w:anchor="S04">
              <w:r>
                <w:rPr>
                  <w:rStyle w:val="Hyperlink"/>
                </w:rPr>
                <w:t>S04</w:t>
              </w:r>
            </w:hyperlink>
            <w:r>
              <w:rPr/>
              <w:t xml:space="preserve">, </w:t>
            </w:r>
            <w:hyperlink w:anchor="S05">
              <w:r>
                <w:rPr>
                  <w:rStyle w:val="Hyperlink"/>
                </w:rPr>
                <w:t>S05</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OBS-001</w:t>
              <w:br/>
              <w:t>§50</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CT-010, CT-049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OBS-002</w:t>
              <w:br/>
              <w:t>§50</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Security operations</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CT-010, CT-050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OBS-003</w:t>
              <w:br/>
              <w:t>§50</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CT-010, CT-050, CT-068</w:t>
              <w:br/>
              <w:t xml:space="preserve">Basis: </w:t>
            </w:r>
            <w:hyperlink w:anchor="S11">
              <w:r>
                <w:rPr>
                  <w:rStyle w:val="Hyperlink"/>
                </w:rPr>
                <w:t>S11</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CAP-001</w:t>
              <w:br/>
              <w:t>§51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Capacity management</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CT-012, CT-056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CAP-002</w:t>
              <w:br/>
              <w:t>§51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Capacity management</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CT-039, CT-047, CT-056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CAP-003</w:t>
              <w:br/>
              <w:t>§51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management</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CT-074</w:t>
              <w:br/>
              <w:t xml:space="preserve">Basis: </w:t>
            </w:r>
            <w:hyperlink w:anchor="S28">
              <w:r>
                <w:rPr>
                  <w:rStyle w:val="Hyperlink"/>
                </w:rPr>
                <w:t>S28</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FAIL-001</w:t>
              <w:br/>
              <w:t>§52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operations</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CT-011, CT-012, CT-024, CT-052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FAIL-002</w:t>
              <w:br/>
              <w:t>§52</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Assurance engineering</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CT-011, CT-012, CT-027, CT-038, CT-050, CT-054, CT-055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FAIL-003</w:t>
              <w:br/>
              <w:t>§52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operations</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CT-027, CT-038, CT-044, CT-050, CT-054, CT-055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REC-001</w:t>
              <w:br/>
              <w:t>§53</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Continuity management</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CT-052, CT-054, CT-055</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REC-002</w:t>
              <w:br/>
              <w:t>§53</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Continuity management</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CT-052, CT-054, CT-055, CT-060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VULN-001</w:t>
              <w:br/>
              <w:t>§54</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Vulnerability management</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CT-041, CT-042, CT-074</w:t>
              <w:br/>
              <w:t xml:space="preserve">Basis: </w:t>
            </w:r>
            <w:hyperlink w:anchor="S05">
              <w:r>
                <w:rPr>
                  <w:rStyle w:val="Hyperlink"/>
                </w:rPr>
                <w:t>S05</w:t>
              </w:r>
            </w:hyperlink>
            <w:r>
              <w:rPr/>
              <w:t xml:space="preserve">, </w:t>
            </w:r>
            <w:hyperlink w:anchor="S07">
              <w:r>
                <w:rPr>
                  <w:rStyle w:val="Hyperlink"/>
                </w:rPr>
                <w:t>S07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VULN-002</w:t>
              <w:br/>
              <w:t>§54</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Platform engineering</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CT-015, CT-040, CT-041, CT-042</w:t>
              <w:br/>
              <w:t xml:space="preserve">Basis: </w:t>
            </w:r>
            <w:hyperlink w:anchor="S07">
              <w:r>
                <w:rPr>
                  <w:rStyle w:val="Hyperlink"/>
                </w:rPr>
                <w:t>S07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IR-001</w:t>
              <w:br/>
              <w:t>§55</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Incident response</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CT-057, CT-067</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IR-002</w:t>
              <w:br/>
              <w:t>§55</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Incident response</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CT-049, CT-057, CT-058, CT-066</w:t>
              <w:br/>
              <w:t xml:space="preserve">Basis: </w:t>
            </w:r>
            <w:hyperlink w:anchor="S12">
              <w:r>
                <w:rPr>
                  <w:rStyle w:val="Hyperlink"/>
                </w:rPr>
                <w:t>S12</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LIFE-001</w:t>
              <w:br/>
              <w:t>§56</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management</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CT-013, CT-059, CT-070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LIFE-002</w:t>
              <w:br/>
              <w:t>§56</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Service management</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CT-013, CT-053, CT-059, CT-070, CT-078</w:t>
              <w:br/>
              <w:t xml:space="preserve">Basis: </w:t>
            </w:r>
            <w:hyperlink w:anchor="S27">
              <w:r>
                <w:rPr>
                  <w:rStyle w:val="Hyperlink"/>
                </w:rPr>
                <w:t>S27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LIFE-003</w:t>
              <w:br/>
              <w:t>§56</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Data owner</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CT-053, CT-059</w:t>
              <w:br/>
              <w:t xml:space="preserve">Basis: </w:t>
            </w:r>
            <w:hyperlink w:anchor="S27">
              <w:r>
                <w:rPr>
                  <w:rStyle w:val="Hyperlink"/>
                </w:rPr>
                <w:t>S27</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MIG-001</w:t>
              <w:br/>
              <w:t>§57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Migration owner</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CT-058, CT-060, CT-076</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MIG-002</w:t>
              <w:br/>
              <w:t>§57</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Migration owner</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CT-003, CT-060</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MIG-003</w:t>
              <w:br/>
              <w:t>§57</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Migration owner</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CT-054, CT-060, CT-073, CT-078</w:t>
              <w:br/>
              <w:t xml:space="preserve">Basis: </w:t>
            </w:r>
            <w:hyperlink w:anchor="S00">
              <w:r>
                <w:rPr>
                  <w:rStyle w:val="Hyperlink"/>
                </w:rPr>
                <w:t>S00</w:t>
              </w:r>
            </w:hyperlink>
          </w:p>
        </w:tc>
      </w:tr>
    </w:tbl>
    <w:p>
      <w:pPr>
        <w:pStyle w:val="Heading3"/>
        <w:rPr/>
      </w:pPr>
      <w:r>
        <w:rPr/>
        <w:t>Part VII requirements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512"/>
        <w:gridCol w:w="3384"/>
        <w:gridCol w:w="4680"/>
      </w:tblGrid>
      <w:tr>
        <w:trPr>
          <w:tblHeader w:val="true"/>
          <w:cantSplit w:val="true"/>
        </w:trPr>
        <w:tc>
          <w:tcPr>
            <w:tcW w:w="151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ID / chapter</w:t>
            </w:r>
          </w:p>
        </w:tc>
        <w:tc>
          <w:tcPr>
            <w:tcW w:w="338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Accountable owner / status</w:t>
            </w:r>
          </w:p>
        </w:tc>
        <w:tc>
          <w:tcPr>
            <w:tcW w:w="468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Verification procedures / source basis</w:t>
            </w:r>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OPS-001</w:t>
              <w:br/>
              <w:t>§58</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Service management</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CT-019, CT-062, CT-079</w:t>
              <w:br/>
              <w:t xml:space="preserve">Basis: </w:t>
            </w:r>
            <w:hyperlink w:anchor="S05">
              <w:r>
                <w:rPr>
                  <w:rStyle w:val="Hyperlink"/>
                </w:rPr>
                <w:t>S05</w:t>
              </w:r>
            </w:hyperlink>
            <w:r>
              <w:rPr/>
              <w:t xml:space="preserve">, </w:t>
            </w:r>
            <w:hyperlink w:anchor="S28">
              <w:r>
                <w:rPr>
                  <w:rStyle w:val="Hyperlink"/>
                </w:rPr>
                <w:t>S28</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OPS-002</w:t>
              <w:br/>
              <w:t>§58</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management</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CT-019, CT-062,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EXC-001</w:t>
              <w:br/>
              <w:t>§59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Risk owner</w:t>
              <w:br/>
              <w:t>SHALL / retained-v1.0</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CT-058, CT-062</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EXC-002</w:t>
              <w:br/>
              <w:t>§59</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Risk owner</w:t>
              <w:br/>
              <w:t>SHALL / retained-v1.0</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CT-058,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EXC-003</w:t>
              <w:br/>
              <w:t>§59</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Risk owner</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CT-017, CT-058,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ONB-001</w:t>
              <w:br/>
              <w:t>§60</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Service management</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CT-017, CT-018, CT-049, CT-062,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DEL-001</w:t>
              <w:br/>
              <w:t>§61</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Delivery owner</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CT-001, CT-003, CT-004, CT-008, CT-013, CT-052, CT-069</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DEL-002</w:t>
              <w:br/>
              <w:t>§61</w:t>
            </w:r>
          </w:p>
        </w:tc>
        <w:tc>
          <w:tcPr>
            <w:tcW w:w="3384"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Delivery owner</w:t>
              <w:br/>
              <w:t>SHALL / new-v1.1</w:t>
            </w:r>
          </w:p>
        </w:tc>
        <w:tc>
          <w:tcPr>
            <w:tcW w:w="4680" w:type="dxa"/>
            <w:tcBorders>
              <w:top w:val="single" w:sz="2" w:space="0" w:color="D7E0E5"/>
              <w:start w:val="single" w:sz="2" w:space="0" w:color="D7E0E5"/>
              <w:bottom w:val="single" w:sz="2" w:space="0" w:color="D7E0E5"/>
              <w:end w:val="single" w:sz="2" w:space="0" w:color="D7E0E5"/>
            </w:tcBorders>
            <w:shd w:fill="F4F7F9"/>
            <w:vAlign w:val="center"/>
          </w:tcPr>
          <w:p>
            <w:pPr>
              <w:pStyle w:val="IndexText"/>
              <w:keepNext w:val="false"/>
              <w:spacing w:before="0" w:after="60"/>
              <w:rPr/>
            </w:pPr>
            <w:r>
              <w:rPr/>
              <w:t>CT-016, CT-060, CT-073</w:t>
              <w:br/>
              <w:t xml:space="preserve">Basis: </w:t>
            </w:r>
            <w:hyperlink w:anchor="S00">
              <w:r>
                <w:rPr>
                  <w:rStyle w:val="Hyperlink"/>
                </w:rPr>
                <w:t>S00</w:t>
              </w:r>
            </w:hyperlink>
          </w:p>
        </w:tc>
      </w:tr>
      <w:tr>
        <w:trPr>
          <w:cantSplit w:val="true"/>
        </w:trPr>
        <w:tc>
          <w:tcPr>
            <w:tcW w:w="1512"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ACPT-001</w:t>
              <w:br/>
              <w:t>§62</w:t>
            </w:r>
          </w:p>
        </w:tc>
        <w:tc>
          <w:tcPr>
            <w:tcW w:w="3384"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Security authority</w:t>
              <w:br/>
              <w:t>SHALL / new-v1.1</w:t>
            </w:r>
          </w:p>
        </w:tc>
        <w:tc>
          <w:tcPr>
            <w:tcW w:w="4680" w:type="dxa"/>
            <w:tcBorders>
              <w:top w:val="single" w:sz="2" w:space="0" w:color="D7E0E5"/>
              <w:start w:val="single" w:sz="2" w:space="0" w:color="D7E0E5"/>
              <w:bottom w:val="single" w:sz="2" w:space="0" w:color="D7E0E5"/>
              <w:end w:val="single" w:sz="2" w:space="0" w:color="D7E0E5"/>
            </w:tcBorders>
            <w:vAlign w:val="center"/>
          </w:tcPr>
          <w:p>
            <w:pPr>
              <w:pStyle w:val="IndexText"/>
              <w:keepNext w:val="false"/>
              <w:spacing w:before="0" w:after="60"/>
              <w:rPr/>
            </w:pPr>
            <w:r>
              <w:rPr/>
              <w:t>CT-018, CT-049, CT-062, CT-069</w:t>
              <w:br/>
              <w:t xml:space="preserve">Basis: </w:t>
            </w:r>
            <w:hyperlink w:anchor="S04">
              <w:r>
                <w:rPr>
                  <w:rStyle w:val="Hyperlink"/>
                </w:rPr>
                <w:t>S04</w:t>
              </w:r>
            </w:hyperlink>
            <w:r>
              <w:rPr/>
              <w:t xml:space="preserve">, </w:t>
            </w:r>
            <w:hyperlink w:anchor="S05">
              <w:r>
                <w:rPr>
                  <w:rStyle w:val="Hyperlink"/>
                </w:rPr>
                <w:t>S05</w:t>
              </w:r>
            </w:hyperlink>
          </w:p>
        </w:tc>
      </w:tr>
    </w:tbl>
    <w:p>
      <w:pPr>
        <w:pStyle w:val="Heading1"/>
        <w:rPr/>
      </w:pPr>
      <w:r>
        <w:br w:type="page"/>
      </w:r>
      <w:bookmarkStart w:id="379" w:name="__RefHeading___Toc13435_1645000677"/>
      <w:bookmarkStart w:id="380" w:name="app_D"/>
      <w:bookmarkEnd w:id="379"/>
      <w:r>
        <w:rPr/>
        <w:t>Appendix D — Conformance test catalogue</w:t>
      </w:r>
      <w:bookmarkEnd w:id="380"/>
    </w:p>
    <w:p>
      <w:pPr>
        <w:pStyle w:val="BodyText"/>
        <w:rPr/>
      </w:pPr>
      <w:r>
        <w:rPr/>
        <w:t>All 80 entries are execution specifications. Result: NOT RUN for every infrastructure test in this release. Implement each procedure in an authorized target environment, bind exact versions and test-suite digest, record observed evidence, and assess the applicable profile. Local schema/package test results are reported separately and do not satisfy these infrastructure procedures.</w:t>
      </w:r>
    </w:p>
    <w:p>
      <w:pPr>
        <w:pStyle w:val="TestTitle"/>
        <w:spacing w:before="200" w:after="100"/>
        <w:rPr/>
      </w:pPr>
      <w:bookmarkStart w:id="381" w:name="test_CT_001"/>
      <w:r>
        <w:rPr/>
        <w:t>CT-001 — Cross-tenant IPv4 isolation</w:t>
      </w:r>
      <w:bookmarkEnd w:id="381"/>
    </w:p>
    <w:p>
      <w:pPr>
        <w:pStyle w:val="TestBody"/>
        <w:rPr/>
      </w:pPr>
      <w:r>
        <w:rPr>
          <w:b/>
        </w:rPr>
        <w:t xml:space="preserve">Preconditions: </w:t>
      </w:r>
      <w:r>
        <w:rPr/>
        <w:t>Two authorized test tenants; live endpoints and a same-tenant positive control.</w:t>
      </w:r>
    </w:p>
    <w:p>
      <w:pPr>
        <w:pStyle w:val="TestBody"/>
        <w:rPr/>
      </w:pPr>
      <w:r>
        <w:rPr>
          <w:b/>
        </w:rPr>
        <w:t xml:space="preserve">Procedure: </w:t>
      </w:r>
      <w:r>
        <w:rPr/>
        <w:t>Probe disallowed TCP/UDP services in both directions, including same-host and different-host placements. Compare platform policy and edge telemetry.</w:t>
      </w:r>
    </w:p>
    <w:p>
      <w:pPr>
        <w:pStyle w:val="TestBody"/>
        <w:rPr/>
      </w:pPr>
      <w:r>
        <w:rPr>
          <w:b/>
        </w:rPr>
        <w:t xml:space="preserve">Expected outcome: </w:t>
      </w:r>
      <w:r>
        <w:rPr/>
        <w:t>All unapproved flows are denied; positive controls succeed; no misleading pass caused by a dead endpoint.</w:t>
      </w:r>
    </w:p>
    <w:p>
      <w:pPr>
        <w:pStyle w:val="TestBody"/>
        <w:rPr/>
      </w:pPr>
      <w:r>
        <w:rPr>
          <w:b/>
        </w:rPr>
        <w:t xml:space="preserve">Evidence: </w:t>
      </w:r>
      <w:r>
        <w:rPr/>
        <w:t>Probe results, endpoint health, routing/policy snapshots and attribution.</w:t>
      </w:r>
    </w:p>
    <w:p>
      <w:pPr>
        <w:pStyle w:val="Small"/>
        <w:rPr/>
      </w:pPr>
      <w:r>
        <w:rPr/>
        <w:t>Mode: automated  |  Cadence: qualification; security-significant change  |  Execution: not-run</w:t>
      </w:r>
    </w:p>
    <w:p>
      <w:pPr>
        <w:pStyle w:val="Small"/>
        <w:rPr/>
      </w:pPr>
      <w:r>
        <w:rPr/>
        <w:t>Requirement links: TEN-001, SDI-002, TEST-001, DEL-001</w:t>
      </w:r>
    </w:p>
    <w:p>
      <w:pPr>
        <w:pStyle w:val="TestTitle"/>
        <w:spacing w:before="200" w:after="100"/>
        <w:rPr/>
      </w:pPr>
      <w:bookmarkStart w:id="382" w:name="test_CT_002"/>
      <w:r>
        <w:rPr/>
        <w:t>CT-002 — Cross-tenant IPv6 isolation</w:t>
      </w:r>
      <w:bookmarkEnd w:id="382"/>
    </w:p>
    <w:p>
      <w:pPr>
        <w:pStyle w:val="TestBody"/>
        <w:rPr/>
      </w:pPr>
      <w:r>
        <w:rPr>
          <w:b/>
        </w:rPr>
        <w:t xml:space="preserve">Preconditions: </w:t>
      </w:r>
      <w:r>
        <w:rPr/>
        <w:t>IPv6-qualified test endpoints; both tenants have allocated prefixes.</w:t>
      </w:r>
    </w:p>
    <w:p>
      <w:pPr>
        <w:pStyle w:val="TestBody"/>
        <w:rPr/>
      </w:pPr>
      <w:r>
        <w:rPr>
          <w:b/>
        </w:rPr>
        <w:t xml:space="preserve">Procedure: </w:t>
      </w:r>
      <w:r>
        <w:rPr/>
        <w:t>Repeat CT-001 over global/unique-local IPv6; inspect link-local exposure at each segment boundary.</w:t>
      </w:r>
    </w:p>
    <w:p>
      <w:pPr>
        <w:pStyle w:val="TestBody"/>
        <w:rPr/>
      </w:pPr>
      <w:r>
        <w:rPr>
          <w:b/>
        </w:rPr>
        <w:t xml:space="preserve">Expected outcome: </w:t>
      </w:r>
      <w:r>
        <w:rPr/>
        <w:t>Unapproved IPv6 flows are denied without breaking required local IPv6 operation.</w:t>
      </w:r>
    </w:p>
    <w:p>
      <w:pPr>
        <w:pStyle w:val="TestBody"/>
        <w:rPr/>
      </w:pPr>
      <w:r>
        <w:rPr>
          <w:b/>
        </w:rPr>
        <w:t xml:space="preserve">Evidence: </w:t>
      </w:r>
      <w:r>
        <w:rPr/>
        <w:t>IPv6 probes, neighbor state, policy and deny telemetry.</w:t>
      </w:r>
    </w:p>
    <w:p>
      <w:pPr>
        <w:pStyle w:val="Small"/>
        <w:rPr/>
      </w:pPr>
      <w:r>
        <w:rPr/>
        <w:t>Mode: automated  |  Cadence: qualification; security-significant change  |  Execution: not-run</w:t>
      </w:r>
    </w:p>
    <w:p>
      <w:pPr>
        <w:pStyle w:val="Small"/>
        <w:rPr/>
      </w:pPr>
      <w:r>
        <w:rPr/>
        <w:t>Requirement links: TEN-001, SDI-002, IPV6-001, IPV6-002, TEST-001</w:t>
      </w:r>
    </w:p>
    <w:p>
      <w:pPr>
        <w:pStyle w:val="TestTitle"/>
        <w:spacing w:before="200" w:after="100"/>
        <w:rPr/>
      </w:pPr>
      <w:bookmarkStart w:id="383" w:name="test_CT_003"/>
      <w:r>
        <w:rPr/>
        <w:t>CT-003 — Zone-boundary bypass prevention</w:t>
      </w:r>
      <w:bookmarkEnd w:id="383"/>
    </w:p>
    <w:p>
      <w:pPr>
        <w:pStyle w:val="TestBody"/>
        <w:rPr/>
      </w:pPr>
      <w:r>
        <w:rPr>
          <w:b/>
        </w:rPr>
        <w:t xml:space="preserve">Preconditions: </w:t>
      </w:r>
      <w:r>
        <w:rPr/>
        <w:t>Two distinct zone domains with one approved test flow.</w:t>
      </w:r>
    </w:p>
    <w:p>
      <w:pPr>
        <w:pStyle w:val="TestBody"/>
        <w:rPr/>
      </w:pPr>
      <w:r>
        <w:rPr>
          <w:b/>
        </w:rPr>
        <w:t xml:space="preserve">Procedure: </w:t>
      </w:r>
      <w:r>
        <w:rPr/>
        <w:t>Inspect all native, static, policy-based and external-network paths; test same-host, cross-host and shared-attachment cases. Correlate the allowed flow at the declared logical ZIP.</w:t>
      </w:r>
    </w:p>
    <w:p>
      <w:pPr>
        <w:pStyle w:val="TestBody"/>
        <w:rPr/>
      </w:pPr>
      <w:r>
        <w:rPr>
          <w:b/>
        </w:rPr>
        <w:t xml:space="preserve">Expected outcome: </w:t>
      </w:r>
      <w:r>
        <w:rPr/>
        <w:t>No undeclared path exists; allowed traffic is enforced by the ZIP realization; removing that authorization denies it.</w:t>
      </w:r>
    </w:p>
    <w:p>
      <w:pPr>
        <w:pStyle w:val="TestBody"/>
        <w:rPr/>
      </w:pPr>
      <w:r>
        <w:rPr>
          <w:b/>
        </w:rPr>
        <w:t xml:space="preserve">Evidence: </w:t>
      </w:r>
      <w:r>
        <w:rPr/>
        <w:t>Topology graph, routes, packet-path or enforcement trace and policy digests.</w:t>
      </w:r>
    </w:p>
    <w:p>
      <w:pPr>
        <w:pStyle w:val="Small"/>
        <w:rPr/>
      </w:pPr>
      <w:r>
        <w:rPr/>
        <w:t>Mode: automated  |  Cadence: qualification; security-significant change  |  Execution: not-run</w:t>
      </w:r>
    </w:p>
    <w:p>
      <w:pPr>
        <w:pStyle w:val="Small"/>
        <w:rPr/>
      </w:pPr>
      <w:r>
        <w:rPr/>
        <w:t>Requirement links: ARCH-003, ZIP-001, ZIP-007, OVL-002, RTE-002, IPV6-002, NUT-002, NSX-002, NSX-003, TEST-001, MIG-002, DEL-001</w:t>
      </w:r>
    </w:p>
    <w:p>
      <w:pPr>
        <w:pStyle w:val="TestTitle"/>
        <w:spacing w:before="200" w:after="100"/>
        <w:rPr/>
      </w:pPr>
      <w:bookmarkStart w:id="384" w:name="test_CT_004"/>
      <w:r>
        <w:rPr/>
        <w:t>CT-004 — Infrastructure management isolation</w:t>
      </w:r>
      <w:bookmarkEnd w:id="384"/>
    </w:p>
    <w:p>
      <w:pPr>
        <w:pStyle w:val="TestBody"/>
        <w:rPr/>
      </w:pPr>
      <w:r>
        <w:rPr>
          <w:b/>
        </w:rPr>
        <w:t xml:space="preserve">Preconditions: </w:t>
      </w:r>
      <w:r>
        <w:rPr/>
        <w:t>Inventory of management APIs, BMCs, consoles, storage administration and backup administration.</w:t>
      </w:r>
    </w:p>
    <w:p>
      <w:pPr>
        <w:pStyle w:val="TestBody"/>
        <w:rPr/>
      </w:pPr>
      <w:r>
        <w:rPr>
          <w:b/>
        </w:rPr>
        <w:t xml:space="preserve">Procedure: </w:t>
      </w:r>
      <w:r>
        <w:rPr/>
        <w:t>From test workloads, attempt the enumerated management endpoints over all enabled families. Separately verify approved management access.</w:t>
      </w:r>
    </w:p>
    <w:p>
      <w:pPr>
        <w:pStyle w:val="TestBody"/>
        <w:rPr/>
      </w:pPr>
      <w:r>
        <w:rPr>
          <w:b/>
        </w:rPr>
        <w:t xml:space="preserve">Expected outcome: </w:t>
      </w:r>
      <w:r>
        <w:rPr/>
        <w:t>Workloads cannot access infrastructure management; dedicated authorized administration still works.</w:t>
      </w:r>
    </w:p>
    <w:p>
      <w:pPr>
        <w:pStyle w:val="TestBody"/>
        <w:rPr/>
      </w:pPr>
      <w:r>
        <w:rPr>
          <w:b/>
        </w:rPr>
        <w:t xml:space="preserve">Evidence: </w:t>
      </w:r>
      <w:r>
        <w:rPr/>
        <w:t>Inventory coverage, negative probes and management access audit.</w:t>
      </w:r>
    </w:p>
    <w:p>
      <w:pPr>
        <w:pStyle w:val="Small"/>
        <w:rPr/>
      </w:pPr>
      <w:r>
        <w:rPr/>
        <w:t>Mode: automated  |  Cadence: qualification; security-significant change  |  Execution: not-run</w:t>
      </w:r>
    </w:p>
    <w:p>
      <w:pPr>
        <w:pStyle w:val="Small"/>
        <w:rPr/>
      </w:pPr>
      <w:r>
        <w:rPr/>
        <w:t>Requirement links: ARCH-004, MODEL-002, ZIP-004, MGT-001, MGT-005, BKP-001, DEL-001</w:t>
      </w:r>
    </w:p>
    <w:p>
      <w:pPr>
        <w:pStyle w:val="TestTitle"/>
        <w:spacing w:before="200" w:after="100"/>
        <w:rPr/>
      </w:pPr>
      <w:bookmarkStart w:id="385" w:name="test_CT_005"/>
      <w:r>
        <w:rPr/>
        <w:t>CT-005 — Default Internet denial</w:t>
      </w:r>
      <w:bookmarkEnd w:id="385"/>
    </w:p>
    <w:p>
      <w:pPr>
        <w:pStyle w:val="TestBody"/>
        <w:rPr/>
      </w:pPr>
      <w:r>
        <w:rPr>
          <w:b/>
        </w:rPr>
        <w:t xml:space="preserve">Preconditions: </w:t>
      </w:r>
      <w:r>
        <w:rPr/>
        <w:t>WSD has no egress Exposure; a provider-controlled external test endpoint is available.</w:t>
      </w:r>
    </w:p>
    <w:p>
      <w:pPr>
        <w:pStyle w:val="TestBody"/>
        <w:rPr/>
      </w:pPr>
      <w:r>
        <w:rPr>
          <w:b/>
        </w:rPr>
        <w:t xml:space="preserve">Procedure: </w:t>
      </w:r>
      <w:r>
        <w:rPr/>
        <w:t>Attempt direct and proxy-mediated external access, including IPv6, alternate DNS and common tunnel paths allowed by the test plan.</w:t>
      </w:r>
    </w:p>
    <w:p>
      <w:pPr>
        <w:pStyle w:val="TestBody"/>
        <w:rPr/>
      </w:pPr>
      <w:r>
        <w:rPr>
          <w:b/>
        </w:rPr>
        <w:t xml:space="preserve">Expected outcome: </w:t>
      </w:r>
      <w:r>
        <w:rPr/>
        <w:t>No unapproved egress succeeds; no default-route or NAT shortcut defeats policy.</w:t>
      </w:r>
    </w:p>
    <w:p>
      <w:pPr>
        <w:pStyle w:val="TestBody"/>
        <w:rPr/>
      </w:pPr>
      <w:r>
        <w:rPr>
          <w:b/>
        </w:rPr>
        <w:t xml:space="preserve">Evidence: </w:t>
      </w:r>
      <w:r>
        <w:rPr/>
        <w:t>Route/NAT inventory, probes and egress logs.</w:t>
      </w:r>
    </w:p>
    <w:p>
      <w:pPr>
        <w:pStyle w:val="Small"/>
        <w:rPr/>
      </w:pPr>
      <w:r>
        <w:rPr/>
        <w:t>Mode: automated  |  Cadence: qualification; security-significant change  |  Execution: not-run</w:t>
      </w:r>
    </w:p>
    <w:p>
      <w:pPr>
        <w:pStyle w:val="Small"/>
        <w:rPr/>
      </w:pPr>
      <w:r>
        <w:rPr/>
        <w:t>Requirement links: EGR-001, OS-001</w:t>
      </w:r>
    </w:p>
    <w:p>
      <w:pPr>
        <w:pStyle w:val="TestTitle"/>
        <w:spacing w:before="200" w:after="100"/>
        <w:rPr/>
      </w:pPr>
      <w:bookmarkStart w:id="386" w:name="test_CT_006"/>
      <w:r>
        <w:rPr/>
        <w:t>CT-006 — Public ingress protection</w:t>
      </w:r>
      <w:bookmarkEnd w:id="386"/>
    </w:p>
    <w:p>
      <w:pPr>
        <w:pStyle w:val="TestBody"/>
        <w:rPr/>
      </w:pPr>
      <w:r>
        <w:rPr>
          <w:b/>
        </w:rPr>
        <w:t xml:space="preserve">Preconditions: </w:t>
      </w:r>
      <w:r>
        <w:rPr/>
        <w:t>Internal test service and a controlled external test client.</w:t>
      </w:r>
    </w:p>
    <w:p>
      <w:pPr>
        <w:pStyle w:val="TestBody"/>
        <w:rPr/>
      </w:pPr>
      <w:r>
        <w:rPr>
          <w:b/>
        </w:rPr>
        <w:t xml:space="preserve">Procedure: </w:t>
      </w:r>
      <w:r>
        <w:rPr/>
        <w:t>Probe an internal workload directly, then exercise a separately approved PAZ ingress service.</w:t>
      </w:r>
    </w:p>
    <w:p>
      <w:pPr>
        <w:pStyle w:val="TestBody"/>
        <w:rPr/>
      </w:pPr>
      <w:r>
        <w:rPr>
          <w:b/>
        </w:rPr>
        <w:t xml:space="preserve">Expected outcome: </w:t>
      </w:r>
      <w:r>
        <w:rPr/>
        <w:t>Direct exposure is denied; the approved ingress reaches only its declared backend and port.</w:t>
      </w:r>
    </w:p>
    <w:p>
      <w:pPr>
        <w:pStyle w:val="TestBody"/>
        <w:rPr/>
      </w:pPr>
      <w:r>
        <w:rPr>
          <w:b/>
        </w:rPr>
        <w:t xml:space="preserve">Evidence: </w:t>
      </w:r>
      <w:r>
        <w:rPr/>
        <w:t>Exposure object, DNS/certificate records and ingress/backend traces.</w:t>
      </w:r>
    </w:p>
    <w:p>
      <w:pPr>
        <w:pStyle w:val="Small"/>
        <w:rPr/>
      </w:pPr>
      <w:r>
        <w:rPr/>
        <w:t>Mode: automated  |  Cadence: qualification; security-significant change  |  Execution: not-run</w:t>
      </w:r>
    </w:p>
    <w:p>
      <w:pPr>
        <w:pStyle w:val="Small"/>
        <w:rPr/>
      </w:pPr>
      <w:r>
        <w:rPr/>
        <w:t>Requirement links: ING-001, ING-002</w:t>
      </w:r>
    </w:p>
    <w:p>
      <w:pPr>
        <w:pStyle w:val="TestTitle"/>
        <w:spacing w:before="200" w:after="100"/>
        <w:rPr/>
      </w:pPr>
      <w:bookmarkStart w:id="387" w:name="test_CT_007"/>
      <w:r>
        <w:rPr/>
        <w:t>CT-007 — Approved stateful flow</w:t>
      </w:r>
      <w:bookmarkEnd w:id="387"/>
    </w:p>
    <w:p>
      <w:pPr>
        <w:pStyle w:val="TestBody"/>
        <w:rPr/>
      </w:pPr>
      <w:r>
        <w:rPr>
          <w:b/>
        </w:rPr>
        <w:t xml:space="preserve">Preconditions: </w:t>
      </w:r>
      <w:r>
        <w:rPr/>
        <w:t>Versioned FlowProfile and approved source/destination identities.</w:t>
      </w:r>
    </w:p>
    <w:p>
      <w:pPr>
        <w:pStyle w:val="TestBody"/>
        <w:rPr/>
      </w:pPr>
      <w:r>
        <w:rPr>
          <w:b/>
        </w:rPr>
        <w:t xml:space="preserve">Procedure: </w:t>
      </w:r>
      <w:r>
        <w:rPr/>
        <w:t>Open the authorized application session and its reply path; test unsolicited reverse sessions and a nearby disallowed service.</w:t>
      </w:r>
    </w:p>
    <w:p>
      <w:pPr>
        <w:pStyle w:val="TestBody"/>
        <w:rPr/>
      </w:pPr>
      <w:r>
        <w:rPr>
          <w:b/>
        </w:rPr>
        <w:t xml:space="preserve">Expected outcome: </w:t>
      </w:r>
      <w:r>
        <w:rPr/>
        <w:t>Intended request/reply works; reverse initiation is allowed only when separately declared.</w:t>
      </w:r>
    </w:p>
    <w:p>
      <w:pPr>
        <w:pStyle w:val="TestBody"/>
        <w:rPr/>
      </w:pPr>
      <w:r>
        <w:rPr>
          <w:b/>
        </w:rPr>
        <w:t xml:space="preserve">Evidence: </w:t>
      </w:r>
      <w:r>
        <w:rPr/>
        <w:t>Flow intent, compiled rule and application-level probe results.</w:t>
      </w:r>
    </w:p>
    <w:p>
      <w:pPr>
        <w:pStyle w:val="Small"/>
        <w:rPr/>
      </w:pPr>
      <w:r>
        <w:rPr/>
        <w:t>Mode: automated  |  Cadence: each deployment; flow change  |  Execution: not-run</w:t>
      </w:r>
    </w:p>
    <w:p>
      <w:pPr>
        <w:pStyle w:val="Small"/>
        <w:rPr/>
      </w:pPr>
      <w:r>
        <w:rPr/>
        <w:t>Requirement links: ZIP-003, NSX-002, FLOW-001, TEST-001</w:t>
      </w:r>
    </w:p>
    <w:p>
      <w:pPr>
        <w:pStyle w:val="TestTitle"/>
        <w:spacing w:before="200" w:after="100"/>
        <w:rPr/>
      </w:pPr>
      <w:bookmarkStart w:id="388" w:name="test_CT_008"/>
      <w:r>
        <w:rPr/>
        <w:t>CT-008 — Service-binding scope</w:t>
      </w:r>
      <w:bookmarkEnd w:id="388"/>
    </w:p>
    <w:p>
      <w:pPr>
        <w:pStyle w:val="TestBody"/>
        <w:rPr/>
      </w:pPr>
      <w:r>
        <w:rPr>
          <w:b/>
        </w:rPr>
        <w:t xml:space="preserve">Preconditions: </w:t>
      </w:r>
      <w:r>
        <w:rPr/>
        <w:t>One bound and one unbound provider service endpoint.</w:t>
      </w:r>
    </w:p>
    <w:p>
      <w:pPr>
        <w:pStyle w:val="TestBody"/>
        <w:rPr/>
      </w:pPr>
      <w:r>
        <w:rPr>
          <w:b/>
        </w:rPr>
        <w:t xml:space="preserve">Procedure: </w:t>
      </w:r>
      <w:r>
        <w:rPr/>
        <w:t>Exercise required DNS, time, identity or backup consumption; probe the rest of the service subnet and administrative interface.</w:t>
      </w:r>
    </w:p>
    <w:p>
      <w:pPr>
        <w:pStyle w:val="TestBody"/>
        <w:rPr/>
      </w:pPr>
      <w:r>
        <w:rPr>
          <w:b/>
        </w:rPr>
        <w:t xml:space="preserve">Expected outcome: </w:t>
      </w:r>
      <w:r>
        <w:rPr/>
        <w:t>Only declared service endpoints/directions are reachable; consuming one service does not expose its subnet or management.</w:t>
      </w:r>
    </w:p>
    <w:p>
      <w:pPr>
        <w:pStyle w:val="TestBody"/>
        <w:rPr/>
      </w:pPr>
      <w:r>
        <w:rPr>
          <w:b/>
        </w:rPr>
        <w:t xml:space="preserve">Evidence: </w:t>
      </w:r>
      <w:r>
        <w:rPr/>
        <w:t>Binding resolution, probes and service-side attribution.</w:t>
      </w:r>
    </w:p>
    <w:p>
      <w:pPr>
        <w:pStyle w:val="Small"/>
        <w:rPr/>
      </w:pPr>
      <w:r>
        <w:rPr/>
        <w:t>Mode: automated  |  Cadence: each deployment; binding change  |  Execution: not-run</w:t>
      </w:r>
    </w:p>
    <w:p>
      <w:pPr>
        <w:pStyle w:val="Small"/>
        <w:rPr/>
      </w:pPr>
      <w:r>
        <w:rPr/>
        <w:t>Requirement links: INV-004, MODEL-002, SVC-001, SVC-002, SVC-003, DEL-001</w:t>
      </w:r>
    </w:p>
    <w:p>
      <w:pPr>
        <w:pStyle w:val="TestTitle"/>
        <w:spacing w:before="200" w:after="100"/>
        <w:rPr/>
      </w:pPr>
      <w:bookmarkStart w:id="389" w:name="test_CT_009"/>
      <w:r>
        <w:rPr/>
        <w:t>CT-009 — Route-authority integrity</w:t>
      </w:r>
      <w:bookmarkEnd w:id="389"/>
    </w:p>
    <w:p>
      <w:pPr>
        <w:pStyle w:val="TestBody"/>
        <w:rPr/>
      </w:pPr>
      <w:r>
        <w:rPr>
          <w:b/>
        </w:rPr>
        <w:t xml:space="preserve">Preconditions: </w:t>
      </w:r>
      <w:r>
        <w:rPr/>
        <w:t>Approved route graph and realized routing snapshots.</w:t>
      </w:r>
    </w:p>
    <w:p>
      <w:pPr>
        <w:pStyle w:val="TestBody"/>
        <w:rPr/>
      </w:pPr>
      <w:r>
        <w:rPr>
          <w:b/>
        </w:rPr>
        <w:t xml:space="preserve">Procedure: </w:t>
      </w:r>
      <w:r>
        <w:rPr/>
        <w:t>Compare imported/exported prefixes, defaults, next hops and BGP neighbors with the compiled plan; check recursive next-hop reachability and summaries.</w:t>
      </w:r>
    </w:p>
    <w:p>
      <w:pPr>
        <w:pStyle w:val="TestBody"/>
        <w:rPr/>
      </w:pPr>
      <w:r>
        <w:rPr>
          <w:b/>
        </w:rPr>
        <w:t xml:space="preserve">Expected outcome: </w:t>
      </w:r>
      <w:r>
        <w:rPr/>
        <w:t>No unauthorized route or advertisement exists; summaries cannot expose excluded domains.</w:t>
      </w:r>
    </w:p>
    <w:p>
      <w:pPr>
        <w:pStyle w:val="TestBody"/>
        <w:rPr/>
      </w:pPr>
      <w:r>
        <w:rPr>
          <w:b/>
        </w:rPr>
        <w:t xml:space="preserve">Evidence: </w:t>
      </w:r>
      <w:r>
        <w:rPr/>
        <w:t>Compiler output, RIB/FIB snapshots and semantic diff.</w:t>
      </w:r>
    </w:p>
    <w:p>
      <w:pPr>
        <w:pStyle w:val="Small"/>
        <w:rPr/>
      </w:pPr>
      <w:r>
        <w:rPr/>
        <w:t>Mode: automated  |  Cadence: qualification; security-significant change  |  Execution: not-run</w:t>
      </w:r>
    </w:p>
    <w:p>
      <w:pPr>
        <w:pStyle w:val="Small"/>
        <w:rPr/>
      </w:pPr>
      <w:r>
        <w:rPr/>
        <w:t>Requirement links: INV-003, RTE-001, RTE-002, RTE-003, RTE-004, FAB-002, EVPN-001, NSX-002, POL-002</w:t>
      </w:r>
    </w:p>
    <w:p>
      <w:pPr>
        <w:pStyle w:val="TestTitle"/>
        <w:spacing w:before="200" w:after="100"/>
        <w:rPr/>
      </w:pPr>
      <w:bookmarkStart w:id="390" w:name="test_CT_010"/>
      <w:r>
        <w:rPr/>
        <w:t>CT-010 — Security-event attribution</w:t>
      </w:r>
      <w:bookmarkEnd w:id="390"/>
    </w:p>
    <w:p>
      <w:pPr>
        <w:pStyle w:val="TestBody"/>
        <w:rPr/>
      </w:pPr>
      <w:r>
        <w:rPr>
          <w:b/>
        </w:rPr>
        <w:t xml:space="preserve">Preconditions: </w:t>
      </w:r>
      <w:r>
        <w:rPr/>
        <w:t>Central collector reachable and time synchronization healthy.</w:t>
      </w:r>
    </w:p>
    <w:p>
      <w:pPr>
        <w:pStyle w:val="TestBody"/>
        <w:rPr/>
      </w:pPr>
      <w:r>
        <w:rPr>
          <w:b/>
        </w:rPr>
        <w:t xml:space="preserve">Procedure: </w:t>
      </w:r>
      <w:r>
        <w:rPr/>
        <w:t>Generate an allowed and denied flow plus an administrative change; find the correlated records centrally.</w:t>
      </w:r>
    </w:p>
    <w:p>
      <w:pPr>
        <w:pStyle w:val="TestBody"/>
        <w:rPr/>
      </w:pPr>
      <w:r>
        <w:rPr>
          <w:b/>
        </w:rPr>
        <w:t xml:space="preserve">Expected outcome: </w:t>
      </w:r>
      <w:r>
        <w:rPr/>
        <w:t>Records identify tenant, WSD/domain, policy, actor, timestamp and deployment; timestamps satisfy the logging profile.</w:t>
      </w:r>
    </w:p>
    <w:p>
      <w:pPr>
        <w:pStyle w:val="TestBody"/>
        <w:rPr/>
      </w:pPr>
      <w:r>
        <w:rPr>
          <w:b/>
        </w:rPr>
        <w:t xml:space="preserve">Evidence: </w:t>
      </w:r>
      <w:r>
        <w:rPr/>
        <w:t>Events, correlation query and collection-delay measurement.</w:t>
      </w:r>
    </w:p>
    <w:p>
      <w:pPr>
        <w:pStyle w:val="Small"/>
        <w:rPr/>
      </w:pPr>
      <w:r>
        <w:rPr/>
        <w:t>Mode: automated  |  Cadence: each deployment; scheduled synthetic  |  Execution: not-run</w:t>
      </w:r>
    </w:p>
    <w:p>
      <w:pPr>
        <w:pStyle w:val="Small"/>
        <w:rPr/>
      </w:pPr>
      <w:r>
        <w:rPr/>
        <w:t>Requirement links: EGR-002, OBS-001, OBS-002, OBS-003</w:t>
      </w:r>
    </w:p>
    <w:p>
      <w:pPr>
        <w:pStyle w:val="TestTitle"/>
        <w:spacing w:before="200" w:after="100"/>
        <w:rPr/>
      </w:pPr>
      <w:bookmarkStart w:id="391" w:name="test_CT_011"/>
      <w:r>
        <w:rPr/>
        <w:t>CT-011 — Control-plane loss</w:t>
      </w:r>
      <w:bookmarkEnd w:id="391"/>
    </w:p>
    <w:p>
      <w:pPr>
        <w:pStyle w:val="TestBody"/>
        <w:rPr/>
      </w:pPr>
      <w:r>
        <w:rPr>
          <w:b/>
        </w:rPr>
        <w:t xml:space="preserve">Preconditions: </w:t>
      </w:r>
      <w:r>
        <w:rPr/>
        <w:t>Approved isolated test environment; outage and restoration plan.</w:t>
      </w:r>
    </w:p>
    <w:p>
      <w:pPr>
        <w:pStyle w:val="TestBody"/>
        <w:rPr/>
      </w:pPr>
      <w:r>
        <w:rPr>
          <w:b/>
        </w:rPr>
        <w:t xml:space="preserve">Procedure: </w:t>
      </w:r>
      <w:r>
        <w:rPr/>
        <w:t>Remove catalogue/controller or platform-management connectivity independently; observe existing enforcement and attempts to provision.</w:t>
      </w:r>
    </w:p>
    <w:p>
      <w:pPr>
        <w:pStyle w:val="TestBody"/>
        <w:rPr/>
      </w:pPr>
      <w:r>
        <w:rPr>
          <w:b/>
        </w:rPr>
        <w:t xml:space="preserve">Expected outcome: </w:t>
      </w:r>
      <w:r>
        <w:rPr/>
        <w:t>Existing approved paths retain enforcement; new unsafe changes stop; recovery converges without bypass.</w:t>
      </w:r>
    </w:p>
    <w:p>
      <w:pPr>
        <w:pStyle w:val="TestBody"/>
        <w:rPr/>
      </w:pPr>
      <w:r>
        <w:rPr>
          <w:b/>
        </w:rPr>
        <w:t xml:space="preserve">Evidence: </w:t>
      </w:r>
      <w:r>
        <w:rPr/>
        <w:t>Before/during/after policy snapshots, alerts and operation journal.</w:t>
      </w:r>
    </w:p>
    <w:p>
      <w:pPr>
        <w:pStyle w:val="Small"/>
        <w:rPr/>
      </w:pPr>
      <w:r>
        <w:rPr/>
        <w:t>Mode: controlled-fault  |  Cadence: qualification; relevant upgrade  |  Execution: not-run</w:t>
      </w:r>
    </w:p>
    <w:p>
      <w:pPr>
        <w:pStyle w:val="Small"/>
        <w:rPr/>
      </w:pPr>
      <w:r>
        <w:rPr/>
        <w:t>Requirement links: INV-007, AUTO-001, TEST-004, FAIL-001, FAIL-002</w:t>
      </w:r>
    </w:p>
    <w:p>
      <w:pPr>
        <w:pStyle w:val="TestTitle"/>
        <w:spacing w:before="200" w:after="100"/>
        <w:rPr/>
      </w:pPr>
      <w:bookmarkStart w:id="392" w:name="test_CT_012"/>
      <w:r>
        <w:rPr/>
        <w:t>CT-012 — Security-edge node failure</w:t>
      </w:r>
      <w:bookmarkEnd w:id="392"/>
    </w:p>
    <w:p>
      <w:pPr>
        <w:pStyle w:val="TestBody"/>
        <w:rPr/>
      </w:pPr>
      <w:r>
        <w:rPr>
          <w:b/>
        </w:rPr>
        <w:t xml:space="preserve">Preconditions: </w:t>
      </w:r>
      <w:r>
        <w:rPr/>
        <w:t>Measured production-like load within the selected profile; spare capacity available.</w:t>
      </w:r>
    </w:p>
    <w:p>
      <w:pPr>
        <w:pStyle w:val="TestBody"/>
        <w:rPr/>
      </w:pPr>
      <w:r>
        <w:rPr>
          <w:b/>
        </w:rPr>
        <w:t xml:space="preserve">Procedure: </w:t>
      </w:r>
      <w:r>
        <w:rPr/>
        <w:t>Fail one edge node or its uplink under an approved test plan and measure sessions, drops, recovery and policy continuity.</w:t>
      </w:r>
    </w:p>
    <w:p>
      <w:pPr>
        <w:pStyle w:val="TestBody"/>
        <w:rPr/>
      </w:pPr>
      <w:r>
        <w:rPr>
          <w:b/>
        </w:rPr>
        <w:t xml:space="preserve">Expected outcome: </w:t>
      </w:r>
      <w:r>
        <w:rPr/>
        <w:t>No unauthorized traffic is permitted; recovery and remaining capacity meet the accepted profile.</w:t>
      </w:r>
    </w:p>
    <w:p>
      <w:pPr>
        <w:pStyle w:val="TestBody"/>
        <w:rPr/>
      </w:pPr>
      <w:r>
        <w:rPr>
          <w:b/>
        </w:rPr>
        <w:t xml:space="preserve">Evidence: </w:t>
      </w:r>
      <w:r>
        <w:rPr/>
        <w:t>Time-series traffic, failover timeline and enforcement traces.</w:t>
      </w:r>
    </w:p>
    <w:p>
      <w:pPr>
        <w:pStyle w:val="Small"/>
        <w:rPr/>
      </w:pPr>
      <w:r>
        <w:rPr/>
        <w:t>Mode: controlled-fault  |  Cadence: qualification; scheduled resilience exercise  |  Execution: not-run</w:t>
      </w:r>
    </w:p>
    <w:p>
      <w:pPr>
        <w:pStyle w:val="Small"/>
        <w:rPr/>
      </w:pPr>
      <w:r>
        <w:rPr/>
        <w:t>Requirement links: REL-001, REL-002, TEST-004, CAP-001, FAIL-001, FAIL-002</w:t>
      </w:r>
    </w:p>
    <w:p>
      <w:pPr>
        <w:pStyle w:val="TestTitle"/>
        <w:spacing w:before="200" w:after="100"/>
        <w:rPr/>
      </w:pPr>
      <w:bookmarkStart w:id="393" w:name="test_CT_013"/>
      <w:r>
        <w:rPr/>
        <w:t>CT-013 — Offboarding residuals</w:t>
      </w:r>
      <w:bookmarkEnd w:id="393"/>
    </w:p>
    <w:p>
      <w:pPr>
        <w:pStyle w:val="TestBody"/>
        <w:rPr/>
      </w:pPr>
      <w:r>
        <w:rPr>
          <w:b/>
        </w:rPr>
        <w:t xml:space="preserve">Preconditions: </w:t>
      </w:r>
      <w:r>
        <w:rPr/>
        <w:t>Disposable WSD, retention policy and resource graph recorded.</w:t>
      </w:r>
    </w:p>
    <w:p>
      <w:pPr>
        <w:pStyle w:val="TestBody"/>
        <w:rPr/>
      </w:pPr>
      <w:r>
        <w:rPr>
          <w:b/>
        </w:rPr>
        <w:t xml:space="preserve">Procedure: </w:t>
      </w:r>
      <w:r>
        <w:rPr/>
        <w:t>Run retirement; query routes, policy, identities, addresses, DNS, certificates and storage/backup records by stable WSD ID.</w:t>
      </w:r>
    </w:p>
    <w:p>
      <w:pPr>
        <w:pStyle w:val="TestBody"/>
        <w:rPr/>
      </w:pPr>
      <w:r>
        <w:rPr>
          <w:b/>
        </w:rPr>
        <w:t xml:space="preserve">Expected outcome: </w:t>
      </w:r>
      <w:r>
        <w:rPr/>
        <w:t>Active connectivity and grants are removed; retained copies are explicitly owned/locked; the tombstone explains every remaining object.</w:t>
      </w:r>
    </w:p>
    <w:p>
      <w:pPr>
        <w:pStyle w:val="TestBody"/>
        <w:rPr/>
      </w:pPr>
      <w:r>
        <w:rPr>
          <w:b/>
        </w:rPr>
        <w:t xml:space="preserve">Evidence: </w:t>
      </w:r>
      <w:r>
        <w:rPr/>
        <w:t>Deletion ledger, scans, retention receipts and sanitization references.</w:t>
      </w:r>
    </w:p>
    <w:p>
      <w:pPr>
        <w:pStyle w:val="Small"/>
        <w:rPr/>
      </w:pPr>
      <w:r>
        <w:rPr/>
        <w:t>Mode: automated  |  Cadence: qualification; security-significant change  |  Execution: not-run</w:t>
      </w:r>
    </w:p>
    <w:p>
      <w:pPr>
        <w:pStyle w:val="Small"/>
        <w:rPr/>
      </w:pPr>
      <w:r>
        <w:rPr/>
        <w:t>Requirement links: IPAM-003, LIFE-001, LIFE-002, DEL-001</w:t>
      </w:r>
    </w:p>
    <w:p>
      <w:pPr>
        <w:pStyle w:val="TestTitle"/>
        <w:spacing w:before="200" w:after="100"/>
        <w:rPr/>
      </w:pPr>
      <w:bookmarkStart w:id="394" w:name="test_CT_014"/>
      <w:r>
        <w:rPr/>
        <w:t>CT-014 — Security drift detection</w:t>
      </w:r>
      <w:bookmarkEnd w:id="394"/>
    </w:p>
    <w:p>
      <w:pPr>
        <w:pStyle w:val="TestBody"/>
        <w:rPr/>
      </w:pPr>
      <w:r>
        <w:rPr>
          <w:b/>
        </w:rPr>
        <w:t xml:space="preserve">Preconditions: </w:t>
      </w:r>
      <w:r>
        <w:rPr/>
        <w:t>Non-production object with a known authorized baseline.</w:t>
      </w:r>
    </w:p>
    <w:p>
      <w:pPr>
        <w:pStyle w:val="TestBody"/>
        <w:rPr/>
      </w:pPr>
      <w:r>
        <w:rPr>
          <w:b/>
        </w:rPr>
        <w:t xml:space="preserve">Procedure: </w:t>
      </w:r>
      <w:r>
        <w:rPr/>
        <w:t>Introduce a reversible out-of-band security change; observe detection, containment decision and reconciliation.</w:t>
      </w:r>
    </w:p>
    <w:p>
      <w:pPr>
        <w:pStyle w:val="TestBody"/>
        <w:rPr/>
      </w:pPr>
      <w:r>
        <w:rPr>
          <w:b/>
        </w:rPr>
        <w:t xml:space="preserve">Expected outcome: </w:t>
      </w:r>
      <w:r>
        <w:rPr/>
        <w:t>Drift changes technical compliance status and alerts the owner; incident containment is not silently reverted.</w:t>
      </w:r>
    </w:p>
    <w:p>
      <w:pPr>
        <w:pStyle w:val="TestBody"/>
        <w:rPr/>
      </w:pPr>
      <w:r>
        <w:rPr>
          <w:b/>
        </w:rPr>
        <w:t xml:space="preserve">Evidence: </w:t>
      </w:r>
      <w:r>
        <w:rPr/>
        <w:t>Drift event, policy generation and recovery journal.</w:t>
      </w:r>
    </w:p>
    <w:p>
      <w:pPr>
        <w:pStyle w:val="Small"/>
        <w:rPr/>
      </w:pPr>
      <w:r>
        <w:rPr/>
        <w:t>Mode: controlled-fault  |  Cadence: qualification; drift-engine change  |  Execution: not-run</w:t>
      </w:r>
    </w:p>
    <w:p>
      <w:pPr>
        <w:pStyle w:val="Small"/>
        <w:rPr/>
      </w:pPr>
      <w:r>
        <w:rPr/>
        <w:t>Requirement links: IMG-002, DRIFT-001, DRIFT-002</w:t>
      </w:r>
    </w:p>
    <w:p>
      <w:pPr>
        <w:pStyle w:val="TestTitle"/>
        <w:spacing w:before="200" w:after="100"/>
        <w:rPr/>
      </w:pPr>
      <w:bookmarkStart w:id="395" w:name="test_CT_015"/>
      <w:r>
        <w:rPr/>
        <w:t>CT-015 — Platform/provider upgrade regression</w:t>
      </w:r>
      <w:bookmarkEnd w:id="395"/>
    </w:p>
    <w:p>
      <w:pPr>
        <w:pStyle w:val="TestBody"/>
        <w:rPr/>
      </w:pPr>
      <w:r>
        <w:rPr>
          <w:b/>
        </w:rPr>
        <w:t xml:space="preserve">Preconditions: </w:t>
      </w:r>
      <w:r>
        <w:rPr/>
        <w:t>Exact old/new tuples, release notes and canary tenant.</w:t>
      </w:r>
    </w:p>
    <w:p>
      <w:pPr>
        <w:pStyle w:val="TestBody"/>
        <w:rPr/>
      </w:pPr>
      <w:r>
        <w:rPr>
          <w:b/>
        </w:rPr>
        <w:t xml:space="preserve">Procedure: </w:t>
      </w:r>
      <w:r>
        <w:rPr/>
        <w:t>Run the applicable suite against the new tuple, including create/update/import/delete and failure paths; evaluate rollback or forward repair.</w:t>
      </w:r>
    </w:p>
    <w:p>
      <w:pPr>
        <w:pStyle w:val="TestBody"/>
        <w:rPr/>
      </w:pPr>
      <w:r>
        <w:rPr>
          <w:b/>
        </w:rPr>
        <w:t xml:space="preserve">Expected outcome: </w:t>
      </w:r>
      <w:r>
        <w:rPr/>
        <w:t>No mandatory outcome regresses; the new certification is approved before broad placement.</w:t>
      </w:r>
    </w:p>
    <w:p>
      <w:pPr>
        <w:pStyle w:val="TestBody"/>
        <w:rPr/>
      </w:pPr>
      <w:r>
        <w:rPr>
          <w:b/>
        </w:rPr>
        <w:t xml:space="preserve">Evidence: </w:t>
      </w:r>
      <w:r>
        <w:rPr/>
        <w:t>Tuple manifest, test reports, limitations and promotion decision.</w:t>
      </w:r>
    </w:p>
    <w:p>
      <w:pPr>
        <w:pStyle w:val="Small"/>
        <w:rPr/>
      </w:pPr>
      <w:r>
        <w:rPr/>
        <w:t>Mode: automated  |  Cadence: qualification; security-significant change  |  Execution: not-run</w:t>
      </w:r>
    </w:p>
    <w:p>
      <w:pPr>
        <w:pStyle w:val="Small"/>
        <w:rPr/>
      </w:pPr>
      <w:r>
        <w:rPr/>
        <w:t>Requirement links: PORT-001, QUAL-001, NUT-001, NUT-004, NSX-003, OS-003, FUT-001, TF-002, TEST-002, VULN-002</w:t>
      </w:r>
    </w:p>
    <w:p>
      <w:pPr>
        <w:pStyle w:val="TestTitle"/>
        <w:spacing w:before="200" w:after="100"/>
        <w:rPr/>
      </w:pPr>
      <w:bookmarkStart w:id="396" w:name="test_CT_016"/>
      <w:r>
        <w:rPr/>
        <w:t>CT-016 — Portable contract and object identity</w:t>
      </w:r>
      <w:bookmarkEnd w:id="396"/>
    </w:p>
    <w:p>
      <w:pPr>
        <w:pStyle w:val="TestBody"/>
        <w:rPr/>
      </w:pPr>
      <w:r>
        <w:rPr>
          <w:b/>
        </w:rPr>
        <w:t xml:space="preserve">Preconditions: </w:t>
      </w:r>
      <w:r>
        <w:rPr/>
        <w:t>Same versioned request and two independently qualified adapters.</w:t>
      </w:r>
    </w:p>
    <w:p>
      <w:pPr>
        <w:pStyle w:val="TestBody"/>
        <w:rPr/>
      </w:pPr>
      <w:r>
        <w:rPr>
          <w:b/>
        </w:rPr>
        <w:t xml:space="preserve">Procedure: </w:t>
      </w:r>
      <w:r>
        <w:rPr/>
        <w:t>Validate stable consumer fields and compile for both targets; compare semantic outputs without requiring matching topology or vendor IDs.</w:t>
      </w:r>
    </w:p>
    <w:p>
      <w:pPr>
        <w:pStyle w:val="TestBody"/>
        <w:rPr/>
      </w:pPr>
      <w:r>
        <w:rPr>
          <w:b/>
        </w:rPr>
        <w:t xml:space="preserve">Expected outcome: </w:t>
      </w:r>
      <w:r>
        <w:rPr/>
        <w:t>Equivalent mandatory intent is preserved; unsupported capabilities reject placement rather than silently degrade.</w:t>
      </w:r>
    </w:p>
    <w:p>
      <w:pPr>
        <w:pStyle w:val="TestBody"/>
        <w:rPr/>
      </w:pPr>
      <w:r>
        <w:rPr>
          <w:b/>
        </w:rPr>
        <w:t xml:space="preserve">Evidence: </w:t>
      </w:r>
      <w:r>
        <w:rPr/>
        <w:t>Normalized requests, adapter plans and semantic comparison.</w:t>
      </w:r>
    </w:p>
    <w:p>
      <w:pPr>
        <w:pStyle w:val="Small"/>
        <w:rPr/>
      </w:pPr>
      <w:r>
        <w:rPr/>
        <w:t>Mode: design-and-automated  |  Cadence: qualification; contract change  |  Execution: not-run</w:t>
      </w:r>
    </w:p>
    <w:p>
      <w:pPr>
        <w:pStyle w:val="Small"/>
        <w:rPr/>
      </w:pPr>
      <w:r>
        <w:rPr/>
        <w:t>Requirement links: ARCH-001, INV-001, INV-005, REF-001, REF-002, WSD-002, OVL-001, PORT-003, API-001, TF-003, DEL-002</w:t>
      </w:r>
    </w:p>
    <w:p>
      <w:pPr>
        <w:pStyle w:val="TestTitle"/>
        <w:spacing w:before="200" w:after="100"/>
        <w:rPr/>
      </w:pPr>
      <w:bookmarkStart w:id="397" w:name="test_CT_017"/>
      <w:r>
        <w:rPr/>
        <w:t>CT-017 — Admission and authorization negatives</w:t>
      </w:r>
      <w:bookmarkEnd w:id="397"/>
    </w:p>
    <w:p>
      <w:pPr>
        <w:pStyle w:val="TestBody"/>
        <w:rPr/>
      </w:pPr>
      <w:r>
        <w:rPr>
          <w:b/>
        </w:rPr>
        <w:t xml:space="preserve">Preconditions: </w:t>
      </w:r>
      <w:r>
        <w:rPr/>
        <w:t>Schema/profile registry and scoped test identities.</w:t>
      </w:r>
    </w:p>
    <w:p>
      <w:pPr>
        <w:pStyle w:val="TestBody"/>
        <w:rPr/>
      </w:pPr>
      <w:r>
        <w:rPr>
          <w:b/>
        </w:rPr>
        <w:t xml:space="preserve">Procedure: </w:t>
      </w:r>
      <w:r>
        <w:rPr/>
        <w:t>Submit unknown fields, unresolved profile versions, forged approval references, foreign-tenant references and consumer-supplied status.</w:t>
      </w:r>
    </w:p>
    <w:p>
      <w:pPr>
        <w:pStyle w:val="TestBody"/>
        <w:rPr/>
      </w:pPr>
      <w:r>
        <w:rPr>
          <w:b/>
        </w:rPr>
        <w:t xml:space="preserve">Expected outcome: </w:t>
      </w:r>
      <w:r>
        <w:rPr/>
        <w:t>All invalid or unauthorized requests are rejected before any allocation or provider action.</w:t>
      </w:r>
    </w:p>
    <w:p>
      <w:pPr>
        <w:pStyle w:val="TestBody"/>
        <w:rPr/>
      </w:pPr>
      <w:r>
        <w:rPr>
          <w:b/>
        </w:rPr>
        <w:t xml:space="preserve">Evidence: </w:t>
      </w:r>
      <w:r>
        <w:rPr/>
        <w:t>Admission decisions and zero-side-effect audit.</w:t>
      </w:r>
    </w:p>
    <w:p>
      <w:pPr>
        <w:pStyle w:val="Small"/>
        <w:rPr/>
      </w:pPr>
      <w:r>
        <w:rPr/>
        <w:t>Mode: automated  |  Cadence: each contract/policy change  |  Execution: not-run</w:t>
      </w:r>
    </w:p>
    <w:p>
      <w:pPr>
        <w:pStyle w:val="Small"/>
        <w:rPr/>
      </w:pPr>
      <w:r>
        <w:rPr/>
        <w:t>Requirement links: ARCH-001, CAT-001, CAT-002, MODEL-001, WSD-001, WSD-002, ZONE-001, API-002, API-003, POL-001, EXC-003, ONB-001</w:t>
      </w:r>
    </w:p>
    <w:p>
      <w:pPr>
        <w:pStyle w:val="TestTitle"/>
        <w:spacing w:before="200" w:after="100"/>
        <w:rPr/>
      </w:pPr>
      <w:bookmarkStart w:id="398" w:name="test_CT_018"/>
      <w:r>
        <w:rPr/>
        <w:t>CT-018 — Unsupported capability and expired certification</w:t>
      </w:r>
      <w:bookmarkEnd w:id="398"/>
    </w:p>
    <w:p>
      <w:pPr>
        <w:pStyle w:val="TestBody"/>
        <w:rPr/>
      </w:pPr>
      <w:r>
        <w:rPr>
          <w:b/>
        </w:rPr>
        <w:t xml:space="preserve">Preconditions: </w:t>
      </w:r>
      <w:r>
        <w:rPr/>
        <w:t>Candidate and expired platform profiles.</w:t>
      </w:r>
    </w:p>
    <w:p>
      <w:pPr>
        <w:pStyle w:val="TestBody"/>
        <w:rPr/>
      </w:pPr>
      <w:r>
        <w:rPr>
          <w:b/>
        </w:rPr>
        <w:t xml:space="preserve">Procedure: </w:t>
      </w:r>
      <w:r>
        <w:rPr/>
        <w:t>Request dual-stack, inspection or dedicated placement on a profile lacking that qualified capability.</w:t>
      </w:r>
    </w:p>
    <w:p>
      <w:pPr>
        <w:pStyle w:val="TestBody"/>
        <w:rPr/>
      </w:pPr>
      <w:r>
        <w:rPr>
          <w:b/>
        </w:rPr>
        <w:t xml:space="preserve">Expected outcome: </w:t>
      </w:r>
      <w:r>
        <w:rPr/>
        <w:t>Placement fails with an actionable capability reason; candidate/expired records cannot authorize production.</w:t>
      </w:r>
    </w:p>
    <w:p>
      <w:pPr>
        <w:pStyle w:val="TestBody"/>
        <w:rPr/>
      </w:pPr>
      <w:r>
        <w:rPr>
          <w:b/>
        </w:rPr>
        <w:t xml:space="preserve">Evidence: </w:t>
      </w:r>
      <w:r>
        <w:rPr/>
        <w:t>Placement decisions, capability digests and status.</w:t>
      </w:r>
    </w:p>
    <w:p>
      <w:pPr>
        <w:pStyle w:val="Small"/>
        <w:rPr/>
      </w:pPr>
      <w:r>
        <w:rPr/>
        <w:t>Mode: automated  |  Cadence: each placement-engine change  |  Execution: not-run</w:t>
      </w:r>
    </w:p>
    <w:p>
      <w:pPr>
        <w:pStyle w:val="Small"/>
        <w:rPr/>
      </w:pPr>
      <w:r>
        <w:rPr/>
        <w:t>Requirement links: SCOPE-001, REF-002, CAT-002, SDI-003, OVL-001, IPV6-003, PLACE-001, PORT-001, PORT-002, QUAL-001, NUT-001, OS-003, FUT-001, FUT-002, ASSUR-002, ASSUR-003, TEST-002, ONB-001, ACPT-001</w:t>
      </w:r>
    </w:p>
    <w:p>
      <w:pPr>
        <w:pStyle w:val="TestTitle"/>
        <w:spacing w:before="200" w:after="100"/>
        <w:rPr/>
      </w:pPr>
      <w:bookmarkStart w:id="399" w:name="test_CT_019"/>
      <w:r>
        <w:rPr/>
        <w:t>CT-019 — Ownership, quota and separation of duties</w:t>
      </w:r>
      <w:bookmarkEnd w:id="399"/>
    </w:p>
    <w:p>
      <w:pPr>
        <w:pStyle w:val="TestBody"/>
        <w:rPr/>
      </w:pPr>
      <w:r>
        <w:rPr>
          <w:b/>
        </w:rPr>
        <w:t xml:space="preserve">Preconditions: </w:t>
      </w:r>
      <w:r>
        <w:rPr/>
        <w:t>Tenant quotas and identity/control-plane roles are defined.</w:t>
      </w:r>
    </w:p>
    <w:p>
      <w:pPr>
        <w:pStyle w:val="TestBody"/>
        <w:rPr/>
      </w:pPr>
      <w:r>
        <w:rPr>
          <w:b/>
        </w:rPr>
        <w:t xml:space="preserve">Procedure: </w:t>
      </w:r>
      <w:r>
        <w:rPr/>
        <w:t>Test permitted workload operations and forbidden foundation/edge/profile edits; race two allocations against the same quota.</w:t>
      </w:r>
    </w:p>
    <w:p>
      <w:pPr>
        <w:pStyle w:val="TestBody"/>
        <w:rPr/>
      </w:pPr>
      <w:r>
        <w:rPr>
          <w:b/>
        </w:rPr>
        <w:t xml:space="preserve">Expected outcome: </w:t>
      </w:r>
      <w:r>
        <w:rPr/>
        <w:t>Only allowed roles succeed; quota reservation is atomic; no resource is created above a hard entitlement.</w:t>
      </w:r>
    </w:p>
    <w:p>
      <w:pPr>
        <w:pStyle w:val="TestBody"/>
        <w:rPr/>
      </w:pPr>
      <w:r>
        <w:rPr>
          <w:b/>
        </w:rPr>
        <w:t xml:space="preserve">Evidence: </w:t>
      </w:r>
      <w:r>
        <w:rPr/>
        <w:t>Authorization matrix, concurrent request results and allocation journal.</w:t>
      </w:r>
    </w:p>
    <w:p>
      <w:pPr>
        <w:pStyle w:val="Small"/>
        <w:rPr/>
      </w:pPr>
      <w:r>
        <w:rPr/>
        <w:t>Mode: automated  |  Cadence: qualification; security-significant change  |  Execution: not-run</w:t>
      </w:r>
    </w:p>
    <w:p>
      <w:pPr>
        <w:pStyle w:val="Small"/>
        <w:rPr/>
      </w:pPr>
      <w:r>
        <w:rPr/>
        <w:t>Requirement links: TEN-001, TEN-002, TEN-003, MGT-003, IAM-001, SVCM-001, NSX-001, OS-002, API-002, STATE-001, SEC-002, OPS-001, OPS-002</w:t>
      </w:r>
    </w:p>
    <w:p>
      <w:pPr>
        <w:pStyle w:val="TestTitle"/>
        <w:spacing w:before="200" w:after="100"/>
        <w:rPr/>
      </w:pPr>
      <w:bookmarkStart w:id="400" w:name="test_CT_020"/>
      <w:r>
        <w:rPr/>
        <w:t>CT-020 — Security-label integrity</w:t>
      </w:r>
      <w:bookmarkEnd w:id="400"/>
    </w:p>
    <w:p>
      <w:pPr>
        <w:pStyle w:val="TestBody"/>
        <w:rPr/>
      </w:pPr>
      <w:r>
        <w:rPr>
          <w:b/>
        </w:rPr>
        <w:t xml:space="preserve">Preconditions: </w:t>
      </w:r>
      <w:r>
        <w:rPr/>
        <w:t>Provider-owned selectors and tenant-editable labels are distinguishable.</w:t>
      </w:r>
    </w:p>
    <w:p>
      <w:pPr>
        <w:pStyle w:val="TestBody"/>
        <w:rPr/>
      </w:pPr>
      <w:r>
        <w:rPr>
          <w:b/>
        </w:rPr>
        <w:t xml:space="preserve">Procedure: </w:t>
      </w:r>
      <w:r>
        <w:rPr/>
        <w:t>Attempt to add/remove security labels, impersonate another group or move a workload to a privileged selector.</w:t>
      </w:r>
    </w:p>
    <w:p>
      <w:pPr>
        <w:pStyle w:val="TestBody"/>
        <w:rPr/>
      </w:pPr>
      <w:r>
        <w:rPr>
          <w:b/>
        </w:rPr>
        <w:t xml:space="preserve">Expected outcome: </w:t>
      </w:r>
      <w:r>
        <w:rPr/>
        <w:t>Tenant changes cannot expand effective permissions; mandatory policy precedence is preserved.</w:t>
      </w:r>
    </w:p>
    <w:p>
      <w:pPr>
        <w:pStyle w:val="TestBody"/>
        <w:rPr/>
      </w:pPr>
      <w:r>
        <w:rPr>
          <w:b/>
        </w:rPr>
        <w:t xml:space="preserve">Evidence: </w:t>
      </w:r>
      <w:r>
        <w:rPr/>
        <w:t>RBAC results, label audit and effective-rule evaluation.</w:t>
      </w:r>
    </w:p>
    <w:p>
      <w:pPr>
        <w:pStyle w:val="Small"/>
        <w:rPr/>
      </w:pPr>
      <w:r>
        <w:rPr/>
        <w:t>Mode: automated  |  Cadence: qualification; security-significant change  |  Execution: not-run</w:t>
      </w:r>
    </w:p>
    <w:p>
      <w:pPr>
        <w:pStyle w:val="Small"/>
        <w:rPr/>
      </w:pPr>
      <w:r>
        <w:rPr/>
        <w:t>Requirement links: MICRO-002, MICRO-003, NUT-003, NSX-001, FLOW-001</w:t>
      </w:r>
    </w:p>
    <w:p>
      <w:pPr>
        <w:pStyle w:val="TestTitle"/>
        <w:spacing w:before="200" w:after="100"/>
        <w:rPr/>
      </w:pPr>
      <w:bookmarkStart w:id="401" w:name="test_CT_021"/>
      <w:r>
        <w:rPr/>
        <w:t>CT-021 — Same-domain east-west isolation</w:t>
      </w:r>
      <w:bookmarkEnd w:id="401"/>
    </w:p>
    <w:p>
      <w:pPr>
        <w:pStyle w:val="TestBody"/>
        <w:rPr/>
      </w:pPr>
      <w:r>
        <w:rPr>
          <w:b/>
        </w:rPr>
        <w:t xml:space="preserve">Preconditions: </w:t>
      </w:r>
      <w:r>
        <w:rPr/>
        <w:t>Two WSDs deliberately share one approved Security Domain Instance.</w:t>
      </w:r>
    </w:p>
    <w:p>
      <w:pPr>
        <w:pStyle w:val="TestBody"/>
        <w:rPr/>
      </w:pPr>
      <w:r>
        <w:rPr>
          <w:b/>
        </w:rPr>
        <w:t xml:space="preserve">Procedure: </w:t>
      </w:r>
      <w:r>
        <w:rPr/>
        <w:t>Test same-subnet and cross-subnet traffic with and without explicit FlowIntent; verify traffic on one hypervisor as well as between hosts.</w:t>
      </w:r>
    </w:p>
    <w:p>
      <w:pPr>
        <w:pStyle w:val="TestBody"/>
        <w:rPr/>
      </w:pPr>
      <w:r>
        <w:rPr>
          <w:b/>
        </w:rPr>
        <w:t xml:space="preserve">Expected outcome: </w:t>
      </w:r>
      <w:r>
        <w:rPr/>
        <w:t>Unapproved east-west communication is denied; allowed flows and required local services function.</w:t>
      </w:r>
    </w:p>
    <w:p>
      <w:pPr>
        <w:pStyle w:val="TestBody"/>
        <w:rPr/>
      </w:pPr>
      <w:r>
        <w:rPr>
          <w:b/>
        </w:rPr>
        <w:t xml:space="preserve">Evidence: </w:t>
      </w:r>
      <w:r>
        <w:rPr/>
        <w:t>Enforcement location, probes and applied policy.</w:t>
      </w:r>
    </w:p>
    <w:p>
      <w:pPr>
        <w:pStyle w:val="Small"/>
        <w:rPr/>
      </w:pPr>
      <w:r>
        <w:rPr/>
        <w:t>Mode: automated  |  Cadence: qualification; security-significant change  |  Execution: not-run</w:t>
      </w:r>
    </w:p>
    <w:p>
      <w:pPr>
        <w:pStyle w:val="Small"/>
        <w:rPr/>
      </w:pPr>
      <w:r>
        <w:rPr/>
        <w:t>Requirement links: SDI-002, OVL-002, MICRO-001, MICRO-003, OS-001</w:t>
      </w:r>
    </w:p>
    <w:p>
      <w:pPr>
        <w:pStyle w:val="TestTitle"/>
        <w:spacing w:before="200" w:after="100"/>
        <w:rPr/>
      </w:pPr>
      <w:bookmarkStart w:id="402" w:name="test_CT_022"/>
      <w:r>
        <w:rPr/>
        <w:t>CT-022 — Spoofing and virtual NIC controls</w:t>
      </w:r>
      <w:bookmarkEnd w:id="402"/>
    </w:p>
    <w:p>
      <w:pPr>
        <w:pStyle w:val="TestBody"/>
        <w:rPr/>
      </w:pPr>
      <w:r>
        <w:rPr>
          <w:b/>
        </w:rPr>
        <w:t xml:space="preserve">Preconditions: </w:t>
      </w:r>
      <w:r>
        <w:rPr/>
        <w:t>Provider-approved packet tests on dedicated non-production endpoints.</w:t>
      </w:r>
    </w:p>
    <w:p>
      <w:pPr>
        <w:pStyle w:val="TestBody"/>
        <w:rPr/>
      </w:pPr>
      <w:r>
        <w:rPr>
          <w:b/>
        </w:rPr>
        <w:t xml:space="preserve">Procedure: </w:t>
      </w:r>
      <w:r>
        <w:rPr/>
        <w:t>Exercise incorrect source addressing, unauthorized address pairs and additional NIC attachments within the bounded test plan.</w:t>
      </w:r>
    </w:p>
    <w:p>
      <w:pPr>
        <w:pStyle w:val="TestBody"/>
        <w:rPr/>
      </w:pPr>
      <w:r>
        <w:rPr>
          <w:b/>
        </w:rPr>
        <w:t xml:space="preserve">Expected outcome: </w:t>
      </w:r>
      <w:r>
        <w:rPr/>
        <w:t>Source identities cannot impersonate another domain; platform exceptions have explicit owners and expiration.</w:t>
      </w:r>
    </w:p>
    <w:p>
      <w:pPr>
        <w:pStyle w:val="TestBody"/>
        <w:rPr/>
      </w:pPr>
      <w:r>
        <w:rPr>
          <w:b/>
        </w:rPr>
        <w:t xml:space="preserve">Evidence: </w:t>
      </w:r>
      <w:r>
        <w:rPr/>
        <w:t>Port/NIC policy, bounded test output and exception records.</w:t>
      </w:r>
    </w:p>
    <w:p>
      <w:pPr>
        <w:pStyle w:val="Small"/>
        <w:rPr/>
      </w:pPr>
      <w:r>
        <w:rPr/>
        <w:t>Mode: automated  |  Cadence: qualification; security-significant change  |  Execution: not-run</w:t>
      </w:r>
    </w:p>
    <w:p>
      <w:pPr>
        <w:pStyle w:val="Small"/>
        <w:rPr/>
      </w:pPr>
      <w:r>
        <w:rPr/>
        <w:t>Requirement links: OVL-003, MICRO-003, OS-002, OS-003</w:t>
      </w:r>
    </w:p>
    <w:p>
      <w:pPr>
        <w:pStyle w:val="TestTitle"/>
        <w:spacing w:before="200" w:after="100"/>
        <w:rPr/>
      </w:pPr>
      <w:bookmarkStart w:id="403" w:name="test_CT_023"/>
      <w:r>
        <w:rPr/>
        <w:t>CT-023 — Shared edge-attachment isolation</w:t>
      </w:r>
      <w:bookmarkEnd w:id="403"/>
    </w:p>
    <w:p>
      <w:pPr>
        <w:pStyle w:val="TestBody"/>
        <w:rPr/>
      </w:pPr>
      <w:r>
        <w:rPr>
          <w:b/>
        </w:rPr>
        <w:t xml:space="preserve">Preconditions: </w:t>
      </w:r>
      <w:r>
        <w:rPr/>
        <w:t>Two domains use an intentionally shared provider attachment network.</w:t>
      </w:r>
    </w:p>
    <w:p>
      <w:pPr>
        <w:pStyle w:val="TestBody"/>
        <w:rPr/>
      </w:pPr>
      <w:r>
        <w:rPr>
          <w:b/>
        </w:rPr>
        <w:t xml:space="preserve">Procedure: </w:t>
      </w:r>
      <w:r>
        <w:rPr/>
        <w:t>Exercise direct same-segment paths, ARP/ND interaction, external gateway routing and NAT hairpin in both directions.</w:t>
      </w:r>
    </w:p>
    <w:p>
      <w:pPr>
        <w:pStyle w:val="TestBody"/>
        <w:rPr/>
      </w:pPr>
      <w:r>
        <w:rPr>
          <w:b/>
        </w:rPr>
        <w:t xml:space="preserve">Expected outcome: </w:t>
      </w:r>
      <w:r>
        <w:rPr/>
        <w:t>No path bypasses per-domain identity and ZIP enforcement; otherwise the shared attachment is ineligible.</w:t>
      </w:r>
    </w:p>
    <w:p>
      <w:pPr>
        <w:pStyle w:val="TestBody"/>
        <w:rPr/>
      </w:pPr>
      <w:r>
        <w:rPr>
          <w:b/>
        </w:rPr>
        <w:t xml:space="preserve">Evidence: </w:t>
      </w:r>
      <w:r>
        <w:rPr/>
        <w:t>Attachment topology, neighbor state, routes and bidirectional probes.</w:t>
      </w:r>
    </w:p>
    <w:p>
      <w:pPr>
        <w:pStyle w:val="Small"/>
        <w:rPr/>
      </w:pPr>
      <w:r>
        <w:rPr/>
        <w:t>Mode: automated  |  Cadence: qualification; security-significant change  |  Execution: not-run</w:t>
      </w:r>
    </w:p>
    <w:p>
      <w:pPr>
        <w:pStyle w:val="Small"/>
        <w:rPr/>
      </w:pPr>
      <w:r>
        <w:rPr/>
        <w:t>Requirement links: ZIP-002, ZIP-007, OVL-002, RTE-002, RTE-004, EDGE-001, EDGE-002, NUT-002, NUT-004, OS-002</w:t>
      </w:r>
    </w:p>
    <w:p>
      <w:pPr>
        <w:pStyle w:val="TestTitle"/>
        <w:spacing w:before="200" w:after="100"/>
        <w:rPr/>
      </w:pPr>
      <w:bookmarkStart w:id="404" w:name="test_CT_024"/>
      <w:r>
        <w:rPr/>
        <w:t>CT-024 — Stateful symmetry and policy routing</w:t>
      </w:r>
      <w:bookmarkEnd w:id="404"/>
    </w:p>
    <w:p>
      <w:pPr>
        <w:pStyle w:val="TestBody"/>
        <w:rPr/>
      </w:pPr>
      <w:r>
        <w:rPr>
          <w:b/>
        </w:rPr>
        <w:t xml:space="preserve">Preconditions: </w:t>
      </w:r>
      <w:r>
        <w:rPr/>
        <w:t>Multiple eligible edge paths and asymmetric-failure scenario.</w:t>
      </w:r>
    </w:p>
    <w:p>
      <w:pPr>
        <w:pStyle w:val="TestBody"/>
        <w:rPr/>
      </w:pPr>
      <w:r>
        <w:rPr>
          <w:b/>
        </w:rPr>
        <w:t xml:space="preserve">Procedure: </w:t>
      </w:r>
      <w:r>
        <w:rPr/>
        <w:t>Verify forward/return ownership before and during failover; change PBR to a permitted alternative in the test environment.</w:t>
      </w:r>
    </w:p>
    <w:p>
      <w:pPr>
        <w:pStyle w:val="TestBody"/>
        <w:rPr/>
      </w:pPr>
      <w:r>
        <w:rPr>
          <w:b/>
        </w:rPr>
        <w:t xml:space="preserve">Expected outcome: </w:t>
      </w:r>
      <w:r>
        <w:rPr/>
        <w:t>Stateful enforcement remains correct; unsupported asymmetry is denied, not resolved by permissive bypass.</w:t>
      </w:r>
    </w:p>
    <w:p>
      <w:pPr>
        <w:pStyle w:val="TestBody"/>
        <w:rPr/>
      </w:pPr>
      <w:r>
        <w:rPr>
          <w:b/>
        </w:rPr>
        <w:t xml:space="preserve">Evidence: </w:t>
      </w:r>
      <w:r>
        <w:rPr/>
        <w:t>Session traces, PBR precedence and HA counters.</w:t>
      </w:r>
    </w:p>
    <w:p>
      <w:pPr>
        <w:pStyle w:val="Small"/>
        <w:rPr/>
      </w:pPr>
      <w:r>
        <w:rPr/>
        <w:t>Mode: automated  |  Cadence: qualification; security-significant change  |  Execution: not-run</w:t>
      </w:r>
    </w:p>
    <w:p>
      <w:pPr>
        <w:pStyle w:val="Small"/>
        <w:rPr/>
      </w:pPr>
      <w:r>
        <w:rPr/>
        <w:t>Requirement links: RTE-004, EDGE-001, EDGE-002, EVPN-002, NUT-002, NSX-003, FAIL-001</w:t>
      </w:r>
    </w:p>
    <w:p>
      <w:pPr>
        <w:pStyle w:val="TestTitle"/>
        <w:spacing w:before="200" w:after="100"/>
        <w:rPr/>
      </w:pPr>
      <w:bookmarkStart w:id="405" w:name="test_CT_025"/>
      <w:r>
        <w:rPr/>
        <w:t>CT-025 — Zone adjacency and joint authority</w:t>
      </w:r>
      <w:bookmarkEnd w:id="405"/>
    </w:p>
    <w:p>
      <w:pPr>
        <w:pStyle w:val="TestBody"/>
        <w:rPr/>
      </w:pPr>
      <w:r>
        <w:rPr>
          <w:b/>
        </w:rPr>
        <w:t xml:space="preserve">Preconditions: </w:t>
      </w:r>
      <w:r>
        <w:rPr/>
        <w:t>Versioned zone graph and authority registry.</w:t>
      </w:r>
    </w:p>
    <w:p>
      <w:pPr>
        <w:pStyle w:val="TestBody"/>
        <w:rPr/>
      </w:pPr>
      <w:r>
        <w:rPr>
          <w:b/>
        </w:rPr>
        <w:t xml:space="preserve">Procedure: </w:t>
      </w:r>
      <w:r>
        <w:rPr/>
        <w:t>Submit prohibited adjacencies, RZ public attachment, REZ without partner agreement, and a ZIP without both authority approvals.</w:t>
      </w:r>
    </w:p>
    <w:p>
      <w:pPr>
        <w:pStyle w:val="TestBody"/>
        <w:rPr/>
      </w:pPr>
      <w:r>
        <w:rPr>
          <w:b/>
        </w:rPr>
        <w:t xml:space="preserve">Expected outcome: </w:t>
      </w:r>
      <w:r>
        <w:rPr/>
        <w:t>Invalid graphs are rejected; valid bindings resolve to the explicitly authorized adjacent domains.</w:t>
      </w:r>
    </w:p>
    <w:p>
      <w:pPr>
        <w:pStyle w:val="TestBody"/>
        <w:rPr/>
      </w:pPr>
      <w:r>
        <w:rPr>
          <w:b/>
        </w:rPr>
        <w:t xml:space="preserve">Evidence: </w:t>
      </w:r>
      <w:r>
        <w:rPr/>
        <w:t>Graph decision report and approval provenance.</w:t>
      </w:r>
    </w:p>
    <w:p>
      <w:pPr>
        <w:pStyle w:val="Small"/>
        <w:rPr/>
      </w:pPr>
      <w:r>
        <w:rPr/>
        <w:t>Mode: design-and-automated  |  Cadence: each policy/profile change  |  Execution: not-run</w:t>
      </w:r>
    </w:p>
    <w:p>
      <w:pPr>
        <w:pStyle w:val="Small"/>
        <w:rPr/>
      </w:pPr>
      <w:r>
        <w:rPr/>
        <w:t>Requirement links: ARCH-003, INV-002, MODEL-001, SDI-001, SDI-004, ZONE-001, ZONE-002, ZIP-002, ZIP-003, SVC-002, ING-001, FAB-003, POL-001</w:t>
      </w:r>
    </w:p>
    <w:p>
      <w:pPr>
        <w:pStyle w:val="TestTitle"/>
        <w:spacing w:before="200" w:after="100"/>
        <w:rPr/>
      </w:pPr>
      <w:bookmarkStart w:id="406" w:name="test_CT_026"/>
      <w:r>
        <w:rPr/>
        <w:t>CT-026 — MZ, OOB and remote administration</w:t>
      </w:r>
      <w:bookmarkEnd w:id="406"/>
    </w:p>
    <w:p>
      <w:pPr>
        <w:pStyle w:val="TestBody"/>
        <w:rPr/>
      </w:pPr>
      <w:r>
        <w:rPr>
          <w:b/>
        </w:rPr>
        <w:t xml:space="preserve">Preconditions: </w:t>
      </w:r>
      <w:r>
        <w:rPr/>
        <w:t>Approved management architecture and recovery credentials.</w:t>
      </w:r>
    </w:p>
    <w:p>
      <w:pPr>
        <w:pStyle w:val="TestBody"/>
        <w:rPr/>
      </w:pPr>
      <w:r>
        <w:rPr>
          <w:b/>
        </w:rPr>
        <w:t xml:space="preserve">Procedure: </w:t>
      </w:r>
      <w:r>
        <w:rPr/>
        <w:t>Trace remote privileged access through its authorized boundary; test workload isolation, ordinary browsing restriction and BMC access controls.</w:t>
      </w:r>
    </w:p>
    <w:p>
      <w:pPr>
        <w:pStyle w:val="TestBody"/>
        <w:rPr/>
      </w:pPr>
      <w:r>
        <w:rPr>
          <w:b/>
        </w:rPr>
        <w:t xml:space="preserve">Expected outcome: </w:t>
      </w:r>
      <w:r>
        <w:rPr/>
        <w:t>MZ semantics and OOB transport remain distinct; only approved privileged paths reach management targets.</w:t>
      </w:r>
    </w:p>
    <w:p>
      <w:pPr>
        <w:pStyle w:val="TestBody"/>
        <w:rPr/>
      </w:pPr>
      <w:r>
        <w:rPr>
          <w:b/>
        </w:rPr>
        <w:t xml:space="preserve">Evidence: </w:t>
      </w:r>
      <w:r>
        <w:rPr/>
        <w:t>Management diagrams, endpoint policy and session audit.</w:t>
      </w:r>
    </w:p>
    <w:p>
      <w:pPr>
        <w:pStyle w:val="Small"/>
        <w:rPr/>
      </w:pPr>
      <w:r>
        <w:rPr/>
        <w:t>Mode: design-and-automated  |  Cadence: qualification; management change  |  Execution: not-run</w:t>
      </w:r>
    </w:p>
    <w:p>
      <w:pPr>
        <w:pStyle w:val="Small"/>
        <w:rPr/>
      </w:pPr>
      <w:r>
        <w:rPr/>
        <w:t>Requirement links: ARCH-004, MODEL-002, TEN-002, ZIP-004, ZIP-005, MGT-001, MGT-002, MGT-005, IAM-002, FAB-004</w:t>
      </w:r>
    </w:p>
    <w:p>
      <w:pPr>
        <w:pStyle w:val="TestTitle"/>
        <w:spacing w:before="200" w:after="100"/>
        <w:rPr/>
      </w:pPr>
      <w:bookmarkStart w:id="407" w:name="test_CT_027"/>
      <w:r>
        <w:rPr/>
        <w:t>CT-027 — Break-glass and identity-provider loss</w:t>
      </w:r>
      <w:bookmarkEnd w:id="407"/>
    </w:p>
    <w:p>
      <w:pPr>
        <w:pStyle w:val="TestBody"/>
        <w:rPr/>
      </w:pPr>
      <w:r>
        <w:rPr>
          <w:b/>
        </w:rPr>
        <w:t xml:space="preserve">Preconditions: </w:t>
      </w:r>
      <w:r>
        <w:rPr/>
        <w:t>Approved emergency identity, dual-custodian procedure and test window.</w:t>
      </w:r>
    </w:p>
    <w:p>
      <w:pPr>
        <w:pStyle w:val="TestBody"/>
        <w:rPr/>
      </w:pPr>
      <w:r>
        <w:rPr>
          <w:b/>
        </w:rPr>
        <w:t xml:space="preserve">Procedure: </w:t>
      </w:r>
      <w:r>
        <w:rPr/>
        <w:t>Make normal federation unavailable; exercise limited emergency access, alerting, revocation and post-use credential rotation.</w:t>
      </w:r>
    </w:p>
    <w:p>
      <w:pPr>
        <w:pStyle w:val="TestBody"/>
        <w:rPr/>
      </w:pPr>
      <w:r>
        <w:rPr>
          <w:b/>
        </w:rPr>
        <w:t xml:space="preserve">Expected outcome: </w:t>
      </w:r>
      <w:r>
        <w:rPr/>
        <w:t>Access remains accountable and scoped; no shared anonymous administrator or permanent bypass is created.</w:t>
      </w:r>
    </w:p>
    <w:p>
      <w:pPr>
        <w:pStyle w:val="TestBody"/>
        <w:rPr/>
      </w:pPr>
      <w:r>
        <w:rPr>
          <w:b/>
        </w:rPr>
        <w:t xml:space="preserve">Evidence: </w:t>
      </w:r>
      <w:r>
        <w:rPr/>
        <w:t>Emergency access log, custodial approval and revocation evidence.</w:t>
      </w:r>
    </w:p>
    <w:p>
      <w:pPr>
        <w:pStyle w:val="Small"/>
        <w:rPr/>
      </w:pPr>
      <w:r>
        <w:rPr/>
        <w:t>Mode: controlled-fault  |  Cadence: quarterly; identity change  |  Execution: not-run</w:t>
      </w:r>
    </w:p>
    <w:p>
      <w:pPr>
        <w:pStyle w:val="Small"/>
        <w:rPr/>
      </w:pPr>
      <w:r>
        <w:rPr/>
        <w:t>Requirement links: MGT-002, MGT-004, IAM-001, IAM-002, SEC-003, FAIL-002, FAIL-003</w:t>
      </w:r>
    </w:p>
    <w:p>
      <w:pPr>
        <w:pStyle w:val="TestTitle"/>
        <w:spacing w:before="200" w:after="100"/>
        <w:rPr/>
      </w:pPr>
      <w:bookmarkStart w:id="408" w:name="test_CT_028"/>
      <w:r>
        <w:rPr/>
        <w:t>CT-028 — Workload identity and certificate lifecycle</w:t>
      </w:r>
      <w:bookmarkEnd w:id="408"/>
    </w:p>
    <w:p>
      <w:pPr>
        <w:pStyle w:val="TestBody"/>
        <w:rPr/>
      </w:pPr>
      <w:r>
        <w:rPr>
          <w:b/>
        </w:rPr>
        <w:t xml:space="preserve">Preconditions: </w:t>
      </w:r>
      <w:r>
        <w:rPr/>
        <w:t>Scoped service identity, trusted CA and rotatable certificate.</w:t>
      </w:r>
    </w:p>
    <w:p>
      <w:pPr>
        <w:pStyle w:val="TestBody"/>
        <w:rPr/>
      </w:pPr>
      <w:r>
        <w:rPr>
          <w:b/>
        </w:rPr>
        <w:t xml:space="preserve">Procedure: </w:t>
      </w:r>
      <w:r>
        <w:rPr/>
        <w:t>Rotate credentials/certificates; revoke the old identity and test an expired/untrusted certificate.</w:t>
      </w:r>
    </w:p>
    <w:p>
      <w:pPr>
        <w:pStyle w:val="TestBody"/>
        <w:rPr/>
      </w:pPr>
      <w:r>
        <w:rPr>
          <w:b/>
        </w:rPr>
        <w:t xml:space="preserve">Expected outcome: </w:t>
      </w:r>
      <w:r>
        <w:rPr/>
        <w:t>Approved service continues with new material; old/revoked credentials are unusable within the accepted propagation interval.</w:t>
      </w:r>
    </w:p>
    <w:p>
      <w:pPr>
        <w:pStyle w:val="TestBody"/>
        <w:rPr/>
      </w:pPr>
      <w:r>
        <w:rPr>
          <w:b/>
        </w:rPr>
        <w:t xml:space="preserve">Evidence: </w:t>
      </w:r>
      <w:r>
        <w:rPr/>
        <w:t>Issuer records, endpoint TLS results and revocation timeline.</w:t>
      </w:r>
    </w:p>
    <w:p>
      <w:pPr>
        <w:pStyle w:val="Small"/>
        <w:rPr/>
      </w:pPr>
      <w:r>
        <w:rPr/>
        <w:t>Mode: automated  |  Cadence: qualification; security-significant change  |  Execution: not-run</w:t>
      </w:r>
    </w:p>
    <w:p>
      <w:pPr>
        <w:pStyle w:val="Small"/>
        <w:rPr/>
      </w:pPr>
      <w:r>
        <w:rPr/>
        <w:t>Requirement links: SVC-003, IAM-001, IAM-003, CRY-001, CRY-003, SEC-003</w:t>
      </w:r>
    </w:p>
    <w:p>
      <w:pPr>
        <w:pStyle w:val="TestTitle"/>
        <w:spacing w:before="200" w:after="100"/>
        <w:rPr/>
      </w:pPr>
      <w:bookmarkStart w:id="409" w:name="test_CT_029"/>
      <w:r>
        <w:rPr/>
        <w:t>CT-029 — IPAM concurrency, overlap and exhaustion</w:t>
      </w:r>
      <w:bookmarkEnd w:id="409"/>
    </w:p>
    <w:p>
      <w:pPr>
        <w:pStyle w:val="TestBody"/>
        <w:rPr/>
      </w:pPr>
      <w:r>
        <w:rPr>
          <w:b/>
        </w:rPr>
        <w:t xml:space="preserve">Preconditions: </w:t>
      </w:r>
      <w:r>
        <w:rPr/>
        <w:t>Small disposable address pool and approved overlap policy.</w:t>
      </w:r>
    </w:p>
    <w:p>
      <w:pPr>
        <w:pStyle w:val="TestBody"/>
        <w:rPr/>
      </w:pPr>
      <w:r>
        <w:rPr>
          <w:b/>
        </w:rPr>
        <w:t xml:space="preserve">Procedure: </w:t>
      </w:r>
      <w:r>
        <w:rPr/>
        <w:t>Issue concurrent allocations, exhaust the pool, retry requests and request a conflicting prefix.</w:t>
      </w:r>
    </w:p>
    <w:p>
      <w:pPr>
        <w:pStyle w:val="TestBody"/>
        <w:rPr/>
      </w:pPr>
      <w:r>
        <w:rPr>
          <w:b/>
        </w:rPr>
        <w:t xml:space="preserve">Expected outcome: </w:t>
      </w:r>
      <w:r>
        <w:rPr/>
        <w:t>One authoritative reservation per allocation; retries are idempotent; exhaustion/unauthorized overlap stops provisioning.</w:t>
      </w:r>
    </w:p>
    <w:p>
      <w:pPr>
        <w:pStyle w:val="TestBody"/>
        <w:rPr/>
      </w:pPr>
      <w:r>
        <w:rPr>
          <w:b/>
        </w:rPr>
        <w:t xml:space="preserve">Evidence: </w:t>
      </w:r>
      <w:r>
        <w:rPr/>
        <w:t>Allocation ledger, request IDs and conflict decisions.</w:t>
      </w:r>
    </w:p>
    <w:p>
      <w:pPr>
        <w:pStyle w:val="Small"/>
        <w:rPr/>
      </w:pPr>
      <w:r>
        <w:rPr/>
        <w:t>Mode: automated  |  Cadence: qualification; security-significant change  |  Execution: not-run</w:t>
      </w:r>
    </w:p>
    <w:p>
      <w:pPr>
        <w:pStyle w:val="Small"/>
        <w:rPr/>
      </w:pPr>
      <w:r>
        <w:rPr/>
        <w:t>Requirement links: IPAM-001, IPAM-002, IPAM-004, AUTO-001</w:t>
      </w:r>
    </w:p>
    <w:p>
      <w:pPr>
        <w:pStyle w:val="TestTitle"/>
        <w:spacing w:before="200" w:after="100"/>
        <w:rPr/>
      </w:pPr>
      <w:bookmarkStart w:id="410" w:name="test_CT_030"/>
      <w:r>
        <w:rPr/>
        <w:t>CT-030 — DNS/DHCP lifecycle and reuse</w:t>
      </w:r>
      <w:bookmarkEnd w:id="410"/>
    </w:p>
    <w:p>
      <w:pPr>
        <w:pStyle w:val="TestBody"/>
        <w:rPr/>
      </w:pPr>
      <w:r>
        <w:rPr>
          <w:b/>
        </w:rPr>
        <w:t xml:space="preserve">Preconditions: </w:t>
      </w:r>
      <w:r>
        <w:rPr/>
        <w:t>Forward/reverse zones, address lease policy and reusable test address.</w:t>
      </w:r>
    </w:p>
    <w:p>
      <w:pPr>
        <w:pStyle w:val="TestBody"/>
        <w:rPr/>
      </w:pPr>
      <w:r>
        <w:rPr>
          <w:b/>
        </w:rPr>
        <w:t xml:space="preserve">Procedure: </w:t>
      </w:r>
      <w:r>
        <w:rPr/>
        <w:t>Provision, rename, recover and retire a network endpoint; confirm lease/DNS reconciliation and address quarantine.</w:t>
      </w:r>
    </w:p>
    <w:p>
      <w:pPr>
        <w:pStyle w:val="TestBody"/>
        <w:rPr/>
      </w:pPr>
      <w:r>
        <w:rPr>
          <w:b/>
        </w:rPr>
        <w:t xml:space="preserve">Expected outcome: </w:t>
      </w:r>
      <w:r>
        <w:rPr/>
        <w:t>No duplicate active ownership or premature reuse; stale records disappear within the approved timing profile.</w:t>
      </w:r>
    </w:p>
    <w:p>
      <w:pPr>
        <w:pStyle w:val="TestBody"/>
        <w:rPr/>
      </w:pPr>
      <w:r>
        <w:rPr>
          <w:b/>
        </w:rPr>
        <w:t xml:space="preserve">Evidence: </w:t>
      </w:r>
      <w:r>
        <w:rPr/>
        <w:t>DNS/DHCP/IPAM timelines and ownership comparisons.</w:t>
      </w:r>
    </w:p>
    <w:p>
      <w:pPr>
        <w:pStyle w:val="Small"/>
        <w:rPr/>
      </w:pPr>
      <w:r>
        <w:rPr/>
        <w:t>Mode: automated  |  Cadence: qualification; security-significant change  |  Execution: not-run</w:t>
      </w:r>
    </w:p>
    <w:p>
      <w:pPr>
        <w:pStyle w:val="Small"/>
        <w:rPr/>
      </w:pPr>
      <w:r>
        <w:rPr/>
        <w:t>Requirement links: IPAM-001, IPAM-003, IPAM-004</w:t>
      </w:r>
    </w:p>
    <w:p>
      <w:pPr>
        <w:pStyle w:val="TestTitle"/>
        <w:spacing w:before="200" w:after="100"/>
        <w:rPr/>
      </w:pPr>
      <w:bookmarkStart w:id="411" w:name="test_CT_031"/>
      <w:r>
        <w:rPr/>
        <w:t>CT-031 — IPv6 local control and IPv4-only posture</w:t>
      </w:r>
      <w:bookmarkEnd w:id="411"/>
    </w:p>
    <w:p>
      <w:pPr>
        <w:pStyle w:val="TestBody"/>
        <w:rPr/>
      </w:pPr>
      <w:r>
        <w:rPr>
          <w:b/>
        </w:rPr>
        <w:t xml:space="preserve">Preconditions: </w:t>
      </w:r>
      <w:r>
        <w:rPr/>
        <w:t>Platform offers either a dual-stack or explicit IPv4-only profile.</w:t>
      </w:r>
    </w:p>
    <w:p>
      <w:pPr>
        <w:pStyle w:val="TestBody"/>
        <w:rPr/>
      </w:pPr>
      <w:r>
        <w:rPr>
          <w:b/>
        </w:rPr>
        <w:t xml:space="preserve">Procedure: </w:t>
      </w:r>
      <w:r>
        <w:rPr/>
        <w:t>Check router advertisements, neighbor discovery, DHCPv6, source validation and unapproved transition paths; preserve required ICMPv6.</w:t>
      </w:r>
    </w:p>
    <w:p>
      <w:pPr>
        <w:pStyle w:val="TestBody"/>
        <w:rPr/>
      </w:pPr>
      <w:r>
        <w:rPr>
          <w:b/>
        </w:rPr>
        <w:t xml:space="preserve">Expected outcome: </w:t>
      </w:r>
      <w:r>
        <w:rPr/>
        <w:t>No alternate-protocol bypass; enabled IPv6 works correctly and disabled service does not create ungoverned reachability.</w:t>
      </w:r>
    </w:p>
    <w:p>
      <w:pPr>
        <w:pStyle w:val="TestBody"/>
        <w:rPr/>
      </w:pPr>
      <w:r>
        <w:rPr>
          <w:b/>
        </w:rPr>
        <w:t xml:space="preserve">Evidence: </w:t>
      </w:r>
      <w:r>
        <w:rPr/>
        <w:t>Protocol-specific controls, probes and qualification result.</w:t>
      </w:r>
    </w:p>
    <w:p>
      <w:pPr>
        <w:pStyle w:val="Small"/>
        <w:rPr/>
      </w:pPr>
      <w:r>
        <w:rPr/>
        <w:t>Mode: automated  |  Cadence: qualification; security-significant change  |  Execution: not-run</w:t>
      </w:r>
    </w:p>
    <w:p>
      <w:pPr>
        <w:pStyle w:val="Small"/>
        <w:rPr/>
      </w:pPr>
      <w:r>
        <w:rPr/>
        <w:t>Requirement links: RTE-004, IPV6-001, IPV6-002, IPV6-003</w:t>
      </w:r>
    </w:p>
    <w:p>
      <w:pPr>
        <w:pStyle w:val="TestTitle"/>
        <w:spacing w:before="200" w:after="100"/>
        <w:rPr/>
      </w:pPr>
      <w:bookmarkStart w:id="412" w:name="test_CT_032"/>
      <w:r>
        <w:rPr/>
        <w:t>CT-032 — MTU and path-MTU discovery</w:t>
      </w:r>
      <w:bookmarkEnd w:id="412"/>
    </w:p>
    <w:p>
      <w:pPr>
        <w:pStyle w:val="TestBody"/>
        <w:rPr/>
      </w:pPr>
      <w:r>
        <w:rPr>
          <w:b/>
        </w:rPr>
        <w:t xml:space="preserve">Preconditions: </w:t>
      </w:r>
      <w:r>
        <w:rPr/>
        <w:t>Known encapsulation stack and both local/remote paths.</w:t>
      </w:r>
    </w:p>
    <w:p>
      <w:pPr>
        <w:pStyle w:val="TestBody"/>
        <w:rPr/>
      </w:pPr>
      <w:r>
        <w:rPr>
          <w:b/>
        </w:rPr>
        <w:t xml:space="preserve">Procedure: </w:t>
      </w:r>
      <w:r>
        <w:rPr/>
        <w:t>Test supported workload packet sizes end-to-end, including security edge, nested overlay if offered and recovery site.</w:t>
      </w:r>
    </w:p>
    <w:p>
      <w:pPr>
        <w:pStyle w:val="TestBody"/>
        <w:rPr/>
      </w:pPr>
      <w:r>
        <w:rPr>
          <w:b/>
        </w:rPr>
        <w:t xml:space="preserve">Expected outcome: </w:t>
      </w:r>
      <w:r>
        <w:rPr/>
        <w:t>Accepted MTU is reachable without silent black holes; required PMTU feedback is delivered or a documented alternative works.</w:t>
      </w:r>
    </w:p>
    <w:p>
      <w:pPr>
        <w:pStyle w:val="TestBody"/>
        <w:rPr/>
      </w:pPr>
      <w:r>
        <w:rPr>
          <w:b/>
        </w:rPr>
        <w:t xml:space="preserve">Evidence: </w:t>
      </w:r>
      <w:r>
        <w:rPr/>
        <w:t>Packet-size matrix, encapsulation budget and loss traces.</w:t>
      </w:r>
    </w:p>
    <w:p>
      <w:pPr>
        <w:pStyle w:val="Small"/>
        <w:rPr/>
      </w:pPr>
      <w:r>
        <w:rPr/>
        <w:t>Mode: automated  |  Cadence: qualification; security-significant change  |  Execution: not-run</w:t>
      </w:r>
    </w:p>
    <w:p>
      <w:pPr>
        <w:pStyle w:val="Small"/>
        <w:rPr/>
      </w:pPr>
      <w:r>
        <w:rPr/>
        <w:t>Requirement links: IPV6-001, IPV6-003, EDGE-001, FAB-004, EVPN-002</w:t>
      </w:r>
    </w:p>
    <w:p>
      <w:pPr>
        <w:pStyle w:val="TestTitle"/>
        <w:spacing w:before="200" w:after="100"/>
        <w:rPr/>
      </w:pPr>
      <w:bookmarkStart w:id="413" w:name="test_CT_033"/>
      <w:r>
        <w:rPr/>
        <w:t>CT-033 — BGP and EVPN import/export boundaries</w:t>
      </w:r>
      <w:bookmarkEnd w:id="413"/>
    </w:p>
    <w:p>
      <w:pPr>
        <w:pStyle w:val="TestBody"/>
        <w:rPr/>
      </w:pPr>
      <w:r>
        <w:rPr>
          <w:b/>
        </w:rPr>
        <w:t xml:space="preserve">Preconditions: </w:t>
      </w:r>
      <w:r>
        <w:rPr/>
        <w:t>Provider-owned non-production peers and known approved routes.</w:t>
      </w:r>
    </w:p>
    <w:p>
      <w:pPr>
        <w:pStyle w:val="TestBody"/>
        <w:rPr/>
      </w:pPr>
      <w:r>
        <w:rPr>
          <w:b/>
        </w:rPr>
        <w:t xml:space="preserve">Procedure: </w:t>
      </w:r>
      <w:r>
        <w:rPr/>
        <w:t>Validate neighbor authentication/control-plane limits; advertise bounded unauthorized test prefixes/route targets through the test fixture.</w:t>
      </w:r>
    </w:p>
    <w:p>
      <w:pPr>
        <w:pStyle w:val="TestBody"/>
        <w:rPr/>
      </w:pPr>
      <w:r>
        <w:rPr>
          <w:b/>
        </w:rPr>
        <w:t xml:space="preserve">Expected outcome: </w:t>
      </w:r>
      <w:r>
        <w:rPr/>
        <w:t>Only authorized advertisements install; route leaks, excess prefixes and unapproved defaults are rejected and alerted.</w:t>
      </w:r>
    </w:p>
    <w:p>
      <w:pPr>
        <w:pStyle w:val="TestBody"/>
        <w:rPr/>
      </w:pPr>
      <w:r>
        <w:rPr>
          <w:b/>
        </w:rPr>
        <w:t xml:space="preserve">Evidence: </w:t>
      </w:r>
      <w:r>
        <w:rPr/>
        <w:t>Neighbor config, route-policy results and RIB/FIB diff.</w:t>
      </w:r>
    </w:p>
    <w:p>
      <w:pPr>
        <w:pStyle w:val="Small"/>
        <w:rPr/>
      </w:pPr>
      <w:r>
        <w:rPr/>
        <w:t>Mode: automated  |  Cadence: qualification; security-significant change  |  Execution: not-run</w:t>
      </w:r>
    </w:p>
    <w:p>
      <w:pPr>
        <w:pStyle w:val="Small"/>
        <w:rPr/>
      </w:pPr>
      <w:r>
        <w:rPr/>
        <w:t>Requirement links: INV-003, RTE-001, FAB-004, EVPN-001</w:t>
      </w:r>
    </w:p>
    <w:p>
      <w:pPr>
        <w:pStyle w:val="TestTitle"/>
        <w:spacing w:before="200" w:after="100"/>
        <w:rPr/>
      </w:pPr>
      <w:bookmarkStart w:id="414" w:name="test_CT_034"/>
      <w:r>
        <w:rPr/>
        <w:t>CT-034 — Leaf/link and multihoming failures</w:t>
      </w:r>
      <w:bookmarkEnd w:id="414"/>
    </w:p>
    <w:p>
      <w:pPr>
        <w:pStyle w:val="TestBody"/>
        <w:rPr/>
      </w:pPr>
      <w:r>
        <w:rPr>
          <w:b/>
        </w:rPr>
        <w:t xml:space="preserve">Preconditions: </w:t>
      </w:r>
      <w:r>
        <w:rPr/>
        <w:t>Approved MLAG or EVPN multihoming profile; topology-specific rollback.</w:t>
      </w:r>
    </w:p>
    <w:p>
      <w:pPr>
        <w:pStyle w:val="TestBody"/>
        <w:rPr/>
      </w:pPr>
      <w:r>
        <w:rPr>
          <w:b/>
        </w:rPr>
        <w:t xml:space="preserve">Procedure: </w:t>
      </w:r>
      <w:r>
        <w:rPr/>
        <w:t>Fail an uplink, peer link, keepalive or Ethernet-segment member individually, then restore it; test split-brain containment.</w:t>
      </w:r>
    </w:p>
    <w:p>
      <w:pPr>
        <w:pStyle w:val="TestBody"/>
        <w:rPr/>
      </w:pPr>
      <w:r>
        <w:rPr>
          <w:b/>
        </w:rPr>
        <w:t xml:space="preserve">Expected outcome: </w:t>
      </w:r>
      <w:r>
        <w:rPr/>
        <w:t>No loop, unintended duplicate forwarding or security bypass; measured convergence meets the fabric profile.</w:t>
      </w:r>
    </w:p>
    <w:p>
      <w:pPr>
        <w:pStyle w:val="TestBody"/>
        <w:rPr/>
      </w:pPr>
      <w:r>
        <w:rPr>
          <w:b/>
        </w:rPr>
        <w:t xml:space="preserve">Evidence: </w:t>
      </w:r>
      <w:r>
        <w:rPr/>
        <w:t>Fault timeline, MAC/route state, packet-loss and control-plane telemetry.</w:t>
      </w:r>
    </w:p>
    <w:p>
      <w:pPr>
        <w:pStyle w:val="Small"/>
        <w:rPr/>
      </w:pPr>
      <w:r>
        <w:rPr/>
        <w:t>Mode: controlled-fault  |  Cadence: qualification; fabric upgrade  |  Execution: not-run</w:t>
      </w:r>
    </w:p>
    <w:p>
      <w:pPr>
        <w:pStyle w:val="Small"/>
        <w:rPr/>
      </w:pPr>
      <w:r>
        <w:rPr/>
        <w:t>Requirement links: FAB-004, EVPN-002, TEST-004</w:t>
      </w:r>
    </w:p>
    <w:p>
      <w:pPr>
        <w:pStyle w:val="TestTitle"/>
        <w:spacing w:before="200" w:after="100"/>
        <w:rPr/>
      </w:pPr>
      <w:bookmarkStart w:id="415" w:name="test_CT_035"/>
      <w:r>
        <w:rPr/>
        <w:t>CT-035 — Compute co-residency and evacuation</w:t>
      </w:r>
      <w:bookmarkEnd w:id="415"/>
    </w:p>
    <w:p>
      <w:pPr>
        <w:pStyle w:val="TestBody"/>
        <w:rPr/>
      </w:pPr>
      <w:r>
        <w:rPr>
          <w:b/>
        </w:rPr>
        <w:t xml:space="preserve">Preconditions: </w:t>
      </w:r>
      <w:r>
        <w:rPr/>
        <w:t>Placement policy names tenant/domain/zone host-sharing boundaries.</w:t>
      </w:r>
    </w:p>
    <w:p>
      <w:pPr>
        <w:pStyle w:val="TestBody"/>
        <w:rPr/>
      </w:pPr>
      <w:r>
        <w:rPr>
          <w:b/>
        </w:rPr>
        <w:t xml:space="preserve">Procedure: </w:t>
      </w:r>
      <w:r>
        <w:rPr/>
        <w:t>Attempt disallowed placement and evacuate a host; repeat after a scheduler restart.</w:t>
      </w:r>
    </w:p>
    <w:p>
      <w:pPr>
        <w:pStyle w:val="TestBody"/>
        <w:rPr/>
      </w:pPr>
      <w:r>
        <w:rPr>
          <w:b/>
        </w:rPr>
        <w:t xml:space="preserve">Expected outcome: </w:t>
      </w:r>
      <w:r>
        <w:rPr/>
        <w:t>Placement, migration and HA restart all preserve the approved co-residency rules; insufficient eligible capacity rejects the action.</w:t>
      </w:r>
    </w:p>
    <w:p>
      <w:pPr>
        <w:pStyle w:val="TestBody"/>
        <w:rPr/>
      </w:pPr>
      <w:r>
        <w:rPr>
          <w:b/>
        </w:rPr>
        <w:t xml:space="preserve">Evidence: </w:t>
      </w:r>
      <w:r>
        <w:rPr/>
        <w:t>Scheduler decisions, host inventory and policy references.</w:t>
      </w:r>
    </w:p>
    <w:p>
      <w:pPr>
        <w:pStyle w:val="Small"/>
        <w:rPr/>
      </w:pPr>
      <w:r>
        <w:rPr/>
        <w:t>Mode: automated  |  Cadence: qualification; security-significant change  |  Execution: not-run</w:t>
      </w:r>
    </w:p>
    <w:p>
      <w:pPr>
        <w:pStyle w:val="Small"/>
        <w:rPr/>
      </w:pPr>
      <w:r>
        <w:rPr/>
        <w:t>Requirement links: THR-001, SDI-001, SDI-003, SDI-004, ZIP-005, SITE-004, CMP-001, CMP-003, PLACE-001, FUT-003, ASSUR-001, ASSUR-002</w:t>
      </w:r>
    </w:p>
    <w:p>
      <w:pPr>
        <w:pStyle w:val="TestTitle"/>
        <w:spacing w:before="200" w:after="100"/>
        <w:rPr/>
      </w:pPr>
      <w:bookmarkStart w:id="416" w:name="test_CT_036"/>
      <w:r>
        <w:rPr/>
        <w:t>CT-036 — Hypervisor and firmware baseline</w:t>
      </w:r>
      <w:bookmarkEnd w:id="416"/>
    </w:p>
    <w:p>
      <w:pPr>
        <w:pStyle w:val="TestBody"/>
        <w:rPr/>
      </w:pPr>
      <w:r>
        <w:rPr>
          <w:b/>
        </w:rPr>
        <w:t xml:space="preserve">Preconditions: </w:t>
      </w:r>
      <w:r>
        <w:rPr/>
        <w:t>Supported hardware/software tuple and security baseline.</w:t>
      </w:r>
    </w:p>
    <w:p>
      <w:pPr>
        <w:pStyle w:val="TestBody"/>
        <w:rPr/>
      </w:pPr>
      <w:r>
        <w:rPr>
          <w:b/>
        </w:rPr>
        <w:t xml:space="preserve">Procedure: </w:t>
      </w:r>
      <w:r>
        <w:rPr/>
        <w:t>Verify secure boot/attestation where required, disabled unnecessary services, administrative separation and inventory of firmware/drivers.</w:t>
      </w:r>
    </w:p>
    <w:p>
      <w:pPr>
        <w:pStyle w:val="TestBody"/>
        <w:rPr/>
      </w:pPr>
      <w:r>
        <w:rPr>
          <w:b/>
        </w:rPr>
        <w:t xml:space="preserve">Expected outcome: </w:t>
      </w:r>
      <w:r>
        <w:rPr/>
        <w:t>All mandatory baseline items are enforced; unsupported or unattested hosts are ineligible for the affected profile.</w:t>
      </w:r>
    </w:p>
    <w:p>
      <w:pPr>
        <w:pStyle w:val="TestBody"/>
        <w:rPr/>
      </w:pPr>
      <w:r>
        <w:rPr>
          <w:b/>
        </w:rPr>
        <w:t xml:space="preserve">Evidence: </w:t>
      </w:r>
      <w:r>
        <w:rPr/>
        <w:t>Baseline report, attestation/config output and exception ledger.</w:t>
      </w:r>
    </w:p>
    <w:p>
      <w:pPr>
        <w:pStyle w:val="Small"/>
        <w:rPr/>
      </w:pPr>
      <w:r>
        <w:rPr/>
        <w:t>Mode: design-and-automated  |  Cadence: qualification; host onboarding; scheduled  |  Execution: not-run</w:t>
      </w:r>
    </w:p>
    <w:p>
      <w:pPr>
        <w:pStyle w:val="Small"/>
        <w:rPr/>
      </w:pPr>
      <w:r>
        <w:rPr/>
        <w:t>Requirement links: CMP-002, IMG-001, IMG-002</w:t>
      </w:r>
    </w:p>
    <w:p>
      <w:pPr>
        <w:pStyle w:val="TestTitle"/>
        <w:spacing w:before="200" w:after="100"/>
        <w:rPr/>
      </w:pPr>
      <w:bookmarkStart w:id="417" w:name="test_CT_037"/>
      <w:r>
        <w:rPr/>
        <w:t>CT-037 — Storage tenant isolation</w:t>
      </w:r>
      <w:bookmarkEnd w:id="417"/>
    </w:p>
    <w:p>
      <w:pPr>
        <w:pStyle w:val="TestBody"/>
        <w:rPr/>
      </w:pPr>
      <w:r>
        <w:rPr>
          <w:b/>
        </w:rPr>
        <w:t xml:space="preserve">Preconditions: </w:t>
      </w:r>
      <w:r>
        <w:rPr/>
        <w:t>Two tenants with block/file/object resources and separate access identities.</w:t>
      </w:r>
    </w:p>
    <w:p>
      <w:pPr>
        <w:pStyle w:val="TestBody"/>
        <w:rPr/>
      </w:pPr>
      <w:r>
        <w:rPr>
          <w:b/>
        </w:rPr>
        <w:t xml:space="preserve">Procedure: </w:t>
      </w:r>
      <w:r>
        <w:rPr/>
        <w:t>Attempt foreign volume attachment, snapshot clone, file access and object access; include backup/export paths.</w:t>
      </w:r>
    </w:p>
    <w:p>
      <w:pPr>
        <w:pStyle w:val="TestBody"/>
        <w:rPr/>
      </w:pPr>
      <w:r>
        <w:rPr>
          <w:b/>
        </w:rPr>
        <w:t xml:space="preserve">Expected outcome: </w:t>
      </w:r>
      <w:r>
        <w:rPr/>
        <w:t>Only the owning or explicitly authorized scope accesses data; no clone or mount circumvents zone/categorization policy.</w:t>
      </w:r>
    </w:p>
    <w:p>
      <w:pPr>
        <w:pStyle w:val="TestBody"/>
        <w:rPr/>
      </w:pPr>
      <w:r>
        <w:rPr>
          <w:b/>
        </w:rPr>
        <w:t xml:space="preserve">Evidence: </w:t>
      </w:r>
      <w:r>
        <w:rPr/>
        <w:t>API decisions, storage ACLs and data-path tests.</w:t>
      </w:r>
    </w:p>
    <w:p>
      <w:pPr>
        <w:pStyle w:val="Small"/>
        <w:rPr/>
      </w:pPr>
      <w:r>
        <w:rPr/>
        <w:t>Mode: automated  |  Cadence: qualification; security-significant change  |  Execution: not-run</w:t>
      </w:r>
    </w:p>
    <w:p>
      <w:pPr>
        <w:pStyle w:val="Small"/>
        <w:rPr/>
      </w:pPr>
      <w:r>
        <w:rPr/>
        <w:t>Requirement links: SVC-001, STO-001, FUT-003, ASSUR-002</w:t>
      </w:r>
    </w:p>
    <w:p>
      <w:pPr>
        <w:pStyle w:val="TestTitle"/>
        <w:spacing w:before="200" w:after="100"/>
        <w:rPr/>
      </w:pPr>
      <w:bookmarkStart w:id="418" w:name="test_CT_038"/>
      <w:r>
        <w:rPr/>
        <w:t>CT-038 — Encryption, key isolation and KMS outage</w:t>
      </w:r>
      <w:bookmarkEnd w:id="418"/>
    </w:p>
    <w:p>
      <w:pPr>
        <w:pStyle w:val="TestBody"/>
        <w:rPr/>
      </w:pPr>
      <w:r>
        <w:rPr>
          <w:b/>
        </w:rPr>
        <w:t xml:space="preserve">Preconditions: </w:t>
      </w:r>
      <w:r>
        <w:rPr/>
        <w:t>Qualified cryptographic profile; disposable encrypted data and test key.</w:t>
      </w:r>
    </w:p>
    <w:p>
      <w:pPr>
        <w:pStyle w:val="TestBody"/>
        <w:rPr/>
      </w:pPr>
      <w:r>
        <w:rPr>
          <w:b/>
        </w:rPr>
        <w:t xml:space="preserve">Procedure: </w:t>
      </w:r>
      <w:r>
        <w:rPr/>
        <w:t>Validate encryption context and key-use permissions; rotate a test key and remove KMS connectivity under the approved runbook.</w:t>
      </w:r>
    </w:p>
    <w:p>
      <w:pPr>
        <w:pStyle w:val="TestBody"/>
        <w:rPr/>
      </w:pPr>
      <w:r>
        <w:rPr>
          <w:b/>
        </w:rPr>
        <w:t xml:space="preserve">Expected outcome: </w:t>
      </w:r>
      <w:r>
        <w:rPr/>
        <w:t>No unauthorized decrypt or plaintext fallback; documented cache/restart behavior matches policy; recovery preserves authorized data.</w:t>
      </w:r>
    </w:p>
    <w:p>
      <w:pPr>
        <w:pStyle w:val="TestBody"/>
        <w:rPr/>
      </w:pPr>
      <w:r>
        <w:rPr>
          <w:b/>
        </w:rPr>
        <w:t xml:space="preserve">Evidence: </w:t>
      </w:r>
      <w:r>
        <w:rPr/>
        <w:t>Crypto configuration, key audit, outage timeline and recovery test.</w:t>
      </w:r>
    </w:p>
    <w:p>
      <w:pPr>
        <w:pStyle w:val="Small"/>
        <w:rPr/>
      </w:pPr>
      <w:r>
        <w:rPr/>
        <w:t>Mode: controlled-fault  |  Cadence: qualification; key-service change  |  Execution: not-run</w:t>
      </w:r>
    </w:p>
    <w:p>
      <w:pPr>
        <w:pStyle w:val="Small"/>
        <w:rPr/>
      </w:pPr>
      <w:r>
        <w:rPr/>
        <w:t>Requirement links: SITE-004, CRY-001, CRY-002, CRY-003, BKP-004, FAIL-002, FAIL-003</w:t>
      </w:r>
    </w:p>
    <w:p>
      <w:pPr>
        <w:pStyle w:val="TestTitle"/>
        <w:spacing w:before="200" w:after="100"/>
        <w:rPr/>
      </w:pPr>
      <w:bookmarkStart w:id="419" w:name="test_CT_039"/>
      <w:r>
        <w:rPr/>
        <w:t>CT-039 — Storage performance and contention</w:t>
      </w:r>
      <w:bookmarkEnd w:id="419"/>
    </w:p>
    <w:p>
      <w:pPr>
        <w:pStyle w:val="TestBody"/>
        <w:rPr/>
      </w:pPr>
      <w:r>
        <w:rPr>
          <w:b/>
        </w:rPr>
        <w:t xml:space="preserve">Preconditions: </w:t>
      </w:r>
      <w:r>
        <w:rPr/>
        <w:t>Defined capacity/latency/throughput class and bounded load generators.</w:t>
      </w:r>
    </w:p>
    <w:p>
      <w:pPr>
        <w:pStyle w:val="TestBody"/>
        <w:rPr/>
      </w:pPr>
      <w:r>
        <w:rPr>
          <w:b/>
        </w:rPr>
        <w:t xml:space="preserve">Procedure: </w:t>
      </w:r>
      <w:r>
        <w:rPr/>
        <w:t>Measure steady load, contention and rebuild/degraded state with the same workload data pattern.</w:t>
      </w:r>
    </w:p>
    <w:p>
      <w:pPr>
        <w:pStyle w:val="TestBody"/>
        <w:rPr/>
      </w:pPr>
      <w:r>
        <w:rPr>
          <w:b/>
        </w:rPr>
        <w:t xml:space="preserve">Expected outcome: </w:t>
      </w:r>
      <w:r>
        <w:rPr/>
        <w:t>Class limits and protected minimums hold under the accepted failure budget; overload rejects growth rather than bypassing controls.</w:t>
      </w:r>
    </w:p>
    <w:p>
      <w:pPr>
        <w:pStyle w:val="TestBody"/>
        <w:rPr/>
      </w:pPr>
      <w:r>
        <w:rPr>
          <w:b/>
        </w:rPr>
        <w:t xml:space="preserve">Evidence: </w:t>
      </w:r>
      <w:r>
        <w:rPr/>
        <w:t>Latency percentiles, IOPS/throughput, capacity and noisy-neighbor results.</w:t>
      </w:r>
    </w:p>
    <w:p>
      <w:pPr>
        <w:pStyle w:val="Small"/>
        <w:rPr/>
      </w:pPr>
      <w:r>
        <w:rPr/>
        <w:t>Mode: automated  |  Cadence: qualification; security-significant change  |  Execution: not-run</w:t>
      </w:r>
    </w:p>
    <w:p>
      <w:pPr>
        <w:pStyle w:val="Small"/>
        <w:rPr/>
      </w:pPr>
      <w:r>
        <w:rPr/>
        <w:t>Requirement links: CMP-002, STO-002, REL-002, CAP-002</w:t>
      </w:r>
    </w:p>
    <w:p>
      <w:pPr>
        <w:pStyle w:val="TestTitle"/>
        <w:spacing w:before="200" w:after="100"/>
        <w:rPr/>
      </w:pPr>
      <w:bookmarkStart w:id="420" w:name="test_CT_040"/>
      <w:r>
        <w:rPr/>
        <w:t>CT-040 — Golden image provenance</w:t>
      </w:r>
      <w:bookmarkEnd w:id="420"/>
    </w:p>
    <w:p>
      <w:pPr>
        <w:pStyle w:val="TestBody"/>
        <w:rPr/>
      </w:pPr>
      <w:r>
        <w:rPr>
          <w:b/>
        </w:rPr>
        <w:t xml:space="preserve">Preconditions: </w:t>
      </w:r>
      <w:r>
        <w:rPr/>
        <w:t>Approved image digest, build manifest and denied image fixture.</w:t>
      </w:r>
    </w:p>
    <w:p>
      <w:pPr>
        <w:pStyle w:val="TestBody"/>
        <w:rPr/>
      </w:pPr>
      <w:r>
        <w:rPr>
          <w:b/>
        </w:rPr>
        <w:t xml:space="preserve">Procedure: </w:t>
      </w:r>
      <w:r>
        <w:rPr/>
        <w:t>Verify signature/provenance, scan status, boot mode and hardening; attempt deployment of retired/tampered images.</w:t>
      </w:r>
    </w:p>
    <w:p>
      <w:pPr>
        <w:pStyle w:val="TestBody"/>
        <w:rPr/>
      </w:pPr>
      <w:r>
        <w:rPr>
          <w:b/>
        </w:rPr>
        <w:t xml:space="preserve">Expected outcome: </w:t>
      </w:r>
      <w:r>
        <w:rPr/>
        <w:t>Only eligible images deploy; exceptions are explicit; rebuild output links to its source and component inventory.</w:t>
      </w:r>
    </w:p>
    <w:p>
      <w:pPr>
        <w:pStyle w:val="TestBody"/>
        <w:rPr/>
      </w:pPr>
      <w:r>
        <w:rPr>
          <w:b/>
        </w:rPr>
        <w:t xml:space="preserve">Evidence: </w:t>
      </w:r>
      <w:r>
        <w:rPr/>
        <w:t>Image manifest, signature validation, scan and admission decisions.</w:t>
      </w:r>
    </w:p>
    <w:p>
      <w:pPr>
        <w:pStyle w:val="Small"/>
        <w:rPr/>
      </w:pPr>
      <w:r>
        <w:rPr/>
        <w:t>Mode: automated  |  Cadence: qualification; security-significant change  |  Execution: not-run</w:t>
      </w:r>
    </w:p>
    <w:p>
      <w:pPr>
        <w:pStyle w:val="Small"/>
        <w:rPr/>
      </w:pPr>
      <w:r>
        <w:rPr/>
        <w:t>Requirement links: IMG-001, IMG-002, VULN-002</w:t>
      </w:r>
    </w:p>
    <w:p>
      <w:pPr>
        <w:pStyle w:val="TestTitle"/>
        <w:spacing w:before="200" w:after="100"/>
        <w:rPr/>
      </w:pPr>
      <w:bookmarkStart w:id="421" w:name="test_CT_041"/>
      <w:r>
        <w:rPr/>
        <w:t>CT-041 — Patch and vulnerability lifecycle</w:t>
      </w:r>
      <w:bookmarkEnd w:id="421"/>
    </w:p>
    <w:p>
      <w:pPr>
        <w:pStyle w:val="TestBody"/>
        <w:rPr/>
      </w:pPr>
      <w:r>
        <w:rPr>
          <w:b/>
        </w:rPr>
        <w:t xml:space="preserve">Preconditions: </w:t>
      </w:r>
      <w:r>
        <w:rPr/>
        <w:t>Inventory, severity policy and an approved non-production patch scenario.</w:t>
      </w:r>
    </w:p>
    <w:p>
      <w:pPr>
        <w:pStyle w:val="TestBody"/>
        <w:rPr/>
      </w:pPr>
      <w:r>
        <w:rPr>
          <w:b/>
        </w:rPr>
        <w:t xml:space="preserve">Procedure: </w:t>
      </w:r>
      <w:r>
        <w:rPr/>
        <w:t>Create a finding, classify exposure, execute canary remediation, verify fix and record time against the selected deadline.</w:t>
      </w:r>
    </w:p>
    <w:p>
      <w:pPr>
        <w:pStyle w:val="TestBody"/>
        <w:rPr/>
      </w:pPr>
      <w:r>
        <w:rPr>
          <w:b/>
        </w:rPr>
        <w:t xml:space="preserve">Expected outcome: </w:t>
      </w:r>
      <w:r>
        <w:rPr/>
        <w:t>No asset or firmware layer is omitted; overdue risk escalates; roll-forward/rollback preserves service and security.</w:t>
      </w:r>
    </w:p>
    <w:p>
      <w:pPr>
        <w:pStyle w:val="TestBody"/>
        <w:rPr/>
      </w:pPr>
      <w:r>
        <w:rPr>
          <w:b/>
        </w:rPr>
        <w:t xml:space="preserve">Evidence: </w:t>
      </w:r>
      <w:r>
        <w:rPr/>
        <w:t>Finding-to-change-to-verification chain and deadline report.</w:t>
      </w:r>
    </w:p>
    <w:p>
      <w:pPr>
        <w:pStyle w:val="Small"/>
        <w:rPr/>
      </w:pPr>
      <w:r>
        <w:rPr/>
        <w:t>Mode: automated  |  Cadence: qualification; security-significant change  |  Execution: not-run</w:t>
      </w:r>
    </w:p>
    <w:p>
      <w:pPr>
        <w:pStyle w:val="Small"/>
        <w:rPr/>
      </w:pPr>
      <w:r>
        <w:rPr/>
        <w:t>Requirement links: IMG-001, SUP-001, VULN-001, VULN-002</w:t>
      </w:r>
    </w:p>
    <w:p>
      <w:pPr>
        <w:pStyle w:val="TestTitle"/>
        <w:spacing w:before="200" w:after="100"/>
        <w:rPr/>
      </w:pPr>
      <w:bookmarkStart w:id="422" w:name="test_CT_042"/>
      <w:r>
        <w:rPr/>
        <w:t>CT-042 — Supply-chain and package provenance</w:t>
      </w:r>
      <w:bookmarkEnd w:id="422"/>
    </w:p>
    <w:p>
      <w:pPr>
        <w:pStyle w:val="TestBody"/>
        <w:rPr/>
      </w:pPr>
      <w:r>
        <w:rPr>
          <w:b/>
        </w:rPr>
        <w:t xml:space="preserve">Preconditions: </w:t>
      </w:r>
      <w:r>
        <w:rPr/>
        <w:t>Approved provider/module mirror and a tampered package fixture.</w:t>
      </w:r>
    </w:p>
    <w:p>
      <w:pPr>
        <w:pStyle w:val="TestBody"/>
        <w:rPr/>
      </w:pPr>
      <w:r>
        <w:rPr>
          <w:b/>
        </w:rPr>
        <w:t xml:space="preserve">Procedure: </w:t>
      </w:r>
      <w:r>
        <w:rPr/>
        <w:t>Verify package checksums, immutable module references and execution image; test rejection of an unapproved provider/module source.</w:t>
      </w:r>
    </w:p>
    <w:p>
      <w:pPr>
        <w:pStyle w:val="TestBody"/>
        <w:rPr/>
      </w:pPr>
      <w:r>
        <w:rPr>
          <w:b/>
        </w:rPr>
        <w:t xml:space="preserve">Expected outcome: </w:t>
      </w:r>
      <w:r>
        <w:rPr/>
        <w:t>Tampered/unapproved artifacts never reach a privileged apply; lockfile changes require reviewed provenance.</w:t>
      </w:r>
    </w:p>
    <w:p>
      <w:pPr>
        <w:pStyle w:val="TestBody"/>
        <w:rPr/>
      </w:pPr>
      <w:r>
        <w:rPr>
          <w:b/>
        </w:rPr>
        <w:t xml:space="preserve">Evidence: </w:t>
      </w:r>
      <w:r>
        <w:rPr/>
        <w:t>Package manifests, verification output and CI policy decision.</w:t>
      </w:r>
    </w:p>
    <w:p>
      <w:pPr>
        <w:pStyle w:val="Small"/>
        <w:rPr/>
      </w:pPr>
      <w:r>
        <w:rPr/>
        <w:t>Mode: automated  |  Cadence: qualification; security-significant change  |  Execution: not-run</w:t>
      </w:r>
    </w:p>
    <w:p>
      <w:pPr>
        <w:pStyle w:val="Small"/>
        <w:rPr/>
      </w:pPr>
      <w:r>
        <w:rPr/>
        <w:t>Requirement links: TF-001, TF-002, TF-005, CICD-002, SUP-001, VULN-001, VULN-002</w:t>
      </w:r>
    </w:p>
    <w:p>
      <w:pPr>
        <w:pStyle w:val="TestTitle"/>
        <w:spacing w:before="200" w:after="100"/>
        <w:rPr/>
      </w:pPr>
      <w:bookmarkStart w:id="423" w:name="test_CT_043"/>
      <w:r>
        <w:rPr/>
        <w:t>CT-043 — Terraform plan and state confidentiality</w:t>
      </w:r>
      <w:bookmarkEnd w:id="423"/>
    </w:p>
    <w:p>
      <w:pPr>
        <w:pStyle w:val="TestBody"/>
        <w:rPr/>
      </w:pPr>
      <w:r>
        <w:rPr>
          <w:b/>
        </w:rPr>
        <w:t xml:space="preserve">Preconditions: </w:t>
      </w:r>
      <w:r>
        <w:rPr/>
        <w:t>Disposable secrets and restricted plan/state storage.</w:t>
      </w:r>
    </w:p>
    <w:p>
      <w:pPr>
        <w:pStyle w:val="TestBody"/>
        <w:rPr/>
      </w:pPr>
      <w:r>
        <w:rPr>
          <w:b/>
        </w:rPr>
        <w:t xml:space="preserve">Procedure: </w:t>
      </w:r>
      <w:r>
        <w:rPr/>
        <w:t>Inspect source, logs, binary/JSON plan and state using controlled test values; verify supported ephemeral/write-only behavior.</w:t>
      </w:r>
    </w:p>
    <w:p>
      <w:pPr>
        <w:pStyle w:val="TestBody"/>
        <w:rPr/>
      </w:pPr>
      <w:r>
        <w:rPr>
          <w:b/>
        </w:rPr>
        <w:t xml:space="preserve">Expected outcome: </w:t>
      </w:r>
      <w:r>
        <w:rPr/>
        <w:t>Secrets are absent where promised; unavoidable secret-bearing artifacts remain encrypted, access-controlled and redacted from logs.</w:t>
      </w:r>
    </w:p>
    <w:p>
      <w:pPr>
        <w:pStyle w:val="TestBody"/>
        <w:rPr/>
      </w:pPr>
      <w:r>
        <w:rPr>
          <w:b/>
        </w:rPr>
        <w:t xml:space="preserve">Evidence: </w:t>
      </w:r>
      <w:r>
        <w:rPr/>
        <w:t>Secret-handling scan, backend ACLs and artifact classification.</w:t>
      </w:r>
    </w:p>
    <w:p>
      <w:pPr>
        <w:pStyle w:val="Small"/>
        <w:rPr/>
      </w:pPr>
      <w:r>
        <w:rPr/>
        <w:t>Mode: automated  |  Cadence: qualification; security-significant change  |  Execution: not-run</w:t>
      </w:r>
    </w:p>
    <w:p>
      <w:pPr>
        <w:pStyle w:val="Small"/>
        <w:rPr/>
      </w:pPr>
      <w:r>
        <w:rPr/>
        <w:t>Requirement links: TF-001, STATE-002, SEC-001, SEC-003, SEC-004</w:t>
      </w:r>
    </w:p>
    <w:p>
      <w:pPr>
        <w:pStyle w:val="TestTitle"/>
        <w:spacing w:before="200" w:after="100"/>
        <w:rPr/>
      </w:pPr>
      <w:bookmarkStart w:id="424" w:name="test_CT_044"/>
      <w:r>
        <w:rPr/>
        <w:t>CT-044 — State locking, recovery and grants</w:t>
      </w:r>
      <w:bookmarkEnd w:id="424"/>
    </w:p>
    <w:p>
      <w:pPr>
        <w:pStyle w:val="TestBody"/>
        <w:rPr/>
      </w:pPr>
      <w:r>
        <w:rPr>
          <w:b/>
        </w:rPr>
        <w:t xml:space="preserve">Preconditions: </w:t>
      </w:r>
      <w:r>
        <w:rPr/>
        <w:t>Two authorized runners, versioned state and documented lock recovery.</w:t>
      </w:r>
    </w:p>
    <w:p>
      <w:pPr>
        <w:pStyle w:val="TestBody"/>
        <w:rPr/>
      </w:pPr>
      <w:r>
        <w:rPr>
          <w:b/>
        </w:rPr>
        <w:t xml:space="preserve">Procedure: </w:t>
      </w:r>
      <w:r>
        <w:rPr/>
        <w:t>Race updates to one state, restore a known state version in isolation and test a workload runner against foundation state.</w:t>
      </w:r>
    </w:p>
    <w:p>
      <w:pPr>
        <w:pStyle w:val="TestBody"/>
        <w:rPr/>
      </w:pPr>
      <w:r>
        <w:rPr>
          <w:b/>
        </w:rPr>
        <w:t xml:space="preserve">Expected outcome: </w:t>
      </w:r>
      <w:r>
        <w:rPr/>
        <w:t>Only one writer operates; restore is auditable; unauthorized state reads/writes fail; state rollback is not misrepresented as resource rollback.</w:t>
      </w:r>
    </w:p>
    <w:p>
      <w:pPr>
        <w:pStyle w:val="TestBody"/>
        <w:rPr/>
      </w:pPr>
      <w:r>
        <w:rPr>
          <w:b/>
        </w:rPr>
        <w:t xml:space="preserve">Evidence: </w:t>
      </w:r>
      <w:r>
        <w:rPr/>
        <w:t>Lock timeline, recovery report and access decisions.</w:t>
      </w:r>
    </w:p>
    <w:p>
      <w:pPr>
        <w:pStyle w:val="Small"/>
        <w:rPr/>
      </w:pPr>
      <w:r>
        <w:rPr/>
        <w:t>Mode: automated  |  Cadence: qualification; security-significant change  |  Execution: not-run</w:t>
      </w:r>
    </w:p>
    <w:p>
      <w:pPr>
        <w:pStyle w:val="Small"/>
        <w:rPr/>
      </w:pPr>
      <w:r>
        <w:rPr/>
        <w:t>Requirement links: MGT-003, TF-003, TF-004, STATE-001, STATE-002, STATE-003, SEC-002, SEC-004, FAIL-003</w:t>
      </w:r>
    </w:p>
    <w:p>
      <w:pPr>
        <w:pStyle w:val="TestTitle"/>
        <w:spacing w:before="200" w:after="100"/>
        <w:rPr/>
      </w:pPr>
      <w:bookmarkStart w:id="425" w:name="test_CT_045"/>
      <w:r>
        <w:rPr/>
        <w:t>CT-045 — Partial apply and compensation</w:t>
      </w:r>
      <w:bookmarkEnd w:id="425"/>
    </w:p>
    <w:p>
      <w:pPr>
        <w:pStyle w:val="TestBody"/>
        <w:rPr/>
      </w:pPr>
      <w:r>
        <w:rPr>
          <w:b/>
        </w:rPr>
        <w:t xml:space="preserve">Preconditions: </w:t>
      </w:r>
      <w:r>
        <w:rPr/>
        <w:t>Disposable multi-stage deployment and a failure-injection point.</w:t>
      </w:r>
    </w:p>
    <w:p>
      <w:pPr>
        <w:pStyle w:val="TestBody"/>
        <w:rPr/>
      </w:pPr>
      <w:r>
        <w:rPr>
          <w:b/>
        </w:rPr>
        <w:t xml:space="preserve">Procedure: </w:t>
      </w:r>
      <w:r>
        <w:rPr/>
        <w:t>Interrupt after allocation or one provider action; restart with the same operation ID and observe discovery/repair.</w:t>
      </w:r>
    </w:p>
    <w:p>
      <w:pPr>
        <w:pStyle w:val="TestBody"/>
        <w:rPr/>
      </w:pPr>
      <w:r>
        <w:rPr>
          <w:b/>
        </w:rPr>
        <w:t xml:space="preserve">Expected outcome: </w:t>
      </w:r>
      <w:r>
        <w:rPr/>
        <w:t>No duplicate allocation or accidental destruction; unfinished resources remain quarantined; the journal supports safe resume or controlled compensation.</w:t>
      </w:r>
    </w:p>
    <w:p>
      <w:pPr>
        <w:pStyle w:val="TestBody"/>
        <w:rPr/>
      </w:pPr>
      <w:r>
        <w:rPr>
          <w:b/>
        </w:rPr>
        <w:t xml:space="preserve">Evidence: </w:t>
      </w:r>
      <w:r>
        <w:rPr/>
        <w:t>Operation journal, state generations and residual-resource scan.</w:t>
      </w:r>
    </w:p>
    <w:p>
      <w:pPr>
        <w:pStyle w:val="Small"/>
        <w:rPr/>
      </w:pPr>
      <w:r>
        <w:rPr/>
        <w:t>Mode: controlled-fault  |  Cadence: controller/adapter change  |  Execution: not-run</w:t>
      </w:r>
    </w:p>
    <w:p>
      <w:pPr>
        <w:pStyle w:val="Small"/>
        <w:rPr/>
      </w:pPr>
      <w:r>
        <w:rPr/>
        <w:t>Requirement links: INV-007, IPAM-004, NUT-004, AUTO-001, AUTO-002, AUTO-003, STATE-003</w:t>
      </w:r>
    </w:p>
    <w:p>
      <w:pPr>
        <w:pStyle w:val="TestTitle"/>
        <w:spacing w:before="200" w:after="100"/>
        <w:rPr/>
      </w:pPr>
      <w:bookmarkStart w:id="426" w:name="test_CT_046"/>
      <w:r>
        <w:rPr/>
        <w:t>CT-046 — Retries, optimistic concurrency and idempotency</w:t>
      </w:r>
      <w:bookmarkEnd w:id="426"/>
    </w:p>
    <w:p>
      <w:pPr>
        <w:pStyle w:val="TestBody"/>
        <w:rPr/>
      </w:pPr>
      <w:r>
        <w:rPr>
          <w:b/>
        </w:rPr>
        <w:t xml:space="preserve">Preconditions: </w:t>
      </w:r>
      <w:r>
        <w:rPr/>
        <w:t>Controller accepts request ID and expected resource generation.</w:t>
      </w:r>
    </w:p>
    <w:p>
      <w:pPr>
        <w:pStyle w:val="TestBody"/>
        <w:rPr/>
      </w:pPr>
      <w:r>
        <w:rPr>
          <w:b/>
        </w:rPr>
        <w:t xml:space="preserve">Procedure: </w:t>
      </w:r>
      <w:r>
        <w:rPr/>
        <w:t>Replay an operation, submit stale updates, and interrupt response delivery after successful allocation.</w:t>
      </w:r>
    </w:p>
    <w:p>
      <w:pPr>
        <w:pStyle w:val="TestBody"/>
        <w:rPr/>
      </w:pPr>
      <w:r>
        <w:rPr>
          <w:b/>
        </w:rPr>
        <w:t xml:space="preserve">Expected outcome: </w:t>
      </w:r>
      <w:r>
        <w:rPr/>
        <w:t>Replay returns the existing operation; stale updates conflict; one desired generation yields one accountable realization.</w:t>
      </w:r>
    </w:p>
    <w:p>
      <w:pPr>
        <w:pStyle w:val="TestBody"/>
        <w:rPr/>
      </w:pPr>
      <w:r>
        <w:rPr>
          <w:b/>
        </w:rPr>
        <w:t xml:space="preserve">Evidence: </w:t>
      </w:r>
      <w:r>
        <w:rPr/>
        <w:t>API responses, generation history and allocation counts.</w:t>
      </w:r>
    </w:p>
    <w:p>
      <w:pPr>
        <w:pStyle w:val="Small"/>
        <w:rPr/>
      </w:pPr>
      <w:r>
        <w:rPr/>
        <w:t>Mode: automated  |  Cadence: each controller change  |  Execution: not-run</w:t>
      </w:r>
    </w:p>
    <w:p>
      <w:pPr>
        <w:pStyle w:val="Small"/>
        <w:rPr/>
      </w:pPr>
      <w:r>
        <w:rPr/>
        <w:t>Requirement links: IPAM-004, API-003, AUTO-002, AUTO-003</w:t>
      </w:r>
    </w:p>
    <w:p>
      <w:pPr>
        <w:pStyle w:val="TestTitle"/>
        <w:spacing w:before="200" w:after="100"/>
        <w:rPr/>
      </w:pPr>
      <w:bookmarkStart w:id="427" w:name="test_CT_047"/>
      <w:r>
        <w:rPr/>
        <w:t>CT-047 — API rate limit and backpressure</w:t>
      </w:r>
      <w:bookmarkEnd w:id="427"/>
    </w:p>
    <w:p>
      <w:pPr>
        <w:pStyle w:val="TestBody"/>
        <w:rPr/>
      </w:pPr>
      <w:r>
        <w:rPr>
          <w:b/>
        </w:rPr>
        <w:t xml:space="preserve">Preconditions: </w:t>
      </w:r>
      <w:r>
        <w:rPr/>
        <w:t>Finite controller queue and test provider throttling.</w:t>
      </w:r>
    </w:p>
    <w:p>
      <w:pPr>
        <w:pStyle w:val="TestBody"/>
        <w:rPr/>
      </w:pPr>
      <w:r>
        <w:rPr>
          <w:b/>
        </w:rPr>
        <w:t xml:space="preserve">Procedure: </w:t>
      </w:r>
      <w:r>
        <w:rPr/>
        <w:t>Increase authorized test demand to the configured limit; inject retryable throttling/timeouts and permanent errors.</w:t>
      </w:r>
    </w:p>
    <w:p>
      <w:pPr>
        <w:pStyle w:val="TestBody"/>
        <w:rPr/>
      </w:pPr>
      <w:r>
        <w:rPr>
          <w:b/>
        </w:rPr>
        <w:t xml:space="preserve">Expected outcome: </w:t>
      </w:r>
      <w:r>
        <w:rPr/>
        <w:t>Backpressure is visible and bounded; retry honors policy/jitter; permanent errors do not loop indefinitely or consume unbounded capacity.</w:t>
      </w:r>
    </w:p>
    <w:p>
      <w:pPr>
        <w:pStyle w:val="TestBody"/>
        <w:rPr/>
      </w:pPr>
      <w:r>
        <w:rPr>
          <w:b/>
        </w:rPr>
        <w:t xml:space="preserve">Evidence: </w:t>
      </w:r>
      <w:r>
        <w:rPr/>
        <w:t>Queue metrics, retries, deadlines and final operation states.</w:t>
      </w:r>
    </w:p>
    <w:p>
      <w:pPr>
        <w:pStyle w:val="Small"/>
        <w:rPr/>
      </w:pPr>
      <w:r>
        <w:rPr/>
        <w:t>Mode: automated  |  Cadence: qualification; security-significant change  |  Execution: not-run</w:t>
      </w:r>
    </w:p>
    <w:p>
      <w:pPr>
        <w:pStyle w:val="Small"/>
        <w:rPr/>
      </w:pPr>
      <w:r>
        <w:rPr/>
        <w:t>Requirement links: AUTO-003, CAP-002</w:t>
      </w:r>
    </w:p>
    <w:p>
      <w:pPr>
        <w:pStyle w:val="TestTitle"/>
        <w:spacing w:before="200" w:after="100"/>
        <w:rPr/>
      </w:pPr>
      <w:bookmarkStart w:id="428" w:name="test_CT_048"/>
      <w:r>
        <w:rPr/>
        <w:t>CT-048 — Approved-plan freshness</w:t>
      </w:r>
      <w:bookmarkEnd w:id="428"/>
    </w:p>
    <w:p>
      <w:pPr>
        <w:pStyle w:val="TestBody"/>
        <w:rPr/>
      </w:pPr>
      <w:r>
        <w:rPr>
          <w:b/>
        </w:rPr>
        <w:t xml:space="preserve">Preconditions: </w:t>
      </w:r>
      <w:r>
        <w:rPr/>
        <w:t>Signed plan, immutable inputs and an intervening policy or state change.</w:t>
      </w:r>
    </w:p>
    <w:p>
      <w:pPr>
        <w:pStyle w:val="TestBody"/>
        <w:rPr/>
      </w:pPr>
      <w:r>
        <w:rPr>
          <w:b/>
        </w:rPr>
        <w:t xml:space="preserve">Procedure: </w:t>
      </w:r>
      <w:r>
        <w:rPr/>
        <w:t>Change state generation, policy bundle or approval-sensitive intent after planning; try to apply the old artifact.</w:t>
      </w:r>
    </w:p>
    <w:p>
      <w:pPr>
        <w:pStyle w:val="TestBody"/>
        <w:rPr/>
      </w:pPr>
      <w:r>
        <w:rPr>
          <w:b/>
        </w:rPr>
        <w:t xml:space="preserve">Expected outcome: </w:t>
      </w:r>
      <w:r>
        <w:rPr/>
        <w:t>Stale/unapproved plans are rejected and replanned; approved artifacts bind source, inputs, policy, identity and expiration.</w:t>
      </w:r>
    </w:p>
    <w:p>
      <w:pPr>
        <w:pStyle w:val="TestBody"/>
        <w:rPr/>
      </w:pPr>
      <w:r>
        <w:rPr>
          <w:b/>
        </w:rPr>
        <w:t xml:space="preserve">Evidence: </w:t>
      </w:r>
      <w:r>
        <w:rPr/>
        <w:t>Plan digest, approvals and rejected apply audit.</w:t>
      </w:r>
    </w:p>
    <w:p>
      <w:pPr>
        <w:pStyle w:val="Small"/>
        <w:rPr/>
      </w:pPr>
      <w:r>
        <w:rPr/>
        <w:t>Mode: automated  |  Cadence: qualification; security-significant change  |  Execution: not-run</w:t>
      </w:r>
    </w:p>
    <w:p>
      <w:pPr>
        <w:pStyle w:val="Small"/>
        <w:rPr/>
      </w:pPr>
      <w:r>
        <w:rPr/>
        <w:t>Requirement links: SDI-004, POL-002, AUTO-002, TF-002, TF-005, CICD-001, CICD-002, EVID-002</w:t>
      </w:r>
    </w:p>
    <w:p>
      <w:pPr>
        <w:pStyle w:val="TestTitle"/>
        <w:spacing w:before="200" w:after="100"/>
        <w:rPr/>
      </w:pPr>
      <w:bookmarkStart w:id="429" w:name="test_CT_049"/>
      <w:r>
        <w:rPr/>
        <w:t>CT-049 — Evidence integrity and authorization separation</w:t>
      </w:r>
      <w:bookmarkEnd w:id="429"/>
    </w:p>
    <w:p>
      <w:pPr>
        <w:pStyle w:val="TestBody"/>
        <w:rPr/>
      </w:pPr>
      <w:r>
        <w:rPr>
          <w:b/>
        </w:rPr>
        <w:t xml:space="preserve">Preconditions: </w:t>
      </w:r>
      <w:r>
        <w:rPr/>
        <w:t>Signed evidence manifest and separately signed authorization decision.</w:t>
      </w:r>
    </w:p>
    <w:p>
      <w:pPr>
        <w:pStyle w:val="TestBody"/>
        <w:rPr/>
      </w:pPr>
      <w:r>
        <w:rPr>
          <w:b/>
        </w:rPr>
        <w:t xml:space="preserve">Procedure: </w:t>
      </w:r>
      <w:r>
        <w:rPr/>
        <w:t>Tamper with an artifact; expire a decision; fail a technical test while preserving the historical authorization record.</w:t>
      </w:r>
    </w:p>
    <w:p>
      <w:pPr>
        <w:pStyle w:val="TestBody"/>
        <w:rPr/>
      </w:pPr>
      <w:r>
        <w:rPr>
          <w:b/>
        </w:rPr>
        <w:t xml:space="preserve">Expected outcome: </w:t>
      </w:r>
      <w:r>
        <w:rPr/>
        <w:t>Tampering is detected; technical status never self-issues authorization; readiness follows current evidence and decision conditions.</w:t>
      </w:r>
    </w:p>
    <w:p>
      <w:pPr>
        <w:pStyle w:val="TestBody"/>
        <w:rPr/>
      </w:pPr>
      <w:r>
        <w:rPr>
          <w:b/>
        </w:rPr>
        <w:t xml:space="preserve">Evidence: </w:t>
      </w:r>
      <w:r>
        <w:rPr/>
        <w:t>Digests/signature checks, readiness evaluation and decision history.</w:t>
      </w:r>
    </w:p>
    <w:p>
      <w:pPr>
        <w:pStyle w:val="Small"/>
        <w:rPr/>
      </w:pPr>
      <w:r>
        <w:rPr/>
        <w:t>Mode: automated  |  Cadence: qualification; security-significant change  |  Execution: not-run</w:t>
      </w:r>
    </w:p>
    <w:p>
      <w:pPr>
        <w:pStyle w:val="Small"/>
        <w:rPr/>
      </w:pPr>
      <w:r>
        <w:rPr/>
        <w:t>Requirement links: INV-006, AUTH-001, DRIFT-001, TEST-003, EVID-001, EVID-002, EVID-003, OBS-001, IR-002, ONB-001, ACPT-001</w:t>
      </w:r>
    </w:p>
    <w:p>
      <w:pPr>
        <w:pStyle w:val="TestTitle"/>
        <w:spacing w:before="200" w:after="100"/>
        <w:rPr/>
      </w:pPr>
      <w:bookmarkStart w:id="430" w:name="test_CT_050"/>
      <w:r>
        <w:rPr/>
        <w:t>CT-050 — Telemetry outage, buffering and retention</w:t>
      </w:r>
      <w:bookmarkEnd w:id="430"/>
    </w:p>
    <w:p>
      <w:pPr>
        <w:pStyle w:val="TestBody"/>
        <w:rPr/>
      </w:pPr>
      <w:r>
        <w:rPr>
          <w:b/>
        </w:rPr>
        <w:t xml:space="preserve">Preconditions: </w:t>
      </w:r>
      <w:r>
        <w:rPr/>
        <w:t>Logging profile specifies export latency, buffer limits and retention/disposal policy.</w:t>
      </w:r>
    </w:p>
    <w:p>
      <w:pPr>
        <w:pStyle w:val="TestBody"/>
        <w:rPr/>
      </w:pPr>
      <w:r>
        <w:rPr>
          <w:b/>
        </w:rPr>
        <w:t xml:space="preserve">Procedure: </w:t>
      </w:r>
      <w:r>
        <w:rPr/>
        <w:t>Disconnect the collector; generate bounded events; restore connectivity and reconcile sequence/time gaps.</w:t>
      </w:r>
    </w:p>
    <w:p>
      <w:pPr>
        <w:pStyle w:val="TestBody"/>
        <w:rPr/>
      </w:pPr>
      <w:r>
        <w:rPr>
          <w:b/>
        </w:rPr>
        <w:t xml:space="preserve">Expected outcome: </w:t>
      </w:r>
      <w:r>
        <w:rPr/>
        <w:t>Loss/overflow is alerted; buffering behavior matches profile; mandatory evidence gaps are visible; no silent control bypass.</w:t>
      </w:r>
    </w:p>
    <w:p>
      <w:pPr>
        <w:pStyle w:val="TestBody"/>
        <w:rPr/>
      </w:pPr>
      <w:r>
        <w:rPr>
          <w:b/>
        </w:rPr>
        <w:t xml:space="preserve">Evidence: </w:t>
      </w:r>
      <w:r>
        <w:rPr/>
        <w:t>Buffer metrics, event reconciliation and retention configuration.</w:t>
      </w:r>
    </w:p>
    <w:p>
      <w:pPr>
        <w:pStyle w:val="Small"/>
        <w:rPr/>
      </w:pPr>
      <w:r>
        <w:rPr/>
        <w:t>Mode: controlled-fault  |  Cadence: qualification; logging change  |  Execution: not-run</w:t>
      </w:r>
    </w:p>
    <w:p>
      <w:pPr>
        <w:pStyle w:val="Small"/>
        <w:rPr/>
      </w:pPr>
      <w:r>
        <w:rPr/>
        <w:t>Requirement links: OBS-002, OBS-003, FAIL-002, FAIL-003</w:t>
      </w:r>
    </w:p>
    <w:p>
      <w:pPr>
        <w:pStyle w:val="TestTitle"/>
        <w:spacing w:before="200" w:after="100"/>
        <w:rPr/>
      </w:pPr>
      <w:bookmarkStart w:id="431" w:name="test_CT_051"/>
      <w:r>
        <w:rPr/>
        <w:t>CT-051 — Backup administrative separation and immutability</w:t>
      </w:r>
      <w:bookmarkEnd w:id="431"/>
    </w:p>
    <w:p>
      <w:pPr>
        <w:pStyle w:val="TestBody"/>
        <w:rPr/>
      </w:pPr>
      <w:r>
        <w:rPr>
          <w:b/>
        </w:rPr>
        <w:t xml:space="preserve">Preconditions: </w:t>
      </w:r>
      <w:r>
        <w:rPr/>
        <w:t>Test backup policy includes an isolated locked copy.</w:t>
      </w:r>
    </w:p>
    <w:p>
      <w:pPr>
        <w:pStyle w:val="TestBody"/>
        <w:rPr/>
      </w:pPr>
      <w:r>
        <w:rPr>
          <w:b/>
        </w:rPr>
        <w:t xml:space="preserve">Procedure: </w:t>
      </w:r>
      <w:r>
        <w:rPr/>
        <w:t>Try deletion or retention reduction with production and backup-operator identities; test approved custodial operations separately.</w:t>
      </w:r>
    </w:p>
    <w:p>
      <w:pPr>
        <w:pStyle w:val="TestBody"/>
        <w:rPr/>
      </w:pPr>
      <w:r>
        <w:rPr>
          <w:b/>
        </w:rPr>
        <w:t xml:space="preserve">Expected outcome: </w:t>
      </w:r>
      <w:r>
        <w:rPr/>
        <w:t>Compromised production authority cannot alter the protected copy or its retention; authorized actions are separately accountable.</w:t>
      </w:r>
    </w:p>
    <w:p>
      <w:pPr>
        <w:pStyle w:val="TestBody"/>
        <w:rPr/>
      </w:pPr>
      <w:r>
        <w:rPr>
          <w:b/>
        </w:rPr>
        <w:t xml:space="preserve">Evidence: </w:t>
      </w:r>
      <w:r>
        <w:rPr/>
        <w:t>Role tests, object-lock/immutability configuration and audit.</w:t>
      </w:r>
    </w:p>
    <w:p>
      <w:pPr>
        <w:pStyle w:val="Small"/>
        <w:rPr/>
      </w:pPr>
      <w:r>
        <w:rPr/>
        <w:t>Mode: automated  |  Cadence: qualification; security-significant change  |  Execution: not-run</w:t>
      </w:r>
    </w:p>
    <w:p>
      <w:pPr>
        <w:pStyle w:val="Small"/>
        <w:rPr/>
      </w:pPr>
      <w:r>
        <w:rPr/>
        <w:t>Requirement links: BKP-001, BKP-003, BKP-004</w:t>
      </w:r>
    </w:p>
    <w:p>
      <w:pPr>
        <w:pStyle w:val="TestTitle"/>
        <w:spacing w:before="200" w:after="100"/>
        <w:rPr/>
      </w:pPr>
      <w:bookmarkStart w:id="432" w:name="test_CT_052"/>
      <w:r>
        <w:rPr/>
        <w:t>CT-052 — Application-consistent isolated restore</w:t>
      </w:r>
      <w:bookmarkEnd w:id="432"/>
    </w:p>
    <w:p>
      <w:pPr>
        <w:pStyle w:val="TestBody"/>
        <w:rPr/>
      </w:pPr>
      <w:r>
        <w:rPr>
          <w:b/>
        </w:rPr>
        <w:t xml:space="preserve">Preconditions: </w:t>
      </w:r>
      <w:r>
        <w:rPr/>
        <w:t>Known application dataset, consistency markers and accepted RTO/RPO.</w:t>
      </w:r>
    </w:p>
    <w:p>
      <w:pPr>
        <w:pStyle w:val="TestBody"/>
        <w:rPr/>
      </w:pPr>
      <w:r>
        <w:rPr>
          <w:b/>
        </w:rPr>
        <w:t xml:space="preserve">Procedure: </w:t>
      </w:r>
      <w:r>
        <w:rPr/>
        <w:t>Restore to an isolated recovery domain; verify integrity, application start and required dependencies before controlled reconnection.</w:t>
      </w:r>
    </w:p>
    <w:p>
      <w:pPr>
        <w:pStyle w:val="TestBody"/>
        <w:rPr/>
      </w:pPr>
      <w:r>
        <w:rPr>
          <w:b/>
        </w:rPr>
        <w:t xml:space="preserve">Expected outcome: </w:t>
      </w:r>
      <w:r>
        <w:rPr/>
        <w:t>Recovered data meets consistency/RPO and recovery timing; no production connection appears until authorized.</w:t>
      </w:r>
    </w:p>
    <w:p>
      <w:pPr>
        <w:pStyle w:val="TestBody"/>
        <w:rPr/>
      </w:pPr>
      <w:r>
        <w:rPr>
          <w:b/>
        </w:rPr>
        <w:t xml:space="preserve">Evidence: </w:t>
      </w:r>
      <w:r>
        <w:rPr/>
        <w:t>Recovery timestamps, integrity markers, application checks and isolation probes.</w:t>
      </w:r>
    </w:p>
    <w:p>
      <w:pPr>
        <w:pStyle w:val="Small"/>
        <w:rPr/>
      </w:pPr>
      <w:r>
        <w:rPr/>
        <w:t>Mode: controlled-recovery  |  Cadence: quarterly; material application change  |  Execution: not-run</w:t>
      </w:r>
    </w:p>
    <w:p>
      <w:pPr>
        <w:pStyle w:val="Small"/>
        <w:rPr/>
      </w:pPr>
      <w:r>
        <w:rPr/>
        <w:t>Requirement links: SITE-003, STO-002, BKP-002, BKP-003, REL-001, FAIL-001, REC-001, REC-002, DEL-001</w:t>
      </w:r>
    </w:p>
    <w:p>
      <w:pPr>
        <w:pStyle w:val="TestTitle"/>
        <w:spacing w:before="200" w:after="100"/>
        <w:rPr/>
      </w:pPr>
      <w:bookmarkStart w:id="433" w:name="test_CT_053"/>
      <w:r>
        <w:rPr/>
        <w:t>CT-053 — Backup retention, holds and key survival</w:t>
      </w:r>
      <w:bookmarkEnd w:id="433"/>
    </w:p>
    <w:p>
      <w:pPr>
        <w:pStyle w:val="TestBody"/>
        <w:rPr/>
      </w:pPr>
      <w:r>
        <w:rPr>
          <w:b/>
        </w:rPr>
        <w:t xml:space="preserve">Preconditions: </w:t>
      </w:r>
      <w:r>
        <w:rPr/>
        <w:t>A test hold, expiring backup and keys needed by retained copies.</w:t>
      </w:r>
    </w:p>
    <w:p>
      <w:pPr>
        <w:pStyle w:val="TestBody"/>
        <w:rPr/>
      </w:pPr>
      <w:r>
        <w:rPr>
          <w:b/>
        </w:rPr>
        <w:t xml:space="preserve">Procedure: </w:t>
      </w:r>
      <w:r>
        <w:rPr/>
        <w:t>Retire the WSD while retaining the held copy; attempt key deletion and validate an authorized restore of retained data.</w:t>
      </w:r>
    </w:p>
    <w:p>
      <w:pPr>
        <w:pStyle w:val="TestBody"/>
        <w:rPr/>
      </w:pPr>
      <w:r>
        <w:rPr>
          <w:b/>
        </w:rPr>
        <w:t xml:space="preserve">Expected outcome: </w:t>
      </w:r>
      <w:r>
        <w:rPr/>
        <w:t>Hold and retention are enforced; key lifetime supports required recovery; data is not prematurely destroyed.</w:t>
      </w:r>
    </w:p>
    <w:p>
      <w:pPr>
        <w:pStyle w:val="TestBody"/>
        <w:rPr/>
      </w:pPr>
      <w:r>
        <w:rPr>
          <w:b/>
        </w:rPr>
        <w:t xml:space="preserve">Evidence: </w:t>
      </w:r>
      <w:r>
        <w:rPr/>
        <w:t>Hold/retention decision, key dependencies and restore evidence.</w:t>
      </w:r>
    </w:p>
    <w:p>
      <w:pPr>
        <w:pStyle w:val="Small"/>
        <w:rPr/>
      </w:pPr>
      <w:r>
        <w:rPr/>
        <w:t>Mode: automated  |  Cadence: qualification; security-significant change  |  Execution: not-run</w:t>
      </w:r>
    </w:p>
    <w:p>
      <w:pPr>
        <w:pStyle w:val="Small"/>
        <w:rPr/>
      </w:pPr>
      <w:r>
        <w:rPr/>
        <w:t>Requirement links: STO-001, STO-003, CRY-002, BKP-003, BKP-004, LIFE-002, LIFE-003</w:t>
      </w:r>
    </w:p>
    <w:p>
      <w:pPr>
        <w:pStyle w:val="TestTitle"/>
        <w:spacing w:before="200" w:after="100"/>
        <w:rPr/>
      </w:pPr>
      <w:bookmarkStart w:id="434" w:name="test_CT_054"/>
      <w:r>
        <w:rPr/>
        <w:t>CT-054 — Site loss, fencing and failback</w:t>
      </w:r>
      <w:bookmarkEnd w:id="434"/>
    </w:p>
    <w:p>
      <w:pPr>
        <w:pStyle w:val="TestBody"/>
        <w:rPr/>
      </w:pPr>
      <w:r>
        <w:rPr>
          <w:b/>
        </w:rPr>
        <w:t xml:space="preserve">Preconditions: </w:t>
      </w:r>
      <w:r>
        <w:rPr/>
        <w:t>Two qualified sites; isolated exercise scope and owner-approved recovery plan.</w:t>
      </w:r>
    </w:p>
    <w:p>
      <w:pPr>
        <w:pStyle w:val="TestBody"/>
        <w:rPr/>
      </w:pPr>
      <w:r>
        <w:rPr>
          <w:b/>
        </w:rPr>
        <w:t xml:space="preserve">Procedure: </w:t>
      </w:r>
      <w:r>
        <w:rPr/>
        <w:t>Declare simulated primary loss, fence writers, restore/promote at recovery site, verify DNS/identity/policy, then perform controlled failback.</w:t>
      </w:r>
    </w:p>
    <w:p>
      <w:pPr>
        <w:pStyle w:val="TestBody"/>
        <w:rPr/>
      </w:pPr>
      <w:r>
        <w:rPr>
          <w:b/>
        </w:rPr>
        <w:t xml:space="preserve">Expected outcome: </w:t>
      </w:r>
      <w:r>
        <w:rPr/>
        <w:t>No split-brain or policy relaxation; measured RTO/RPO and data ownership match the recovery profile.</w:t>
      </w:r>
    </w:p>
    <w:p>
      <w:pPr>
        <w:pStyle w:val="TestBody"/>
        <w:rPr/>
      </w:pPr>
      <w:r>
        <w:rPr>
          <w:b/>
        </w:rPr>
        <w:t xml:space="preserve">Evidence: </w:t>
      </w:r>
      <w:r>
        <w:rPr/>
        <w:t>Failure timeline, fencing proof, replication checkpoints and end-to-end tests.</w:t>
      </w:r>
    </w:p>
    <w:p>
      <w:pPr>
        <w:pStyle w:val="Small"/>
        <w:rPr/>
      </w:pPr>
      <w:r>
        <w:rPr/>
        <w:t>Mode: controlled-recovery  |  Cadence: qualification; scheduled recovery exercise  |  Execution: not-run</w:t>
      </w:r>
    </w:p>
    <w:p>
      <w:pPr>
        <w:pStyle w:val="Small"/>
        <w:rPr/>
      </w:pPr>
      <w:r>
        <w:rPr/>
        <w:t>Requirement links: SITE-001, SITE-002, SITE-003, SITE-004, BKP-002, REL-001, REL-002, TEST-004, FAIL-002, FAIL-003, REC-001, REC-002, MIG-003</w:t>
      </w:r>
    </w:p>
    <w:p>
      <w:pPr>
        <w:pStyle w:val="TestTitle"/>
        <w:spacing w:before="200" w:after="100"/>
        <w:rPr/>
      </w:pPr>
      <w:bookmarkStart w:id="435" w:name="test_CT_055"/>
      <w:r>
        <w:rPr/>
        <w:t>CT-055 — Management/control-plane bootstrap recovery</w:t>
      </w:r>
      <w:bookmarkEnd w:id="435"/>
    </w:p>
    <w:p>
      <w:pPr>
        <w:pStyle w:val="TestBody"/>
        <w:rPr/>
      </w:pPr>
      <w:r>
        <w:rPr>
          <w:b/>
        </w:rPr>
        <w:t xml:space="preserve">Preconditions: </w:t>
      </w:r>
      <w:r>
        <w:rPr/>
        <w:t>Offline recovery manifest and independent access to state, DNS/time, trust and keys.</w:t>
      </w:r>
    </w:p>
    <w:p>
      <w:pPr>
        <w:pStyle w:val="TestBody"/>
        <w:rPr/>
      </w:pPr>
      <w:r>
        <w:rPr>
          <w:b/>
        </w:rPr>
        <w:t xml:space="preserve">Procedure: </w:t>
      </w:r>
      <w:r>
        <w:rPr/>
        <w:t>Recover essential management/controller services in the documented dependency order in an isolated environment.</w:t>
      </w:r>
    </w:p>
    <w:p>
      <w:pPr>
        <w:pStyle w:val="TestBody"/>
        <w:rPr/>
      </w:pPr>
      <w:r>
        <w:rPr>
          <w:b/>
        </w:rPr>
        <w:t xml:space="preserve">Expected outcome: </w:t>
      </w:r>
      <w:r>
        <w:rPr/>
        <w:t>Recovery does not require the unavailable production service it is restoring; credentials and old state remain accountable.</w:t>
      </w:r>
    </w:p>
    <w:p>
      <w:pPr>
        <w:pStyle w:val="TestBody"/>
        <w:rPr/>
      </w:pPr>
      <w:r>
        <w:rPr>
          <w:b/>
        </w:rPr>
        <w:t xml:space="preserve">Evidence: </w:t>
      </w:r>
      <w:r>
        <w:rPr/>
        <w:t>Dependency graph, recovery steps, integrity checks and measured recovery time.</w:t>
      </w:r>
    </w:p>
    <w:p>
      <w:pPr>
        <w:pStyle w:val="Small"/>
        <w:rPr/>
      </w:pPr>
      <w:r>
        <w:rPr/>
        <w:t>Mode: controlled-recovery  |  Cadence: annual; foundation redesign  |  Execution: not-run</w:t>
      </w:r>
    </w:p>
    <w:p>
      <w:pPr>
        <w:pStyle w:val="Small"/>
        <w:rPr/>
      </w:pPr>
      <w:r>
        <w:rPr/>
        <w:t>Requirement links: MGT-005, SITE-001, CRY-003, STATE-002, FAIL-002, FAIL-003, REC-001, REC-002</w:t>
      </w:r>
    </w:p>
    <w:p>
      <w:pPr>
        <w:pStyle w:val="TestTitle"/>
        <w:spacing w:before="200" w:after="100"/>
        <w:rPr/>
      </w:pPr>
      <w:bookmarkStart w:id="436" w:name="test_CT_056"/>
      <w:r>
        <w:rPr/>
        <w:t>CT-056 — Resource and address capacity exhaustion</w:t>
      </w:r>
      <w:bookmarkEnd w:id="436"/>
    </w:p>
    <w:p>
      <w:pPr>
        <w:pStyle w:val="TestBody"/>
        <w:rPr/>
      </w:pPr>
      <w:r>
        <w:rPr>
          <w:b/>
        </w:rPr>
        <w:t xml:space="preserve">Preconditions: </w:t>
      </w:r>
      <w:r>
        <w:rPr/>
        <w:t>Hard quotas, reservations and admission thresholds.</w:t>
      </w:r>
    </w:p>
    <w:p>
      <w:pPr>
        <w:pStyle w:val="TestBody"/>
        <w:rPr/>
      </w:pPr>
      <w:r>
        <w:rPr>
          <w:b/>
        </w:rPr>
        <w:t xml:space="preserve">Procedure: </w:t>
      </w:r>
      <w:r>
        <w:rPr/>
        <w:t>Exhaust test compute/storage/edge context/address capacity, then request both ordinary and dedicated service classes.</w:t>
      </w:r>
    </w:p>
    <w:p>
      <w:pPr>
        <w:pStyle w:val="TestBody"/>
        <w:rPr/>
      </w:pPr>
      <w:r>
        <w:rPr>
          <w:b/>
        </w:rPr>
        <w:t xml:space="preserve">Expected outcome: </w:t>
      </w:r>
      <w:r>
        <w:rPr/>
        <w:t>Requests stop with an explicit reason; required HA/security headroom is not consumed or silently weakened.</w:t>
      </w:r>
    </w:p>
    <w:p>
      <w:pPr>
        <w:pStyle w:val="TestBody"/>
        <w:rPr/>
      </w:pPr>
      <w:r>
        <w:rPr>
          <w:b/>
        </w:rPr>
        <w:t xml:space="preserve">Evidence: </w:t>
      </w:r>
      <w:r>
        <w:rPr/>
        <w:t>Reservation ledger, rejected decisions and remaining-headroom report.</w:t>
      </w:r>
    </w:p>
    <w:p>
      <w:pPr>
        <w:pStyle w:val="Small"/>
        <w:rPr/>
      </w:pPr>
      <w:r>
        <w:rPr/>
        <w:t>Mode: automated  |  Cadence: qualification; security-significant change  |  Execution: not-run</w:t>
      </w:r>
    </w:p>
    <w:p>
      <w:pPr>
        <w:pStyle w:val="Small"/>
        <w:rPr/>
      </w:pPr>
      <w:r>
        <w:rPr/>
        <w:t>Requirement links: CMP-001, REL-002, PLACE-001, SVCM-001, CAP-001, CAP-002</w:t>
      </w:r>
    </w:p>
    <w:p>
      <w:pPr>
        <w:pStyle w:val="TestTitle"/>
        <w:spacing w:before="200" w:after="100"/>
        <w:rPr/>
      </w:pPr>
      <w:bookmarkStart w:id="437" w:name="test_CT_057"/>
      <w:r>
        <w:rPr/>
        <w:t>CT-057 — Incident quarantine and reconciler precedence</w:t>
      </w:r>
      <w:bookmarkEnd w:id="437"/>
    </w:p>
    <w:p>
      <w:pPr>
        <w:pStyle w:val="TestBody"/>
        <w:rPr/>
      </w:pPr>
      <w:r>
        <w:rPr>
          <w:b/>
        </w:rPr>
        <w:t xml:space="preserve">Preconditions: </w:t>
      </w:r>
      <w:r>
        <w:rPr/>
        <w:t>Scoped incident role and expiring emergency override.</w:t>
      </w:r>
    </w:p>
    <w:p>
      <w:pPr>
        <w:pStyle w:val="TestBody"/>
        <w:rPr/>
      </w:pPr>
      <w:r>
        <w:rPr>
          <w:b/>
        </w:rPr>
        <w:t xml:space="preserve">Procedure: </w:t>
      </w:r>
      <w:r>
        <w:rPr/>
        <w:t>Quarantine one WSD, remove exposure and run normal reconciliation; test unaffected tenants.</w:t>
      </w:r>
    </w:p>
    <w:p>
      <w:pPr>
        <w:pStyle w:val="TestBody"/>
        <w:rPr/>
      </w:pPr>
      <w:r>
        <w:rPr>
          <w:b/>
        </w:rPr>
        <w:t xml:space="preserve">Expected outcome: </w:t>
      </w:r>
      <w:r>
        <w:rPr/>
        <w:t>Containment persists under higher-priority incident policy until released; unrelated tenants remain available.</w:t>
      </w:r>
    </w:p>
    <w:p>
      <w:pPr>
        <w:pStyle w:val="TestBody"/>
        <w:rPr/>
      </w:pPr>
      <w:r>
        <w:rPr>
          <w:b/>
        </w:rPr>
        <w:t xml:space="preserve">Evidence: </w:t>
      </w:r>
      <w:r>
        <w:rPr/>
        <w:t>Override object, effective policy, reconciliation audit and tenant probes.</w:t>
      </w:r>
    </w:p>
    <w:p>
      <w:pPr>
        <w:pStyle w:val="Small"/>
        <w:rPr/>
      </w:pPr>
      <w:r>
        <w:rPr/>
        <w:t>Mode: controlled-fault  |  Cadence: quarterly; containment change  |  Execution: not-run</w:t>
      </w:r>
    </w:p>
    <w:p>
      <w:pPr>
        <w:pStyle w:val="Small"/>
        <w:rPr/>
      </w:pPr>
      <w:r>
        <w:rPr/>
        <w:t>Requirement links: TEN-003, SUP-001, DRIFT-001, DRIFT-002, DRIFT-003, IR-001, IR-002</w:t>
      </w:r>
    </w:p>
    <w:p>
      <w:pPr>
        <w:pStyle w:val="TestTitle"/>
        <w:spacing w:before="200" w:after="100"/>
        <w:rPr/>
      </w:pPr>
      <w:bookmarkStart w:id="438" w:name="test_CT_058"/>
      <w:r>
        <w:rPr/>
        <w:t>CT-058 — Exception approval and expiry</w:t>
      </w:r>
      <w:bookmarkEnd w:id="438"/>
    </w:p>
    <w:p>
      <w:pPr>
        <w:pStyle w:val="TestBody"/>
        <w:rPr/>
      </w:pPr>
      <w:r>
        <w:rPr>
          <w:b/>
        </w:rPr>
        <w:t xml:space="preserve">Preconditions: </w:t>
      </w:r>
      <w:r>
        <w:rPr/>
        <w:t>Versioned exception with risk owner, affected requirement and end time.</w:t>
      </w:r>
    </w:p>
    <w:p>
      <w:pPr>
        <w:pStyle w:val="TestBody"/>
        <w:rPr/>
      </w:pPr>
      <w:r>
        <w:rPr>
          <w:b/>
        </w:rPr>
        <w:t xml:space="preserve">Procedure: </w:t>
      </w:r>
      <w:r>
        <w:rPr/>
        <w:t>Test unapproved, expired and valid exceptions; expire one during a running operation.</w:t>
      </w:r>
    </w:p>
    <w:p>
      <w:pPr>
        <w:pStyle w:val="TestBody"/>
        <w:rPr/>
      </w:pPr>
      <w:r>
        <w:rPr>
          <w:b/>
        </w:rPr>
        <w:t xml:space="preserve">Expected outcome: </w:t>
      </w:r>
      <w:r>
        <w:rPr/>
        <w:t>No unapproved exception grants access; expiry changes posture and triggers the documented action without indiscriminate destruction.</w:t>
      </w:r>
    </w:p>
    <w:p>
      <w:pPr>
        <w:pStyle w:val="TestBody"/>
        <w:rPr/>
      </w:pPr>
      <w:r>
        <w:rPr>
          <w:b/>
        </w:rPr>
        <w:t xml:space="preserve">Evidence: </w:t>
      </w:r>
      <w:r>
        <w:rPr/>
        <w:t>Approval records, admission results and expiry event.</w:t>
      </w:r>
    </w:p>
    <w:p>
      <w:pPr>
        <w:pStyle w:val="Small"/>
        <w:rPr/>
      </w:pPr>
      <w:r>
        <w:rPr/>
        <w:t>Mode: automated  |  Cadence: each policy/controller change  |  Execution: not-run</w:t>
      </w:r>
    </w:p>
    <w:p>
      <w:pPr>
        <w:pStyle w:val="Small"/>
        <w:rPr/>
      </w:pPr>
      <w:r>
        <w:rPr/>
        <w:t>Requirement links: RTE-003, CICD-001, DRIFT-003, ASSUR-003, EVID-003, IR-002, MIG-001, EXC-001, EXC-002, EXC-003</w:t>
      </w:r>
    </w:p>
    <w:p>
      <w:pPr>
        <w:pStyle w:val="TestTitle"/>
        <w:spacing w:before="200" w:after="100"/>
        <w:rPr/>
      </w:pPr>
      <w:bookmarkStart w:id="439" w:name="test_CT_059"/>
      <w:r>
        <w:rPr/>
        <w:t>CT-059 — Data sanitization and resource reuse</w:t>
      </w:r>
      <w:bookmarkEnd w:id="439"/>
    </w:p>
    <w:p>
      <w:pPr>
        <w:pStyle w:val="TestBody"/>
        <w:rPr/>
      </w:pPr>
      <w:r>
        <w:rPr>
          <w:b/>
        </w:rPr>
        <w:t xml:space="preserve">Preconditions: </w:t>
      </w:r>
      <w:r>
        <w:rPr/>
        <w:t>Disposable data, snapshot/clone inventory and approved media method.</w:t>
      </w:r>
    </w:p>
    <w:p>
      <w:pPr>
        <w:pStyle w:val="TestBody"/>
        <w:rPr/>
      </w:pPr>
      <w:r>
        <w:rPr>
          <w:b/>
        </w:rPr>
        <w:t xml:space="preserve">Procedure: </w:t>
      </w:r>
      <w:r>
        <w:rPr/>
        <w:t>Retire the storage object, verify retained copies, sanitize according to the approved method and allocate to another test tenant.</w:t>
      </w:r>
    </w:p>
    <w:p>
      <w:pPr>
        <w:pStyle w:val="TestBody"/>
        <w:rPr/>
      </w:pPr>
      <w:r>
        <w:rPr>
          <w:b/>
        </w:rPr>
        <w:t xml:space="preserve">Expected outcome: </w:t>
      </w:r>
      <w:r>
        <w:rPr/>
        <w:t>New tenant cannot recover prior data; retained evidence identifies method, scope, exceptions and all surviving copies.</w:t>
      </w:r>
    </w:p>
    <w:p>
      <w:pPr>
        <w:pStyle w:val="TestBody"/>
        <w:rPr/>
      </w:pPr>
      <w:r>
        <w:rPr>
          <w:b/>
        </w:rPr>
        <w:t xml:space="preserve">Evidence: </w:t>
      </w:r>
      <w:r>
        <w:rPr/>
        <w:t>Sanitization receipt, reuse test and copy/dependency ledger.</w:t>
      </w:r>
    </w:p>
    <w:p>
      <w:pPr>
        <w:pStyle w:val="Small"/>
        <w:rPr/>
      </w:pPr>
      <w:r>
        <w:rPr/>
        <w:t>Mode: design-and-automated  |  Cadence: qualification; storage lifecycle change  |  Execution: not-run</w:t>
      </w:r>
    </w:p>
    <w:p>
      <w:pPr>
        <w:pStyle w:val="Small"/>
        <w:rPr/>
      </w:pPr>
      <w:r>
        <w:rPr/>
        <w:t>Requirement links: STO-003, CRY-002, FUT-003, LIFE-001, LIFE-002, LIFE-003</w:t>
      </w:r>
    </w:p>
    <w:p>
      <w:pPr>
        <w:pStyle w:val="TestTitle"/>
        <w:spacing w:before="200" w:after="100"/>
        <w:rPr/>
      </w:pPr>
      <w:bookmarkStart w:id="440" w:name="test_CT_060"/>
      <w:r>
        <w:rPr/>
        <w:t>CT-060 — Portability and exit rehearsal</w:t>
      </w:r>
      <w:bookmarkEnd w:id="440"/>
    </w:p>
    <w:p>
      <w:pPr>
        <w:pStyle w:val="TestBody"/>
        <w:rPr/>
      </w:pPr>
      <w:r>
        <w:rPr>
          <w:b/>
        </w:rPr>
        <w:t xml:space="preserve">Preconditions: </w:t>
      </w:r>
      <w:r>
        <w:rPr/>
        <w:t>Two target profiles plus an exit manifest containing data and application dependencies.</w:t>
      </w:r>
    </w:p>
    <w:p>
      <w:pPr>
        <w:pStyle w:val="TestBody"/>
        <w:rPr/>
      </w:pPr>
      <w:r>
        <w:rPr>
          <w:b/>
        </w:rPr>
        <w:t xml:space="preserve">Procedure: </w:t>
      </w:r>
      <w:r>
        <w:rPr/>
        <w:t>Export/rebuild the workload, convert only supported formats, import data and rebind identity/network/keys; run functional and security checks.</w:t>
      </w:r>
    </w:p>
    <w:p>
      <w:pPr>
        <w:pStyle w:val="TestBody"/>
        <w:rPr/>
      </w:pPr>
      <w:r>
        <w:rPr>
          <w:b/>
        </w:rPr>
        <w:t xml:space="preserve">Expected outcome: </w:t>
      </w:r>
      <w:r>
        <w:rPr/>
        <w:t>Consumer semantics survive; downtime, data loss, format limitations and cost drivers are recorded; no untested live-migration claim.</w:t>
      </w:r>
    </w:p>
    <w:p>
      <w:pPr>
        <w:pStyle w:val="TestBody"/>
        <w:rPr/>
      </w:pPr>
      <w:r>
        <w:rPr>
          <w:b/>
        </w:rPr>
        <w:t xml:space="preserve">Evidence: </w:t>
      </w:r>
      <w:r>
        <w:rPr/>
        <w:t>Exit manifest, conversion logs, reconciliation report and conformance results.</w:t>
      </w:r>
    </w:p>
    <w:p>
      <w:pPr>
        <w:pStyle w:val="Small"/>
        <w:rPr/>
      </w:pPr>
      <w:r>
        <w:rPr/>
        <w:t>Mode: controlled-recovery  |  Cadence: qualification; annual representative rehearsal  |  Execution: not-run</w:t>
      </w:r>
    </w:p>
    <w:p>
      <w:pPr>
        <w:pStyle w:val="Small"/>
        <w:rPr/>
      </w:pPr>
      <w:r>
        <w:rPr/>
        <w:t>Requirement links: INV-005, REF-001, STO-002, PLACE-003, PORT-003, REC-002, MIG-001, MIG-002, MIG-003, DEL-002</w:t>
      </w:r>
    </w:p>
    <w:p>
      <w:pPr>
        <w:pStyle w:val="TestTitle"/>
        <w:spacing w:before="200" w:after="100"/>
        <w:rPr/>
      </w:pPr>
      <w:bookmarkStart w:id="441" w:name="test_CT_061"/>
      <w:r>
        <w:rPr/>
        <w:t>CT-061 — Location, privacy and support access</w:t>
      </w:r>
      <w:bookmarkEnd w:id="441"/>
    </w:p>
    <w:p>
      <w:pPr>
        <w:pStyle w:val="TestBody"/>
        <w:rPr/>
      </w:pPr>
      <w:r>
        <w:rPr>
          <w:b/>
        </w:rPr>
        <w:t xml:space="preserve">Preconditions: </w:t>
      </w:r>
      <w:r>
        <w:rPr/>
        <w:t>PlacementProfile states permitted data, backup, telemetry, key and administrative locations.</w:t>
      </w:r>
    </w:p>
    <w:p>
      <w:pPr>
        <w:pStyle w:val="TestBody"/>
        <w:rPr/>
      </w:pPr>
      <w:r>
        <w:rPr>
          <w:b/>
        </w:rPr>
        <w:t xml:space="preserve">Procedure: </w:t>
      </w:r>
      <w:r>
        <w:rPr/>
        <w:t>Compare all components and support paths to those constraints; test a placement or support session outside allowed scope.</w:t>
      </w:r>
    </w:p>
    <w:p>
      <w:pPr>
        <w:pStyle w:val="TestBody"/>
        <w:rPr/>
      </w:pPr>
      <w:r>
        <w:rPr>
          <w:b/>
        </w:rPr>
        <w:t xml:space="preserve">Expected outcome: </w:t>
      </w:r>
      <w:r>
        <w:rPr/>
        <w:t>Nonconforming placement/access is rejected; exceptions require the designated authority; residency is not asserted to settle jurisdiction.</w:t>
      </w:r>
    </w:p>
    <w:p>
      <w:pPr>
        <w:pStyle w:val="TestBody"/>
        <w:rPr/>
      </w:pPr>
      <w:r>
        <w:rPr>
          <w:b/>
        </w:rPr>
        <w:t xml:space="preserve">Evidence: </w:t>
      </w:r>
      <w:r>
        <w:rPr/>
        <w:t>Location inventory, access logs and approval decisions.</w:t>
      </w:r>
    </w:p>
    <w:p>
      <w:pPr>
        <w:pStyle w:val="Small"/>
        <w:rPr/>
      </w:pPr>
      <w:r>
        <w:rPr/>
        <w:t>Mode: design-and-automated  |  Cadence: qualification; provider/location change  |  Execution: not-run</w:t>
      </w:r>
    </w:p>
    <w:p>
      <w:pPr>
        <w:pStyle w:val="Small"/>
        <w:rPr/>
      </w:pPr>
      <w:r>
        <w:rPr/>
        <w:t>Requirement links: IPAM-002, SITE-004, PLACE-001, PLACE-002, PORT-002</w:t>
      </w:r>
    </w:p>
    <w:p>
      <w:pPr>
        <w:pStyle w:val="TestTitle"/>
        <w:spacing w:before="200" w:after="100"/>
        <w:rPr/>
      </w:pPr>
      <w:bookmarkStart w:id="442" w:name="test_CT_062"/>
      <w:r>
        <w:rPr/>
        <w:t>CT-062 — Shared responsibility and control inheritance</w:t>
      </w:r>
      <w:bookmarkEnd w:id="442"/>
    </w:p>
    <w:p>
      <w:pPr>
        <w:pStyle w:val="TestBody"/>
        <w:rPr/>
      </w:pPr>
      <w:r>
        <w:rPr>
          <w:b/>
        </w:rPr>
        <w:t xml:space="preserve">Preconditions: </w:t>
      </w:r>
      <w:r>
        <w:rPr/>
        <w:t>System control profile, service ownership and inheritance declarations.</w:t>
      </w:r>
    </w:p>
    <w:p>
      <w:pPr>
        <w:pStyle w:val="TestBody"/>
        <w:rPr/>
      </w:pPr>
      <w:r>
        <w:rPr>
          <w:b/>
        </w:rPr>
        <w:t xml:space="preserve">Procedure: </w:t>
      </w:r>
      <w:r>
        <w:rPr/>
        <w:t>For each applicable control, identify provider, tenant or shared implementation, evidence and unresolved dependency.</w:t>
      </w:r>
    </w:p>
    <w:p>
      <w:pPr>
        <w:pStyle w:val="TestBody"/>
        <w:rPr/>
      </w:pPr>
      <w:r>
        <w:rPr>
          <w:b/>
        </w:rPr>
        <w:t xml:space="preserve">Expected outcome: </w:t>
      </w:r>
      <w:r>
        <w:rPr/>
        <w:t>No control is ownerless; inherited evidence is scoped, current and accepted; gaps block required readiness.</w:t>
      </w:r>
    </w:p>
    <w:p>
      <w:pPr>
        <w:pStyle w:val="TestBody"/>
        <w:rPr/>
      </w:pPr>
      <w:r>
        <w:rPr>
          <w:b/>
        </w:rPr>
        <w:t xml:space="preserve">Evidence: </w:t>
      </w:r>
      <w:r>
        <w:rPr/>
        <w:t>Control allocation matrix and assessor review.</w:t>
      </w:r>
    </w:p>
    <w:p>
      <w:pPr>
        <w:pStyle w:val="Small"/>
        <w:rPr/>
      </w:pPr>
      <w:r>
        <w:rPr/>
        <w:t>Mode: manual-review  |  Cadence: onboarding; major change; periodic review  |  Execution: not-run</w:t>
      </w:r>
    </w:p>
    <w:p>
      <w:pPr>
        <w:pStyle w:val="Small"/>
        <w:rPr/>
      </w:pPr>
      <w:r>
        <w:rPr/>
        <w:t>Requirement links: SCOPE-001, STD-001, STD-002, CAT-001, THR-001, WSD-003, CMP-003, REL-001, SVCM-001, RESP-001, ASSUR-001, ASSUR-002, OPS-001, OPS-002, EXC-001, ONB-001, ACPT-001</w:t>
      </w:r>
    </w:p>
    <w:p>
      <w:pPr>
        <w:pStyle w:val="TestTitle"/>
        <w:spacing w:before="200" w:after="100"/>
        <w:rPr/>
      </w:pPr>
      <w:bookmarkStart w:id="443" w:name="test_CT_063"/>
      <w:r>
        <w:rPr/>
        <w:t>CT-063 — Public certificate and trusted proxy identity</w:t>
      </w:r>
      <w:bookmarkEnd w:id="443"/>
    </w:p>
    <w:p>
      <w:pPr>
        <w:pStyle w:val="TestBody"/>
        <w:rPr/>
      </w:pPr>
      <w:r>
        <w:rPr>
          <w:b/>
        </w:rPr>
        <w:t xml:space="preserve">Preconditions: </w:t>
      </w:r>
      <w:r>
        <w:rPr/>
        <w:t>Approved ingress with backend encryption and trusted proxy policy.</w:t>
      </w:r>
    </w:p>
    <w:p>
      <w:pPr>
        <w:pStyle w:val="TestBody"/>
        <w:rPr/>
      </w:pPr>
      <w:r>
        <w:rPr>
          <w:b/>
        </w:rPr>
        <w:t xml:space="preserve">Procedure: </w:t>
      </w:r>
      <w:r>
        <w:rPr/>
        <w:t>Rotate the certificate, test expiry/incorrect hostname and submit forged client-identity headers through the controlled test client.</w:t>
      </w:r>
    </w:p>
    <w:p>
      <w:pPr>
        <w:pStyle w:val="TestBody"/>
        <w:rPr/>
      </w:pPr>
      <w:r>
        <w:rPr>
          <w:b/>
        </w:rPr>
        <w:t xml:space="preserve">Expected outcome: </w:t>
      </w:r>
      <w:r>
        <w:rPr/>
        <w:t>TLS identity is validated; backend trust is explicit; untrusted headers cannot impersonate the originating client.</w:t>
      </w:r>
    </w:p>
    <w:p>
      <w:pPr>
        <w:pStyle w:val="TestBody"/>
        <w:rPr/>
      </w:pPr>
      <w:r>
        <w:rPr>
          <w:b/>
        </w:rPr>
        <w:t xml:space="preserve">Evidence: </w:t>
      </w:r>
      <w:r>
        <w:rPr/>
        <w:t>TLS checks, proxy policy and attributed requests.</w:t>
      </w:r>
    </w:p>
    <w:p>
      <w:pPr>
        <w:pStyle w:val="Small"/>
        <w:rPr/>
      </w:pPr>
      <w:r>
        <w:rPr/>
        <w:t>Mode: automated  |  Cadence: qualification; security-significant change  |  Execution: not-run</w:t>
      </w:r>
    </w:p>
    <w:p>
      <w:pPr>
        <w:pStyle w:val="Small"/>
        <w:rPr/>
      </w:pPr>
      <w:r>
        <w:rPr/>
        <w:t>Requirement links: ING-002, EXP-001, CRY-001</w:t>
      </w:r>
    </w:p>
    <w:p>
      <w:pPr>
        <w:pStyle w:val="TestTitle"/>
        <w:spacing w:before="200" w:after="100"/>
        <w:rPr/>
      </w:pPr>
      <w:bookmarkStart w:id="444" w:name="test_CT_064"/>
      <w:r>
        <w:rPr/>
        <w:t>CT-064 — Egress policy and service-specific protocols</w:t>
      </w:r>
      <w:bookmarkEnd w:id="444"/>
    </w:p>
    <w:p>
      <w:pPr>
        <w:pStyle w:val="TestBody"/>
        <w:rPr/>
      </w:pPr>
      <w:r>
        <w:rPr>
          <w:b/>
        </w:rPr>
        <w:t xml:space="preserve">Preconditions: </w:t>
      </w:r>
      <w:r>
        <w:rPr/>
        <w:t>Approved egress service includes protocol, destination and DNS resolution policy.</w:t>
      </w:r>
    </w:p>
    <w:p>
      <w:pPr>
        <w:pStyle w:val="TestBody"/>
        <w:rPr/>
      </w:pPr>
      <w:r>
        <w:rPr>
          <w:b/>
        </w:rPr>
        <w:t xml:space="preserve">Procedure: </w:t>
      </w:r>
      <w:r>
        <w:rPr/>
        <w:t>Test permitted and nearby disallowed destinations; verify NAT identity logs and stateful return traffic.</w:t>
      </w:r>
    </w:p>
    <w:p>
      <w:pPr>
        <w:pStyle w:val="TestBody"/>
        <w:rPr/>
      </w:pPr>
      <w:r>
        <w:rPr>
          <w:b/>
        </w:rPr>
        <w:t xml:space="preserve">Expected outcome: </w:t>
      </w:r>
      <w:r>
        <w:rPr/>
        <w:t>Only approved egress semantics work; DNS/FQDN changes cannot silently widen policy; NAT is not treated as a security control by itself.</w:t>
      </w:r>
    </w:p>
    <w:p>
      <w:pPr>
        <w:pStyle w:val="TestBody"/>
        <w:rPr/>
      </w:pPr>
      <w:r>
        <w:rPr>
          <w:b/>
        </w:rPr>
        <w:t xml:space="preserve">Evidence: </w:t>
      </w:r>
      <w:r>
        <w:rPr/>
        <w:t>Egress rules, DNS resolution history, NAT mappings and probes.</w:t>
      </w:r>
    </w:p>
    <w:p>
      <w:pPr>
        <w:pStyle w:val="Small"/>
        <w:rPr/>
      </w:pPr>
      <w:r>
        <w:rPr/>
        <w:t>Mode: automated  |  Cadence: qualification; security-significant change  |  Execution: not-run</w:t>
      </w:r>
    </w:p>
    <w:p>
      <w:pPr>
        <w:pStyle w:val="Small"/>
        <w:rPr/>
      </w:pPr>
      <w:r>
        <w:rPr/>
        <w:t>Requirement links: EGR-001, EGR-002</w:t>
      </w:r>
    </w:p>
    <w:p>
      <w:pPr>
        <w:pStyle w:val="TestTitle"/>
        <w:spacing w:before="200" w:after="100"/>
        <w:rPr/>
      </w:pPr>
      <w:bookmarkStart w:id="445" w:name="test_CT_065"/>
      <w:r>
        <w:rPr/>
        <w:t>CT-065 — Privileged workload and container isolation</w:t>
      </w:r>
      <w:bookmarkEnd w:id="445"/>
    </w:p>
    <w:p>
      <w:pPr>
        <w:pStyle w:val="TestBody"/>
        <w:rPr/>
      </w:pPr>
      <w:r>
        <w:rPr>
          <w:b/>
        </w:rPr>
        <w:t xml:space="preserve">Preconditions: </w:t>
      </w:r>
      <w:r>
        <w:rPr/>
        <w:t>A container/bare-metal profile with explicit isolation capabilities.</w:t>
      </w:r>
    </w:p>
    <w:p>
      <w:pPr>
        <w:pStyle w:val="TestBody"/>
        <w:rPr/>
      </w:pPr>
      <w:r>
        <w:rPr>
          <w:b/>
        </w:rPr>
        <w:t xml:space="preserve">Procedure: </w:t>
      </w:r>
      <w:r>
        <w:rPr/>
        <w:t>Test namespace/project boundaries, node access, privileged workloads and host-network access against the approved baseline.</w:t>
      </w:r>
    </w:p>
    <w:p>
      <w:pPr>
        <w:pStyle w:val="TestBody"/>
        <w:rPr/>
      </w:pPr>
      <w:r>
        <w:rPr>
          <w:b/>
        </w:rPr>
        <w:t xml:space="preserve">Expected outcome: </w:t>
      </w:r>
      <w:r>
        <w:rPr/>
        <w:t>Unapproved privilege escalation or host access is denied; namespace alone is not accepted as a qualified zone boundary.</w:t>
      </w:r>
    </w:p>
    <w:p>
      <w:pPr>
        <w:pStyle w:val="TestBody"/>
        <w:rPr/>
      </w:pPr>
      <w:r>
        <w:rPr>
          <w:b/>
        </w:rPr>
        <w:t xml:space="preserve">Evidence: </w:t>
      </w:r>
      <w:r>
        <w:rPr/>
        <w:t>Admission/RBAC policy, runtime posture and cross-scope tests.</w:t>
      </w:r>
    </w:p>
    <w:p>
      <w:pPr>
        <w:pStyle w:val="Small"/>
        <w:rPr/>
      </w:pPr>
      <w:r>
        <w:rPr/>
        <w:t>Mode: automated  |  Cadence: qualification; security-significant change  |  Execution: not-run</w:t>
      </w:r>
    </w:p>
    <w:p>
      <w:pPr>
        <w:pStyle w:val="Small"/>
        <w:rPr/>
      </w:pPr>
      <w:r>
        <w:rPr/>
        <w:t>Requirement links: MICRO-003, FUT-001, FUT-002, FUT-003</w:t>
      </w:r>
    </w:p>
    <w:p>
      <w:pPr>
        <w:pStyle w:val="TestTitle"/>
        <w:spacing w:before="200" w:after="100"/>
        <w:rPr/>
      </w:pPr>
      <w:bookmarkStart w:id="446" w:name="test_CT_066"/>
      <w:r>
        <w:rPr/>
        <w:t>CT-066 — Policy precedence and immutable baseline</w:t>
      </w:r>
      <w:bookmarkEnd w:id="446"/>
    </w:p>
    <w:p>
      <w:pPr>
        <w:pStyle w:val="TestBody"/>
        <w:rPr/>
      </w:pPr>
      <w:r>
        <w:rPr>
          <w:b/>
        </w:rPr>
        <w:t xml:space="preserve">Preconditions: </w:t>
      </w:r>
      <w:r>
        <w:rPr/>
        <w:t>Mandatory provider rules plus lower-priority tenant and service rules.</w:t>
      </w:r>
    </w:p>
    <w:p>
      <w:pPr>
        <w:pStyle w:val="TestBody"/>
        <w:rPr/>
      </w:pPr>
      <w:r>
        <w:rPr>
          <w:b/>
        </w:rPr>
        <w:t xml:space="preserve">Procedure: </w:t>
      </w:r>
      <w:r>
        <w:rPr/>
        <w:t>Compile overlapping allow/deny intents and update membership while a test workload is running.</w:t>
      </w:r>
    </w:p>
    <w:p>
      <w:pPr>
        <w:pStyle w:val="TestBody"/>
        <w:rPr/>
      </w:pPr>
      <w:r>
        <w:rPr>
          <w:b/>
        </w:rPr>
        <w:t xml:space="preserve">Expected outcome: </w:t>
      </w:r>
      <w:r>
        <w:rPr/>
        <w:t>Mandatory denies cannot be overridden by tenant policy; membership changes do not create a transient unrestricted interval.</w:t>
      </w:r>
    </w:p>
    <w:p>
      <w:pPr>
        <w:pStyle w:val="TestBody"/>
        <w:rPr/>
      </w:pPr>
      <w:r>
        <w:rPr>
          <w:b/>
        </w:rPr>
        <w:t xml:space="preserve">Evidence: </w:t>
      </w:r>
      <w:r>
        <w:rPr/>
        <w:t>Effective-rule order, membership transitions and timed probes.</w:t>
      </w:r>
    </w:p>
    <w:p>
      <w:pPr>
        <w:pStyle w:val="Small"/>
        <w:rPr/>
      </w:pPr>
      <w:r>
        <w:rPr/>
        <w:t>Mode: automated  |  Cadence: qualification; security-significant change  |  Execution: not-run</w:t>
      </w:r>
    </w:p>
    <w:p>
      <w:pPr>
        <w:pStyle w:val="Small"/>
        <w:rPr/>
      </w:pPr>
      <w:r>
        <w:rPr/>
        <w:t>Requirement links: ZONE-002, ZIP-003, OVL-003, MICRO-001, MICRO-002, NUT-003, NSX-001, OS-001, POL-001, POL-002, FLOW-001, DRIFT-003, IR-002</w:t>
      </w:r>
    </w:p>
    <w:p>
      <w:pPr>
        <w:pStyle w:val="TestTitle"/>
        <w:spacing w:before="200" w:after="100"/>
        <w:rPr/>
      </w:pPr>
      <w:bookmarkStart w:id="447" w:name="test_CT_067"/>
      <w:r>
        <w:rPr/>
        <w:t>CT-067 — ZIP sensors, heightened posture and authority</w:t>
      </w:r>
      <w:bookmarkEnd w:id="447"/>
    </w:p>
    <w:p>
      <w:pPr>
        <w:pStyle w:val="TestBody"/>
        <w:rPr/>
      </w:pPr>
      <w:r>
        <w:rPr>
          <w:b/>
        </w:rPr>
        <w:t xml:space="preserve">Preconditions: </w:t>
      </w:r>
      <w:r>
        <w:rPr/>
        <w:t>ZIP profile identifies both zone authorities, inspection/sensor policy and heightened mode.</w:t>
      </w:r>
    </w:p>
    <w:p>
      <w:pPr>
        <w:pStyle w:val="TestBody"/>
        <w:rPr/>
      </w:pPr>
      <w:r>
        <w:rPr>
          <w:b/>
        </w:rPr>
        <w:t xml:space="preserve">Procedure: </w:t>
      </w:r>
      <w:r>
        <w:rPr/>
        <w:t>Verify access-control and telemetry placement; activate heightened posture, test essential flows and restore under approved authority.</w:t>
      </w:r>
    </w:p>
    <w:p>
      <w:pPr>
        <w:pStyle w:val="TestBody"/>
        <w:rPr/>
      </w:pPr>
      <w:r>
        <w:rPr>
          <w:b/>
        </w:rPr>
        <w:t xml:space="preserve">Expected outcome: </w:t>
      </w:r>
      <w:r>
        <w:rPr/>
        <w:t>Posture change restricts intended flows, preserves declared essentials, and leaves a complete joint-authority record.</w:t>
      </w:r>
    </w:p>
    <w:p>
      <w:pPr>
        <w:pStyle w:val="TestBody"/>
        <w:rPr/>
      </w:pPr>
      <w:r>
        <w:rPr>
          <w:b/>
        </w:rPr>
        <w:t xml:space="preserve">Evidence: </w:t>
      </w:r>
      <w:r>
        <w:rPr/>
        <w:t>ZIP profile, sensor coverage, change approval and test traces.</w:t>
      </w:r>
    </w:p>
    <w:p>
      <w:pPr>
        <w:pStyle w:val="Small"/>
        <w:rPr/>
      </w:pPr>
      <w:r>
        <w:rPr/>
        <w:t>Mode: automated  |  Cadence: qualification; security-significant change  |  Execution: not-run</w:t>
      </w:r>
    </w:p>
    <w:p>
      <w:pPr>
        <w:pStyle w:val="Small"/>
        <w:rPr/>
      </w:pPr>
      <w:r>
        <w:rPr/>
        <w:t>Requirement links: ZIP-006, IR-001</w:t>
      </w:r>
    </w:p>
    <w:p>
      <w:pPr>
        <w:pStyle w:val="TestTitle"/>
        <w:spacing w:before="200" w:after="100"/>
        <w:rPr/>
      </w:pPr>
      <w:bookmarkStart w:id="448" w:name="test_CT_068"/>
      <w:r>
        <w:rPr/>
        <w:t>CT-068 — Time synchronization and correlation</w:t>
      </w:r>
      <w:bookmarkEnd w:id="448"/>
    </w:p>
    <w:p>
      <w:pPr>
        <w:pStyle w:val="TestBody"/>
        <w:rPr/>
      </w:pPr>
      <w:r>
        <w:rPr>
          <w:b/>
        </w:rPr>
        <w:t xml:space="preserve">Preconditions: </w:t>
      </w:r>
      <w:r>
        <w:rPr/>
        <w:t>Approved independent time sources and skew threshold.</w:t>
      </w:r>
    </w:p>
    <w:p>
      <w:pPr>
        <w:pStyle w:val="TestBody"/>
        <w:rPr/>
      </w:pPr>
      <w:r>
        <w:rPr>
          <w:b/>
        </w:rPr>
        <w:t xml:space="preserve">Procedure: </w:t>
      </w:r>
      <w:r>
        <w:rPr/>
        <w:t>Measure time across hosts, controllers, edge and collectors; introduce bounded skew in a disposable node.</w:t>
      </w:r>
    </w:p>
    <w:p>
      <w:pPr>
        <w:pStyle w:val="TestBody"/>
        <w:rPr/>
      </w:pPr>
      <w:r>
        <w:rPr>
          <w:b/>
        </w:rPr>
        <w:t xml:space="preserve">Expected outcome: </w:t>
      </w:r>
      <w:r>
        <w:rPr/>
        <w:t>Excess skew is detected; certificate/evidence validation follows defined failure behavior; record ordering remains explainable.</w:t>
      </w:r>
    </w:p>
    <w:p>
      <w:pPr>
        <w:pStyle w:val="TestBody"/>
        <w:rPr/>
      </w:pPr>
      <w:r>
        <w:rPr>
          <w:b/>
        </w:rPr>
        <w:t xml:space="preserve">Evidence: </w:t>
      </w:r>
      <w:r>
        <w:rPr/>
        <w:t>Skew metrics, alerts and signed/ordered event samples.</w:t>
      </w:r>
    </w:p>
    <w:p>
      <w:pPr>
        <w:pStyle w:val="Small"/>
        <w:rPr/>
      </w:pPr>
      <w:r>
        <w:rPr/>
        <w:t>Mode: automated  |  Cadence: qualification; security-significant change  |  Execution: not-run</w:t>
      </w:r>
    </w:p>
    <w:p>
      <w:pPr>
        <w:pStyle w:val="Small"/>
        <w:rPr/>
      </w:pPr>
      <w:r>
        <w:rPr/>
        <w:t>Requirement links: OBS-003</w:t>
      </w:r>
    </w:p>
    <w:p>
      <w:pPr>
        <w:pStyle w:val="TestTitle"/>
        <w:spacing w:before="200" w:after="100"/>
        <w:rPr/>
      </w:pPr>
      <w:bookmarkStart w:id="449" w:name="test_CT_069"/>
      <w:r>
        <w:rPr/>
        <w:t>CT-069 — Technical readiness gate</w:t>
      </w:r>
      <w:bookmarkEnd w:id="449"/>
    </w:p>
    <w:p>
      <w:pPr>
        <w:pStyle w:val="TestBody"/>
        <w:rPr/>
      </w:pPr>
      <w:r>
        <w:rPr>
          <w:b/>
        </w:rPr>
        <w:t xml:space="preserve">Preconditions: </w:t>
      </w:r>
      <w:r>
        <w:rPr/>
        <w:t>Healthy and deliberately failed evidence fixtures at the same desired generation.</w:t>
      </w:r>
    </w:p>
    <w:p>
      <w:pPr>
        <w:pStyle w:val="TestBody"/>
        <w:rPr/>
      </w:pPr>
      <w:r>
        <w:rPr>
          <w:b/>
        </w:rPr>
        <w:t xml:space="preserve">Procedure: </w:t>
      </w:r>
      <w:r>
        <w:rPr/>
        <w:t>Evaluate readiness with missing/expired evidence, unsupported capability, unresolved owner and absent authorization.</w:t>
      </w:r>
    </w:p>
    <w:p>
      <w:pPr>
        <w:pStyle w:val="TestBody"/>
        <w:rPr/>
      </w:pPr>
      <w:r>
        <w:rPr>
          <w:b/>
        </w:rPr>
        <w:t xml:space="preserve">Expected outcome: </w:t>
      </w:r>
      <w:r>
        <w:rPr/>
        <w:t>Service Ready is false unless every mandatory condition for the current generation is satisfied.</w:t>
      </w:r>
    </w:p>
    <w:p>
      <w:pPr>
        <w:pStyle w:val="TestBody"/>
        <w:rPr/>
      </w:pPr>
      <w:r>
        <w:rPr>
          <w:b/>
        </w:rPr>
        <w:t xml:space="preserve">Evidence: </w:t>
      </w:r>
      <w:r>
        <w:rPr/>
        <w:t>Condition evaluation, policy version and blocked exposure events.</w:t>
      </w:r>
    </w:p>
    <w:p>
      <w:pPr>
        <w:pStyle w:val="Small"/>
        <w:rPr/>
      </w:pPr>
      <w:r>
        <w:rPr/>
        <w:t>Mode: automated  |  Cadence: each controller/policy change  |  Execution: not-run</w:t>
      </w:r>
    </w:p>
    <w:p>
      <w:pPr>
        <w:pStyle w:val="Small"/>
        <w:rPr/>
      </w:pPr>
      <w:r>
        <w:rPr/>
        <w:t>Requirement links: INV-006, AUTH-001, CAT-001, WSD-003, OVL-003, EXP-001, RESP-001, QUAL-001, AUTO-002, ASSUR-003, TEST-003, EVID-001, EVID-002, EVID-003, OPS-002, EXC-002, EXC-003, ONB-001, DEL-001, ACPT-001</w:t>
      </w:r>
    </w:p>
    <w:p>
      <w:pPr>
        <w:pStyle w:val="TestTitle"/>
        <w:spacing w:before="200" w:after="100"/>
        <w:rPr/>
      </w:pPr>
      <w:bookmarkStart w:id="450" w:name="test_CT_070"/>
      <w:r>
        <w:rPr/>
        <w:t>CT-070 — Contract upgrades and deletion finalizers</w:t>
      </w:r>
      <w:bookmarkEnd w:id="450"/>
    </w:p>
    <w:p>
      <w:pPr>
        <w:pStyle w:val="TestBody"/>
        <w:rPr/>
      </w:pPr>
      <w:r>
        <w:rPr>
          <w:b/>
        </w:rPr>
        <w:t xml:space="preserve">Preconditions: </w:t>
      </w:r>
      <w:r>
        <w:rPr/>
        <w:t>Objects at old schema version; shared domain has two dependent WSDs.</w:t>
      </w:r>
    </w:p>
    <w:p>
      <w:pPr>
        <w:pStyle w:val="TestBody"/>
        <w:rPr/>
      </w:pPr>
      <w:r>
        <w:rPr>
          <w:b/>
        </w:rPr>
        <w:t xml:space="preserve">Procedure: </w:t>
      </w:r>
      <w:r>
        <w:rPr/>
        <w:t>Convert schema with explicit defaults; delete one WSD; test removal with outstanding retention/evidence finalizers.</w:t>
      </w:r>
    </w:p>
    <w:p>
      <w:pPr>
        <w:pStyle w:val="TestBody"/>
        <w:rPr/>
      </w:pPr>
      <w:r>
        <w:rPr>
          <w:b/>
        </w:rPr>
        <w:t xml:space="preserve">Expected outcome: </w:t>
      </w:r>
      <w:r>
        <w:rPr/>
        <w:t>No silent security expansion; shared resources survive while referenced; deletion cannot bypass approved finalizers.</w:t>
      </w:r>
    </w:p>
    <w:p>
      <w:pPr>
        <w:pStyle w:val="TestBody"/>
        <w:rPr/>
      </w:pPr>
      <w:r>
        <w:rPr>
          <w:b/>
        </w:rPr>
        <w:t xml:space="preserve">Evidence: </w:t>
      </w:r>
      <w:r>
        <w:rPr/>
        <w:t>Conversion diff, ownership graph and tombstones.</w:t>
      </w:r>
    </w:p>
    <w:p>
      <w:pPr>
        <w:pStyle w:val="Small"/>
        <w:rPr/>
      </w:pPr>
      <w:r>
        <w:rPr/>
        <w:t>Mode: automated  |  Cadence: contract/lifecycle engine change  |  Execution: not-run</w:t>
      </w:r>
    </w:p>
    <w:p>
      <w:pPr>
        <w:pStyle w:val="Small"/>
        <w:rPr/>
      </w:pPr>
      <w:r>
        <w:rPr/>
        <w:t>Requirement links: INV-001, MODEL-001, TEN-003, WSD-001, API-001, API-003, TF-004, STATE-003, LIFE-001, LIFE-002</w:t>
      </w:r>
    </w:p>
    <w:p>
      <w:pPr>
        <w:pStyle w:val="TestTitle"/>
        <w:spacing w:before="200" w:after="100"/>
        <w:rPr/>
      </w:pPr>
      <w:bookmarkStart w:id="451" w:name="test_CT_071"/>
      <w:r>
        <w:rPr/>
        <w:t>CT-071 — Foundation stability for overlay lifecycle</w:t>
      </w:r>
      <w:bookmarkEnd w:id="451"/>
    </w:p>
    <w:p>
      <w:pPr>
        <w:pStyle w:val="TestBody"/>
        <w:rPr/>
      </w:pPr>
      <w:r>
        <w:rPr>
          <w:b/>
        </w:rPr>
        <w:t xml:space="preserve">Preconditions: </w:t>
      </w:r>
      <w:r>
        <w:rPr/>
        <w:t>Commissioned overlay capacity and physical fabric configuration snapshot.</w:t>
      </w:r>
    </w:p>
    <w:p>
      <w:pPr>
        <w:pStyle w:val="TestBody"/>
        <w:rPr/>
      </w:pPr>
      <w:r>
        <w:rPr>
          <w:b/>
        </w:rPr>
        <w:t xml:space="preserve">Procedure: </w:t>
      </w:r>
      <w:r>
        <w:rPr/>
        <w:t>Create, update and retire a routine overlay WSD; compare leaf/spine configuration before and after.</w:t>
      </w:r>
    </w:p>
    <w:p>
      <w:pPr>
        <w:pStyle w:val="TestBody"/>
        <w:rPr/>
      </w:pPr>
      <w:r>
        <w:rPr>
          <w:b/>
        </w:rPr>
        <w:t xml:space="preserve">Expected outcome: </w:t>
      </w:r>
      <w:r>
        <w:rPr/>
        <w:t>No per-WSD switch change occurs; physical-capacity growth is classified as a separate foundation operation.</w:t>
      </w:r>
    </w:p>
    <w:p>
      <w:pPr>
        <w:pStyle w:val="TestBody"/>
        <w:rPr/>
      </w:pPr>
      <w:r>
        <w:rPr>
          <w:b/>
        </w:rPr>
        <w:t xml:space="preserve">Evidence: </w:t>
      </w:r>
      <w:r>
        <w:rPr/>
        <w:t>Switch config digests, service class and operation audit.</w:t>
      </w:r>
    </w:p>
    <w:p>
      <w:pPr>
        <w:pStyle w:val="Small"/>
        <w:rPr/>
      </w:pPr>
      <w:r>
        <w:rPr/>
        <w:t>Mode: automated  |  Cadence: qualification; security-significant change  |  Execution: not-run</w:t>
      </w:r>
    </w:p>
    <w:p>
      <w:pPr>
        <w:pStyle w:val="Small"/>
        <w:rPr/>
      </w:pPr>
      <w:r>
        <w:rPr/>
        <w:t>Requirement links: ARCH-002, EDGE-001, FAB-001</w:t>
      </w:r>
    </w:p>
    <w:p>
      <w:pPr>
        <w:pStyle w:val="TestTitle"/>
        <w:spacing w:before="200" w:after="100"/>
        <w:rPr/>
      </w:pPr>
      <w:bookmarkStart w:id="452" w:name="test_CT_072"/>
      <w:r>
        <w:rPr/>
        <w:t>CT-072 — Bare-metal/fabric-routed service boundary</w:t>
      </w:r>
      <w:bookmarkEnd w:id="452"/>
    </w:p>
    <w:p>
      <w:pPr>
        <w:pStyle w:val="TestBody"/>
        <w:rPr/>
      </w:pPr>
      <w:r>
        <w:rPr>
          <w:b/>
        </w:rPr>
        <w:t xml:space="preserve">Preconditions: </w:t>
      </w:r>
      <w:r>
        <w:rPr/>
        <w:t>Explicit fabric-routed service class and authorized foundation workflow.</w:t>
      </w:r>
    </w:p>
    <w:p>
      <w:pPr>
        <w:pStyle w:val="TestBody"/>
        <w:rPr/>
      </w:pPr>
      <w:r>
        <w:rPr>
          <w:b/>
        </w:rPr>
        <w:t xml:space="preserve">Procedure: </w:t>
      </w:r>
      <w:r>
        <w:rPr/>
        <w:t>Provision a test physical attachment under separate authority; inspect VRF/RT/interface ownership and retire it.</w:t>
      </w:r>
    </w:p>
    <w:p>
      <w:pPr>
        <w:pStyle w:val="TestBody"/>
        <w:rPr/>
      </w:pPr>
      <w:r>
        <w:rPr>
          <w:b/>
        </w:rPr>
        <w:t xml:space="preserve">Expected outcome: </w:t>
      </w:r>
      <w:r>
        <w:rPr/>
        <w:t>Consumer contract remains portable; exceptions to overlay workflow are explicit; no unrestricted cross-domain route is introduced.</w:t>
      </w:r>
    </w:p>
    <w:p>
      <w:pPr>
        <w:pStyle w:val="TestBody"/>
        <w:rPr/>
      </w:pPr>
      <w:r>
        <w:rPr>
          <w:b/>
        </w:rPr>
        <w:t xml:space="preserve">Evidence: </w:t>
      </w:r>
      <w:r>
        <w:rPr/>
        <w:t>Service-class declaration, foundation change and isolation tests.</w:t>
      </w:r>
    </w:p>
    <w:p>
      <w:pPr>
        <w:pStyle w:val="Small"/>
        <w:rPr/>
      </w:pPr>
      <w:r>
        <w:rPr/>
        <w:t>Mode: automated  |  Cadence: qualification; security-significant change  |  Execution: not-run</w:t>
      </w:r>
    </w:p>
    <w:p>
      <w:pPr>
        <w:pStyle w:val="Small"/>
        <w:rPr/>
      </w:pPr>
      <w:r>
        <w:rPr/>
        <w:t>Requirement links: ARCH-002, FAB-001, FAB-002, FAB-003, EVPN-001, FUT-003</w:t>
      </w:r>
    </w:p>
    <w:p>
      <w:pPr>
        <w:pStyle w:val="TestTitle"/>
        <w:spacing w:before="200" w:after="100"/>
        <w:rPr/>
      </w:pPr>
      <w:bookmarkStart w:id="453" w:name="test_CT_073"/>
      <w:r>
        <w:rPr/>
        <w:t>CT-073 — Image/data export compatibility</w:t>
      </w:r>
      <w:bookmarkEnd w:id="453"/>
    </w:p>
    <w:p>
      <w:pPr>
        <w:pStyle w:val="TestBody"/>
        <w:rPr/>
      </w:pPr>
      <w:r>
        <w:rPr>
          <w:b/>
        </w:rPr>
        <w:t xml:space="preserve">Preconditions: </w:t>
      </w:r>
      <w:r>
        <w:rPr/>
        <w:t>Supported boot mode, drivers, virtual hardware and encrypted-disk context.</w:t>
      </w:r>
    </w:p>
    <w:p>
      <w:pPr>
        <w:pStyle w:val="TestBody"/>
        <w:rPr/>
      </w:pPr>
      <w:r>
        <w:rPr>
          <w:b/>
        </w:rPr>
        <w:t xml:space="preserve">Procedure: </w:t>
      </w:r>
      <w:r>
        <w:rPr/>
        <w:t>Recreate the workload on the target with a test image; verify guest drivers, time, certificates, application checks and unsupported device handling.</w:t>
      </w:r>
    </w:p>
    <w:p>
      <w:pPr>
        <w:pStyle w:val="TestBody"/>
        <w:rPr/>
      </w:pPr>
      <w:r>
        <w:rPr>
          <w:b/>
        </w:rPr>
        <w:t xml:space="preserve">Expected outcome: </w:t>
      </w:r>
      <w:r>
        <w:rPr/>
        <w:t>Incompatibilities reject the selected exit path; data/identity are not assumed portable merely because a disk file converts.</w:t>
      </w:r>
    </w:p>
    <w:p>
      <w:pPr>
        <w:pStyle w:val="TestBody"/>
        <w:rPr/>
      </w:pPr>
      <w:r>
        <w:rPr>
          <w:b/>
        </w:rPr>
        <w:t xml:space="preserve">Evidence: </w:t>
      </w:r>
      <w:r>
        <w:rPr/>
        <w:t>Compatibility checklist, boot logs, application and security tests.</w:t>
      </w:r>
    </w:p>
    <w:p>
      <w:pPr>
        <w:pStyle w:val="Small"/>
        <w:rPr/>
      </w:pPr>
      <w:r>
        <w:rPr/>
        <w:t>Mode: automated  |  Cadence: qualification; security-significant change  |  Execution: not-run</w:t>
      </w:r>
    </w:p>
    <w:p>
      <w:pPr>
        <w:pStyle w:val="Small"/>
        <w:rPr/>
      </w:pPr>
      <w:r>
        <w:rPr/>
        <w:t>Requirement links: CMP-002, PLACE-003, PORT-003, MIG-003, DEL-002</w:t>
      </w:r>
    </w:p>
    <w:p>
      <w:pPr>
        <w:pStyle w:val="TestTitle"/>
        <w:spacing w:before="200" w:after="100"/>
        <w:rPr/>
      </w:pPr>
      <w:bookmarkStart w:id="454" w:name="test_CT_074"/>
      <w:r>
        <w:rPr/>
        <w:t>CT-074 — Procured-capacity and service inventory reconciliation</w:t>
      </w:r>
      <w:bookmarkEnd w:id="454"/>
    </w:p>
    <w:p>
      <w:pPr>
        <w:pStyle w:val="TestBody"/>
        <w:rPr/>
      </w:pPr>
      <w:r>
        <w:rPr>
          <w:b/>
        </w:rPr>
        <w:t xml:space="preserve">Preconditions: </w:t>
      </w:r>
      <w:r>
        <w:rPr/>
        <w:t>Procurement/asset inventory, installed capacity and tenant reservations.</w:t>
      </w:r>
    </w:p>
    <w:p>
      <w:pPr>
        <w:pStyle w:val="TestBody"/>
        <w:rPr/>
      </w:pPr>
      <w:r>
        <w:rPr>
          <w:b/>
        </w:rPr>
        <w:t xml:space="preserve">Procedure: </w:t>
      </w:r>
      <w:r>
        <w:rPr/>
        <w:t>Reconcile ordered, received, staged, commissioned, available, reserved and consumed quantities with accountable owners.</w:t>
      </w:r>
    </w:p>
    <w:p>
      <w:pPr>
        <w:pStyle w:val="TestBody"/>
        <w:rPr/>
      </w:pPr>
      <w:r>
        <w:rPr>
          <w:b/>
        </w:rPr>
        <w:t xml:space="preserve">Expected outcome: </w:t>
      </w:r>
      <w:r>
        <w:rPr/>
        <w:t>No orphaned or double-counted capacity; unused procured capacity and support expiry are visible for planning.</w:t>
      </w:r>
    </w:p>
    <w:p>
      <w:pPr>
        <w:pStyle w:val="TestBody"/>
        <w:rPr/>
      </w:pPr>
      <w:r>
        <w:rPr>
          <w:b/>
        </w:rPr>
        <w:t xml:space="preserve">Evidence: </w:t>
      </w:r>
      <w:r>
        <w:rPr/>
        <w:t>Inventory reconciliation and allocation/age report.</w:t>
      </w:r>
    </w:p>
    <w:p>
      <w:pPr>
        <w:pStyle w:val="Small"/>
        <w:rPr/>
      </w:pPr>
      <w:r>
        <w:rPr/>
        <w:t>Mode: manual-and-automated  |  Cadence: monthly; capacity change  |  Execution: not-run</w:t>
      </w:r>
    </w:p>
    <w:p>
      <w:pPr>
        <w:pStyle w:val="Small"/>
        <w:rPr/>
      </w:pPr>
      <w:r>
        <w:rPr/>
        <w:t>Requirement links: SVCM-002, CAP-003, VULN-001</w:t>
      </w:r>
    </w:p>
    <w:p>
      <w:pPr>
        <w:pStyle w:val="TestTitle"/>
        <w:spacing w:before="200" w:after="100"/>
        <w:rPr/>
      </w:pPr>
      <w:bookmarkStart w:id="455" w:name="test_CT_075"/>
      <w:r>
        <w:rPr/>
        <w:t>CT-075 — Document and catalogue completeness</w:t>
      </w:r>
      <w:bookmarkEnd w:id="455"/>
    </w:p>
    <w:p>
      <w:pPr>
        <w:pStyle w:val="TestBody"/>
        <w:rPr/>
      </w:pPr>
      <w:r>
        <w:rPr>
          <w:b/>
        </w:rPr>
        <w:t xml:space="preserve">Preconditions: </w:t>
      </w:r>
      <w:r>
        <w:rPr/>
        <w:t>Handbook source, schemas, examples, requirements and tests in the release package.</w:t>
      </w:r>
    </w:p>
    <w:p>
      <w:pPr>
        <w:pStyle w:val="TestBody"/>
        <w:rPr/>
      </w:pPr>
      <w:r>
        <w:rPr>
          <w:b/>
        </w:rPr>
        <w:t xml:space="preserve">Procedure: </w:t>
      </w:r>
      <w:r>
        <w:rPr/>
        <w:t>Check unique IDs, full original-ID migration, references, source links, test mappings, schema validation and generated catalogue parity.</w:t>
      </w:r>
    </w:p>
    <w:p>
      <w:pPr>
        <w:pStyle w:val="TestBody"/>
        <w:rPr/>
      </w:pPr>
      <w:r>
        <w:rPr>
          <w:b/>
        </w:rPr>
        <w:t xml:space="preserve">Expected outcome: </w:t>
      </w:r>
      <w:r>
        <w:rPr/>
        <w:t>No missing or dangling item; counts and release digest agree; document status does not claim unexecuted platform tests passed.</w:t>
      </w:r>
    </w:p>
    <w:p>
      <w:pPr>
        <w:pStyle w:val="TestBody"/>
        <w:rPr/>
      </w:pPr>
      <w:r>
        <w:rPr>
          <w:b/>
        </w:rPr>
        <w:t xml:space="preserve">Evidence: </w:t>
      </w:r>
      <w:r>
        <w:rPr/>
        <w:t>Package validation report and manifest.</w:t>
      </w:r>
    </w:p>
    <w:p>
      <w:pPr>
        <w:pStyle w:val="Small"/>
        <w:rPr/>
      </w:pPr>
      <w:r>
        <w:rPr/>
        <w:t>Mode: automated  |  Cadence: each document release  |  Execution: not-run</w:t>
      </w:r>
    </w:p>
    <w:p>
      <w:pPr>
        <w:pStyle w:val="Small"/>
        <w:rPr/>
      </w:pPr>
      <w:r>
        <w:rPr/>
        <w:t>Requirement links: DOC-001, STD-001, STD-002, TEST-003, EVID-001</w:t>
      </w:r>
    </w:p>
    <w:p>
      <w:pPr>
        <w:pStyle w:val="TestTitle"/>
        <w:spacing w:before="200" w:after="100"/>
        <w:rPr/>
      </w:pPr>
      <w:bookmarkStart w:id="456" w:name="test_CT_076"/>
      <w:r>
        <w:rPr/>
        <w:t>CT-076 — External partner agreement and revocation</w:t>
      </w:r>
      <w:bookmarkEnd w:id="456"/>
    </w:p>
    <w:p>
      <w:pPr>
        <w:pStyle w:val="TestBody"/>
        <w:rPr/>
      </w:pPr>
      <w:r>
        <w:rPr>
          <w:b/>
        </w:rPr>
        <w:t xml:space="preserve">Preconditions: </w:t>
      </w:r>
      <w:r>
        <w:rPr/>
        <w:t>ExternalDomain has trust basis, authenticated endpoints and named agreement owner.</w:t>
      </w:r>
    </w:p>
    <w:p>
      <w:pPr>
        <w:pStyle w:val="TestBody"/>
        <w:rPr/>
      </w:pPr>
      <w:r>
        <w:rPr>
          <w:b/>
        </w:rPr>
        <w:t xml:space="preserve">Procedure: </w:t>
      </w:r>
      <w:r>
        <w:rPr/>
        <w:t>Admit an approved binding, then revoke the agreement and check active/new session handling under its profile.</w:t>
      </w:r>
    </w:p>
    <w:p>
      <w:pPr>
        <w:pStyle w:val="TestBody"/>
        <w:rPr/>
      </w:pPr>
      <w:r>
        <w:rPr>
          <w:b/>
        </w:rPr>
        <w:t xml:space="preserve">Expected outcome: </w:t>
      </w:r>
      <w:r>
        <w:rPr/>
        <w:t>Revocation removes intended access within the agreed interval; no REZ assumption is inferred merely from a private circuit.</w:t>
      </w:r>
    </w:p>
    <w:p>
      <w:pPr>
        <w:pStyle w:val="TestBody"/>
        <w:rPr/>
      </w:pPr>
      <w:r>
        <w:rPr>
          <w:b/>
        </w:rPr>
        <w:t xml:space="preserve">Evidence: </w:t>
      </w:r>
      <w:r>
        <w:rPr/>
        <w:t>Agreement revision, revocation event and connectivity checks.</w:t>
      </w:r>
    </w:p>
    <w:p>
      <w:pPr>
        <w:pStyle w:val="Small"/>
        <w:rPr/>
      </w:pPr>
      <w:r>
        <w:rPr/>
        <w:t>Mode: automated  |  Cadence: qualification; security-significant change  |  Execution: not-run</w:t>
      </w:r>
    </w:p>
    <w:p>
      <w:pPr>
        <w:pStyle w:val="Small"/>
        <w:rPr/>
      </w:pPr>
      <w:r>
        <w:rPr/>
        <w:t>Requirement links: ZONE-001, MIG-001</w:t>
      </w:r>
    </w:p>
    <w:p>
      <w:pPr>
        <w:pStyle w:val="TestTitle"/>
        <w:spacing w:before="200" w:after="100"/>
        <w:rPr/>
      </w:pPr>
      <w:bookmarkStart w:id="457" w:name="test_CT_077"/>
      <w:r>
        <w:rPr/>
        <w:t>CT-077 — Flow revocation and live session semantics</w:t>
      </w:r>
      <w:bookmarkEnd w:id="457"/>
    </w:p>
    <w:p>
      <w:pPr>
        <w:pStyle w:val="TestBody"/>
        <w:rPr/>
      </w:pPr>
      <w:r>
        <w:rPr>
          <w:b/>
        </w:rPr>
        <w:t xml:space="preserve">Preconditions: </w:t>
      </w:r>
      <w:r>
        <w:rPr/>
        <w:t>Approved long-lived test flow with a revocation profile.</w:t>
      </w:r>
    </w:p>
    <w:p>
      <w:pPr>
        <w:pStyle w:val="TestBody"/>
        <w:rPr/>
      </w:pPr>
      <w:r>
        <w:rPr>
          <w:b/>
        </w:rPr>
        <w:t xml:space="preserve">Procedure: </w:t>
      </w:r>
      <w:r>
        <w:rPr/>
        <w:t>Revoke permission and measure established sessions, cached policies and newly attempted sessions across enforcement points.</w:t>
      </w:r>
    </w:p>
    <w:p>
      <w:pPr>
        <w:pStyle w:val="TestBody"/>
        <w:rPr/>
      </w:pPr>
      <w:r>
        <w:rPr>
          <w:b/>
        </w:rPr>
        <w:t xml:space="preserve">Expected outcome: </w:t>
      </w:r>
      <w:r>
        <w:rPr/>
        <w:t>New sessions are denied immediately upon committed policy; existing sessions are terminated or drained within the explicitly approved interval.</w:t>
      </w:r>
    </w:p>
    <w:p>
      <w:pPr>
        <w:pStyle w:val="TestBody"/>
        <w:rPr/>
      </w:pPr>
      <w:r>
        <w:rPr>
          <w:b/>
        </w:rPr>
        <w:t xml:space="preserve">Evidence: </w:t>
      </w:r>
      <w:r>
        <w:rPr/>
        <w:t>Rule generation timeline, session table and probes.</w:t>
      </w:r>
    </w:p>
    <w:p>
      <w:pPr>
        <w:pStyle w:val="Small"/>
        <w:rPr/>
      </w:pPr>
      <w:r>
        <w:rPr/>
        <w:t>Mode: automated  |  Cadence: qualification; security-significant change  |  Execution: not-run</w:t>
      </w:r>
    </w:p>
    <w:p>
      <w:pPr>
        <w:pStyle w:val="Small"/>
        <w:rPr/>
      </w:pPr>
      <w:r>
        <w:rPr/>
        <w:t>Requirement links: ZIP-006, RTE-003, SVC-003, EXP-001, IAM-003, FLOW-001</w:t>
      </w:r>
    </w:p>
    <w:p>
      <w:pPr>
        <w:pStyle w:val="TestTitle"/>
        <w:spacing w:before="200" w:after="100"/>
        <w:rPr/>
      </w:pPr>
      <w:bookmarkStart w:id="458" w:name="test_CT_078"/>
      <w:r>
        <w:rPr/>
        <w:t>CT-078 — Storage clone, snapshot and export classification</w:t>
      </w:r>
      <w:bookmarkEnd w:id="458"/>
    </w:p>
    <w:p>
      <w:pPr>
        <w:pStyle w:val="TestBody"/>
        <w:rPr/>
      </w:pPr>
      <w:r>
        <w:rPr>
          <w:b/>
        </w:rPr>
        <w:t xml:space="preserve">Preconditions: </w:t>
      </w:r>
      <w:r>
        <w:rPr/>
        <w:t>Protected test volume with snapshot and clone operations enabled.</w:t>
      </w:r>
    </w:p>
    <w:p>
      <w:pPr>
        <w:pStyle w:val="TestBody"/>
        <w:rPr/>
      </w:pPr>
      <w:r>
        <w:rPr>
          <w:b/>
        </w:rPr>
        <w:t xml:space="preserve">Procedure: </w:t>
      </w:r>
      <w:r>
        <w:rPr/>
        <w:t>Attempt cross-zone clone/export and a lower-categorization target using both tenant and service identities.</w:t>
      </w:r>
    </w:p>
    <w:p>
      <w:pPr>
        <w:pStyle w:val="TestBody"/>
        <w:rPr/>
      </w:pPr>
      <w:r>
        <w:rPr>
          <w:b/>
        </w:rPr>
        <w:t xml:space="preserve">Expected outcome: </w:t>
      </w:r>
      <w:r>
        <w:rPr/>
        <w:t>Data copies preserve classification and key/access constraints; unapproved downgrade or public export is denied.</w:t>
      </w:r>
    </w:p>
    <w:p>
      <w:pPr>
        <w:pStyle w:val="TestBody"/>
        <w:rPr/>
      </w:pPr>
      <w:r>
        <w:rPr>
          <w:b/>
        </w:rPr>
        <w:t xml:space="preserve">Evidence: </w:t>
      </w:r>
      <w:r>
        <w:rPr/>
        <w:t>Copy lineage, target checks, key references and audit.</w:t>
      </w:r>
    </w:p>
    <w:p>
      <w:pPr>
        <w:pStyle w:val="Small"/>
        <w:rPr/>
      </w:pPr>
      <w:r>
        <w:rPr/>
        <w:t>Mode: automated  |  Cadence: qualification; security-significant change  |  Execution: not-run</w:t>
      </w:r>
    </w:p>
    <w:p>
      <w:pPr>
        <w:pStyle w:val="Small"/>
        <w:rPr/>
      </w:pPr>
      <w:r>
        <w:rPr/>
        <w:t>Requirement links: STO-001, STO-003, LIFE-002, MIG-003</w:t>
      </w:r>
    </w:p>
    <w:p>
      <w:pPr>
        <w:pStyle w:val="TestTitle"/>
        <w:spacing w:before="200" w:after="100"/>
        <w:rPr/>
      </w:pPr>
      <w:bookmarkStart w:id="459" w:name="test_CT_079"/>
      <w:r>
        <w:rPr/>
        <w:t>CT-079 — Provider/support access time limit</w:t>
      </w:r>
      <w:bookmarkEnd w:id="459"/>
    </w:p>
    <w:p>
      <w:pPr>
        <w:pStyle w:val="TestBody"/>
        <w:rPr/>
      </w:pPr>
      <w:r>
        <w:rPr>
          <w:b/>
        </w:rPr>
        <w:t xml:space="preserve">Preconditions: </w:t>
      </w:r>
      <w:r>
        <w:rPr/>
        <w:t>Support role, approved session and export/logging rules.</w:t>
      </w:r>
    </w:p>
    <w:p>
      <w:pPr>
        <w:pStyle w:val="TestBody"/>
        <w:rPr/>
      </w:pPr>
      <w:r>
        <w:rPr>
          <w:b/>
        </w:rPr>
        <w:t xml:space="preserve">Procedure: </w:t>
      </w:r>
      <w:r>
        <w:rPr/>
        <w:t>Open a time-bound support session, test scoped capabilities, expire it and verify all delegated grants are revoked.</w:t>
      </w:r>
    </w:p>
    <w:p>
      <w:pPr>
        <w:pStyle w:val="TestBody"/>
        <w:rPr/>
      </w:pPr>
      <w:r>
        <w:rPr>
          <w:b/>
        </w:rPr>
        <w:t xml:space="preserve">Expected outcome: </w:t>
      </w:r>
      <w:r>
        <w:rPr/>
        <w:t>No unattended permanent privileged access remains; transferred diagnostics follow approved location and redaction rules.</w:t>
      </w:r>
    </w:p>
    <w:p>
      <w:pPr>
        <w:pStyle w:val="TestBody"/>
        <w:rPr/>
      </w:pPr>
      <w:r>
        <w:rPr>
          <w:b/>
        </w:rPr>
        <w:t xml:space="preserve">Evidence: </w:t>
      </w:r>
      <w:r>
        <w:rPr/>
        <w:t>Session record, approval, scope tests and revocation receipts.</w:t>
      </w:r>
    </w:p>
    <w:p>
      <w:pPr>
        <w:pStyle w:val="Small"/>
        <w:rPr/>
      </w:pPr>
      <w:r>
        <w:rPr/>
        <w:t>Mode: automated  |  Cadence: qualification; security-significant change  |  Execution: not-run</w:t>
      </w:r>
    </w:p>
    <w:p>
      <w:pPr>
        <w:pStyle w:val="Small"/>
        <w:rPr/>
      </w:pPr>
      <w:r>
        <w:rPr/>
        <w:t>Requirement links: MGT-004, IAM-002, IAM-003, PLACE-002, SEC-002, OPS-001</w:t>
      </w:r>
    </w:p>
    <w:p>
      <w:pPr>
        <w:pStyle w:val="TestTitle"/>
        <w:spacing w:before="200" w:after="100"/>
        <w:rPr/>
      </w:pPr>
      <w:bookmarkStart w:id="460" w:name="test_CT_080"/>
      <w:r>
        <w:rPr/>
        <w:t>CT-080 — Distributed ZIP equivalence</w:t>
      </w:r>
      <w:bookmarkEnd w:id="460"/>
    </w:p>
    <w:p>
      <w:pPr>
        <w:pStyle w:val="TestBody"/>
        <w:rPr/>
      </w:pPr>
      <w:r>
        <w:rPr>
          <w:b/>
        </w:rPr>
        <w:t xml:space="preserve">Preconditions: </w:t>
      </w:r>
      <w:r>
        <w:rPr/>
        <w:t>A proposed distributed-enforcement profile and the required ZIP function list.</w:t>
      </w:r>
    </w:p>
    <w:p>
      <w:pPr>
        <w:pStyle w:val="TestBody"/>
        <w:rPr/>
      </w:pPr>
      <w:r>
        <w:rPr>
          <w:b/>
        </w:rPr>
        <w:t xml:space="preserve">Procedure: </w:t>
      </w:r>
      <w:r>
        <w:rPr/>
        <w:t>Map every required boundary function to its actual enforcement/control component; test same-host and bypass paths plus controller/agent failure.</w:t>
      </w:r>
    </w:p>
    <w:p>
      <w:pPr>
        <w:pStyle w:val="TestBody"/>
        <w:rPr/>
      </w:pPr>
      <w:r>
        <w:rPr>
          <w:b/>
        </w:rPr>
        <w:t xml:space="preserve">Expected outcome: </w:t>
      </w:r>
      <w:r>
        <w:rPr/>
        <w:t>Logical ZIP semantics are fully met; missing inspection, attribution, failure isolation or authority support rejects qualification.</w:t>
      </w:r>
    </w:p>
    <w:p>
      <w:pPr>
        <w:pStyle w:val="TestBody"/>
        <w:rPr/>
      </w:pPr>
      <w:r>
        <w:rPr>
          <w:b/>
        </w:rPr>
        <w:t xml:space="preserve">Evidence: </w:t>
      </w:r>
      <w:r>
        <w:rPr/>
        <w:t>Function coverage, topology, policy and fault-test evidence.</w:t>
      </w:r>
    </w:p>
    <w:p>
      <w:pPr>
        <w:pStyle w:val="Small"/>
        <w:rPr/>
      </w:pPr>
      <w:r>
        <w:rPr/>
        <w:t>Mode: design-and-automated  |  Cadence: qualification; enforcement-stack change  |  Execution: not-run</w:t>
      </w:r>
    </w:p>
    <w:p>
      <w:pPr>
        <w:pStyle w:val="Small"/>
        <w:rPr/>
      </w:pPr>
      <w:r>
        <w:rPr/>
        <w:t>Requirement links: INV-002, THR-001, ZIP-001, ZIP-005, ZIP-006, ZIP-007, OVL-001, EDGE-002, PORT-001, NUT-004, NSX-003, OS-003, FUT-001</w:t>
      </w:r>
      <w:r>
        <w:br w:type="page"/>
      </w:r>
    </w:p>
    <w:p>
      <w:pPr>
        <w:pStyle w:val="Heading1"/>
        <w:spacing w:before="0" w:after="180"/>
        <w:rPr/>
      </w:pPr>
      <w:bookmarkStart w:id="461" w:name="__RefHeading___Toc13437_1645000677"/>
      <w:bookmarkStart w:id="462" w:name="app_E"/>
      <w:bookmarkEnd w:id="461"/>
      <w:r>
        <w:rPr/>
        <w:t>Appendix E — Source/control traceability and responsibility</w:t>
      </w:r>
      <w:bookmarkEnd w:id="462"/>
    </w:p>
    <w:p>
      <w:pPr>
        <w:pStyle w:val="Heading2"/>
        <w:ind w:hanging="0" w:start="0"/>
        <w:rPr/>
      </w:pPr>
      <w:bookmarkStart w:id="463" w:name="__RefHeading___Toc13439_1645000677"/>
      <w:bookmarkEnd w:id="463"/>
      <w:r>
        <w:rPr/>
        <w:t>Tailoring and assessment</w:t>
      </w:r>
    </w:p>
    <w:p>
      <w:pPr>
        <w:pStyle w:val="BodyText"/>
        <w:rPr/>
      </w:pPr>
      <w:r>
        <w:rPr/>
        <w:t>The register below uses control families as candidate tailoring and allocation aids. It does not certify implementation of individual ITSP.10.033 controls, enhancements, assurance activities or organization-defined parameters. The adopting assessor completes a version-aware selected-control crosswalk and records inheritance and residual gaps. ITSP.10.033 supersedes ITSG-33 Annex 3A; Canadian-specific identifier changes must be mapped by edition rather than guessed numerically. [</w:t>
      </w:r>
      <w:hyperlink w:anchor="S05">
        <w:r>
          <w:rPr>
            <w:rStyle w:val="Hyperlink"/>
          </w:rPr>
          <w:t>S05</w:t>
        </w:r>
      </w:hyperlink>
      <w:r>
        <w:rPr/>
        <w:t>]</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4607"/>
        <w:gridCol w:w="1801"/>
        <w:gridCol w:w="3168"/>
      </w:tblGrid>
      <w:tr>
        <w:trPr>
          <w:tblHeader w:val="true"/>
          <w:cantSplit w:val="true"/>
        </w:trPr>
        <w:tc>
          <w:tcPr>
            <w:tcW w:w="460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Candidate control family</w:t>
            </w:r>
          </w:p>
        </w:tc>
        <w:tc>
          <w:tcPr>
            <w:tcW w:w="180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Coverage in this baseline</w:t>
            </w:r>
          </w:p>
        </w:tc>
        <w:tc>
          <w:tcPr>
            <w:tcW w:w="316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Source contexts</w:t>
            </w:r>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 — Access control</w:t>
            </w:r>
          </w:p>
        </w:tc>
        <w:tc>
          <w:tcPr>
            <w:tcW w:w="18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57 requirement mappings</w:t>
            </w:r>
          </w:p>
        </w:tc>
        <w:tc>
          <w:tcPr>
            <w:tcW w:w="31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r>
              <w:rPr/>
              <w:t xml:space="preserve">, </w:t>
            </w:r>
            <w:hyperlink w:anchor="S05">
              <w:r>
                <w:rPr>
                  <w:rStyle w:val="Hyperlink"/>
                </w:rPr>
                <w:t>S05</w:t>
              </w:r>
            </w:hyperlink>
            <w:r>
              <w:rPr/>
              <w:t xml:space="preserve">, </w:t>
            </w:r>
            <w:hyperlink w:anchor="S07">
              <w:r>
                <w:rPr>
                  <w:rStyle w:val="Hyperlink"/>
                </w:rPr>
                <w:t>S07</w:t>
              </w:r>
            </w:hyperlink>
            <w:r>
              <w:rPr/>
              <w:t xml:space="preserve">, </w:t>
            </w:r>
            <w:hyperlink w:anchor="S13">
              <w:r>
                <w:rPr>
                  <w:rStyle w:val="Hyperlink"/>
                </w:rPr>
                <w:t>S13</w:t>
              </w:r>
            </w:hyperlink>
            <w:r>
              <w:rPr/>
              <w:t xml:space="preserve">, </w:t>
            </w:r>
            <w:hyperlink w:anchor="S28">
              <w:r>
                <w:rPr>
                  <w:rStyle w:val="Hyperlink"/>
                </w:rPr>
                <w:t>S28</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AU — Audit and accountability</w:t>
            </w:r>
          </w:p>
        </w:tc>
        <w:tc>
          <w:tcPr>
            <w:tcW w:w="18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12 requirement mappings</w:t>
            </w:r>
          </w:p>
        </w:tc>
        <w:tc>
          <w:tcPr>
            <w:tcW w:w="316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r>
              <w:rPr/>
              <w:t xml:space="preserve">, </w:t>
            </w:r>
            <w:hyperlink w:anchor="S05">
              <w:r>
                <w:rPr>
                  <w:rStyle w:val="Hyperlink"/>
                </w:rPr>
                <w:t>S05</w:t>
              </w:r>
            </w:hyperlink>
            <w:r>
              <w:rPr/>
              <w:t xml:space="preserve">, </w:t>
            </w:r>
            <w:hyperlink w:anchor="S07">
              <w:r>
                <w:rPr>
                  <w:rStyle w:val="Hyperlink"/>
                </w:rPr>
                <w:t>S07</w:t>
              </w:r>
            </w:hyperlink>
            <w:r>
              <w:rPr/>
              <w:t xml:space="preserve">, </w:t>
            </w:r>
            <w:hyperlink w:anchor="S11">
              <w:r>
                <w:rPr>
                  <w:rStyle w:val="Hyperlink"/>
                </w:rPr>
                <w:t>S11</w:t>
              </w:r>
            </w:hyperlink>
            <w:r>
              <w:rPr/>
              <w:t xml:space="preserve">, </w:t>
            </w:r>
            <w:hyperlink w:anchor="S12">
              <w:r>
                <w:rPr>
                  <w:rStyle w:val="Hyperlink"/>
                </w:rPr>
                <w:t>S12</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CA — Assessment, authorization and monitoring</w:t>
            </w:r>
          </w:p>
        </w:tc>
        <w:tc>
          <w:tcPr>
            <w:tcW w:w="18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45 requirement mappings</w:t>
            </w:r>
          </w:p>
        </w:tc>
        <w:tc>
          <w:tcPr>
            <w:tcW w:w="31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r>
              <w:rPr/>
              <w:t xml:space="preserve">, </w:t>
            </w:r>
            <w:hyperlink w:anchor="S03">
              <w:r>
                <w:rPr>
                  <w:rStyle w:val="Hyperlink"/>
                </w:rPr>
                <w:t>S03</w:t>
              </w:r>
            </w:hyperlink>
            <w:r>
              <w:rPr/>
              <w:t xml:space="preserve">, </w:t>
            </w:r>
            <w:hyperlink w:anchor="S04">
              <w:r>
                <w:rPr>
                  <w:rStyle w:val="Hyperlink"/>
                </w:rPr>
                <w:t>S04</w:t>
              </w:r>
            </w:hyperlink>
            <w:r>
              <w:rPr/>
              <w:t xml:space="preserve">, </w:t>
            </w:r>
            <w:hyperlink w:anchor="S05">
              <w:r>
                <w:rPr>
                  <w:rStyle w:val="Hyperlink"/>
                </w:rPr>
                <w:t>S05</w:t>
              </w:r>
            </w:hyperlink>
            <w:r>
              <w:rPr/>
              <w:t xml:space="preserve">, </w:t>
            </w:r>
            <w:hyperlink w:anchor="S08">
              <w:r>
                <w:rPr>
                  <w:rStyle w:val="Hyperlink"/>
                </w:rPr>
                <w:t>S08</w:t>
              </w:r>
            </w:hyperlink>
            <w:r>
              <w:rPr/>
              <w:t xml:space="preserve">, </w:t>
            </w:r>
            <w:hyperlink w:anchor="S10">
              <w:r>
                <w:rPr>
                  <w:rStyle w:val="Hyperlink"/>
                </w:rPr>
                <w:t>S10</w:t>
              </w:r>
            </w:hyperlink>
            <w:r>
              <w:rPr/>
              <w:t xml:space="preserve">, </w:t>
            </w:r>
            <w:hyperlink w:anchor="S11">
              <w:r>
                <w:rPr>
                  <w:rStyle w:val="Hyperlink"/>
                </w:rPr>
                <w:t>S11</w:t>
              </w:r>
            </w:hyperlink>
            <w:r>
              <w:rPr/>
              <w:t xml:space="preserve">, </w:t>
            </w:r>
            <w:hyperlink w:anchor="S17">
              <w:r>
                <w:rPr>
                  <w:rStyle w:val="Hyperlink"/>
                </w:rPr>
                <w:t>S17</w:t>
              </w:r>
            </w:hyperlink>
            <w:r>
              <w:rPr/>
              <w:t xml:space="preserve">, </w:t>
            </w:r>
            <w:hyperlink w:anchor="S18">
              <w:r>
                <w:rPr>
                  <w:rStyle w:val="Hyperlink"/>
                </w:rPr>
                <w:t>S18</w:t>
              </w:r>
            </w:hyperlink>
            <w:r>
              <w:rPr/>
              <w:t xml:space="preserve">, </w:t>
            </w:r>
            <w:hyperlink w:anchor="S19">
              <w:r>
                <w:rPr>
                  <w:rStyle w:val="Hyperlink"/>
                </w:rPr>
                <w:t>S19</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CM — Configuration management</w:t>
            </w:r>
          </w:p>
        </w:tc>
        <w:tc>
          <w:tcPr>
            <w:tcW w:w="18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54 requirement mappings</w:t>
            </w:r>
          </w:p>
        </w:tc>
        <w:tc>
          <w:tcPr>
            <w:tcW w:w="316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hyperlink w:anchor="S00">
              <w:r>
                <w:rPr>
                  <w:rStyle w:val="Hyperlink"/>
                </w:rPr>
                <w:t>S00</w:t>
              </w:r>
            </w:hyperlink>
            <w:r>
              <w:rPr/>
              <w:t xml:space="preserve">, </w:t>
            </w:r>
            <w:hyperlink w:anchor="S03">
              <w:r>
                <w:rPr>
                  <w:rStyle w:val="Hyperlink"/>
                </w:rPr>
                <w:t>S03</w:t>
              </w:r>
            </w:hyperlink>
            <w:r>
              <w:rPr/>
              <w:t xml:space="preserve">, </w:t>
            </w:r>
            <w:hyperlink w:anchor="S05">
              <w:r>
                <w:rPr>
                  <w:rStyle w:val="Hyperlink"/>
                </w:rPr>
                <w:t>S05</w:t>
              </w:r>
            </w:hyperlink>
            <w:r>
              <w:rPr/>
              <w:t xml:space="preserve">, </w:t>
            </w:r>
            <w:hyperlink w:anchor="S07">
              <w:r>
                <w:rPr>
                  <w:rStyle w:val="Hyperlink"/>
                </w:rPr>
                <w:t>S07</w:t>
              </w:r>
            </w:hyperlink>
            <w:r>
              <w:rPr/>
              <w:t xml:space="preserve">, </w:t>
            </w:r>
            <w:hyperlink w:anchor="S09">
              <w:r>
                <w:rPr>
                  <w:rStyle w:val="Hyperlink"/>
                </w:rPr>
                <w:t>S09</w:t>
              </w:r>
            </w:hyperlink>
            <w:r>
              <w:rPr/>
              <w:t xml:space="preserve">, </w:t>
            </w:r>
            <w:hyperlink w:anchor="S10">
              <w:r>
                <w:rPr>
                  <w:rStyle w:val="Hyperlink"/>
                </w:rPr>
                <w:t>S10</w:t>
              </w:r>
            </w:hyperlink>
            <w:r>
              <w:rPr/>
              <w:t xml:space="preserve">, </w:t>
            </w:r>
            <w:hyperlink w:anchor="S13">
              <w:r>
                <w:rPr>
                  <w:rStyle w:val="Hyperlink"/>
                </w:rPr>
                <w:t>S13</w:t>
              </w:r>
            </w:hyperlink>
            <w:r>
              <w:rPr/>
              <w:t xml:space="preserve">, </w:t>
            </w:r>
            <w:hyperlink w:anchor="S14">
              <w:r>
                <w:rPr>
                  <w:rStyle w:val="Hyperlink"/>
                </w:rPr>
                <w:t>S14</w:t>
              </w:r>
            </w:hyperlink>
            <w:r>
              <w:rPr/>
              <w:t xml:space="preserve">, </w:t>
            </w:r>
            <w:hyperlink w:anchor="S17">
              <w:r>
                <w:rPr>
                  <w:rStyle w:val="Hyperlink"/>
                </w:rPr>
                <w:t>S17</w:t>
              </w:r>
            </w:hyperlink>
            <w:r>
              <w:rPr/>
              <w:t xml:space="preserve">, </w:t>
            </w:r>
            <w:hyperlink w:anchor="S20">
              <w:r>
                <w:rPr>
                  <w:rStyle w:val="Hyperlink"/>
                </w:rPr>
                <w:t>S20</w:t>
              </w:r>
            </w:hyperlink>
            <w:r>
              <w:rPr/>
              <w:t xml:space="preserve">, </w:t>
            </w:r>
            <w:hyperlink w:anchor="S21">
              <w:r>
                <w:rPr>
                  <w:rStyle w:val="Hyperlink"/>
                </w:rPr>
                <w:t>S21</w:t>
              </w:r>
            </w:hyperlink>
            <w:r>
              <w:rPr/>
              <w:t xml:space="preserve">, </w:t>
            </w:r>
            <w:hyperlink w:anchor="S22">
              <w:r>
                <w:rPr>
                  <w:rStyle w:val="Hyperlink"/>
                </w:rPr>
                <w:t>S22</w:t>
              </w:r>
            </w:hyperlink>
            <w:r>
              <w:rPr/>
              <w:t xml:space="preserve">, </w:t>
            </w:r>
            <w:hyperlink w:anchor="S25">
              <w:r>
                <w:rPr>
                  <w:rStyle w:val="Hyperlink"/>
                </w:rPr>
                <w:t>S25</w:t>
              </w:r>
            </w:hyperlink>
            <w:r>
              <w:rPr/>
              <w:t xml:space="preserve">, </w:t>
            </w:r>
            <w:hyperlink w:anchor="S26">
              <w:r>
                <w:rPr>
                  <w:rStyle w:val="Hyperlink"/>
                </w:rPr>
                <w:t>S26</w:t>
              </w:r>
            </w:hyperlink>
            <w:r>
              <w:rPr/>
              <w:t xml:space="preserve">, </w:t>
            </w:r>
            <w:hyperlink w:anchor="S27">
              <w:r>
                <w:rPr>
                  <w:rStyle w:val="Hyperlink"/>
                </w:rPr>
                <w:t>S27</w:t>
              </w:r>
            </w:hyperlink>
            <w:r>
              <w:rPr/>
              <w:t xml:space="preserve">, </w:t>
            </w:r>
            <w:hyperlink w:anchor="S28">
              <w:r>
                <w:rPr>
                  <w:rStyle w:val="Hyperlink"/>
                </w:rPr>
                <w:t>S28</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CP — Contingency planning</w:t>
            </w:r>
          </w:p>
        </w:tc>
        <w:tc>
          <w:tcPr>
            <w:tcW w:w="18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36 requirement mappings</w:t>
            </w:r>
          </w:p>
        </w:tc>
        <w:tc>
          <w:tcPr>
            <w:tcW w:w="31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hyperlink w:anchor="S00">
              <w:r>
                <w:rPr>
                  <w:rStyle w:val="Hyperlink"/>
                </w:rPr>
                <w:t>S00</w:t>
              </w:r>
            </w:hyperlink>
            <w:r>
              <w:rPr/>
              <w:t xml:space="preserve">, </w:t>
            </w:r>
            <w:hyperlink w:anchor="S03">
              <w:r>
                <w:rPr>
                  <w:rStyle w:val="Hyperlink"/>
                </w:rPr>
                <w:t>S03</w:t>
              </w:r>
            </w:hyperlink>
            <w:r>
              <w:rPr/>
              <w:t xml:space="preserve">, </w:t>
            </w:r>
            <w:hyperlink w:anchor="S09">
              <w:r>
                <w:rPr>
                  <w:rStyle w:val="Hyperlink"/>
                </w:rPr>
                <w:t>S09</w:t>
              </w:r>
            </w:hyperlink>
            <w:r>
              <w:rPr/>
              <w:t xml:space="preserve">, </w:t>
            </w:r>
            <w:hyperlink w:anchor="S10">
              <w:r>
                <w:rPr>
                  <w:rStyle w:val="Hyperlink"/>
                </w:rPr>
                <w:t>S10</w:t>
              </w:r>
            </w:hyperlink>
            <w:r>
              <w:rPr/>
              <w:t xml:space="preserve">, </w:t>
            </w:r>
            <w:hyperlink w:anchor="S20">
              <w:r>
                <w:rPr>
                  <w:rStyle w:val="Hyperlink"/>
                </w:rPr>
                <w:t>S20</w:t>
              </w:r>
            </w:hyperlink>
            <w:r>
              <w:rPr/>
              <w:t xml:space="preserve">, </w:t>
            </w:r>
            <w:hyperlink w:anchor="S21">
              <w:r>
                <w:rPr>
                  <w:rStyle w:val="Hyperlink"/>
                </w:rPr>
                <w:t>S21</w:t>
              </w:r>
            </w:hyperlink>
            <w:r>
              <w:rPr/>
              <w:t xml:space="preserve">, </w:t>
            </w:r>
            <w:hyperlink w:anchor="S22">
              <w:r>
                <w:rPr>
                  <w:rStyle w:val="Hyperlink"/>
                </w:rPr>
                <w:t>S22</w:t>
              </w:r>
            </w:hyperlink>
            <w:r>
              <w:rPr/>
              <w:t xml:space="preserve">, </w:t>
            </w:r>
            <w:hyperlink w:anchor="S27">
              <w:r>
                <w:rPr>
                  <w:rStyle w:val="Hyperlink"/>
                </w:rPr>
                <w:t>S27</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IA — Identification and authentication</w:t>
            </w:r>
          </w:p>
        </w:tc>
        <w:tc>
          <w:tcPr>
            <w:tcW w:w="18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13 requirement mappings</w:t>
            </w:r>
          </w:p>
        </w:tc>
        <w:tc>
          <w:tcPr>
            <w:tcW w:w="316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r>
              <w:rPr/>
              <w:t xml:space="preserve">, </w:t>
            </w:r>
            <w:hyperlink w:anchor="S07">
              <w:r>
                <w:rPr>
                  <w:rStyle w:val="Hyperlink"/>
                </w:rPr>
                <w:t>S07</w:t>
              </w:r>
            </w:hyperlink>
            <w:r>
              <w:rPr/>
              <w:t xml:space="preserve">, </w:t>
            </w:r>
            <w:hyperlink w:anchor="S09">
              <w:r>
                <w:rPr>
                  <w:rStyle w:val="Hyperlink"/>
                </w:rPr>
                <w:t>S09</w:t>
              </w:r>
            </w:hyperlink>
            <w:r>
              <w:rPr/>
              <w:t xml:space="preserve">, </w:t>
            </w:r>
            <w:hyperlink w:anchor="S10">
              <w:r>
                <w:rPr>
                  <w:rStyle w:val="Hyperlink"/>
                </w:rPr>
                <w:t>S10</w:t>
              </w:r>
            </w:hyperlink>
            <w:r>
              <w:rPr/>
              <w:t xml:space="preserve">, </w:t>
            </w:r>
            <w:hyperlink w:anchor="S15">
              <w:r>
                <w:rPr>
                  <w:rStyle w:val="Hyperlink"/>
                </w:rPr>
                <w:t>S15</w:t>
              </w:r>
            </w:hyperlink>
            <w:r>
              <w:rPr/>
              <w:t xml:space="preserve">, </w:t>
            </w:r>
            <w:hyperlink w:anchor="S16">
              <w:r>
                <w:rPr>
                  <w:rStyle w:val="Hyperlink"/>
                </w:rPr>
                <w:t>S16</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IR — Incident response</w:t>
            </w:r>
          </w:p>
        </w:tc>
        <w:tc>
          <w:tcPr>
            <w:tcW w:w="18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 requirement mappings</w:t>
            </w:r>
          </w:p>
        </w:tc>
        <w:tc>
          <w:tcPr>
            <w:tcW w:w="31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hyperlink w:anchor="S00">
              <w:r>
                <w:rPr>
                  <w:rStyle w:val="Hyperlink"/>
                </w:rPr>
                <w:t>S00</w:t>
              </w:r>
            </w:hyperlink>
            <w:r>
              <w:rPr/>
              <w:t xml:space="preserve">, </w:t>
            </w:r>
            <w:hyperlink w:anchor="S12">
              <w:r>
                <w:rPr>
                  <w:rStyle w:val="Hyperlink"/>
                </w:rPr>
                <w:t>S12</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MP — Media protection</w:t>
            </w:r>
          </w:p>
        </w:tc>
        <w:tc>
          <w:tcPr>
            <w:tcW w:w="18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7 requirement mappings</w:t>
            </w:r>
          </w:p>
        </w:tc>
        <w:tc>
          <w:tcPr>
            <w:tcW w:w="316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hyperlink w:anchor="S00">
              <w:r>
                <w:rPr>
                  <w:rStyle w:val="Hyperlink"/>
                </w:rPr>
                <w:t>S00</w:t>
              </w:r>
            </w:hyperlink>
            <w:r>
              <w:rPr/>
              <w:t xml:space="preserve">, </w:t>
            </w:r>
            <w:hyperlink w:anchor="S09">
              <w:r>
                <w:rPr>
                  <w:rStyle w:val="Hyperlink"/>
                </w:rPr>
                <w:t>S09</w:t>
              </w:r>
            </w:hyperlink>
            <w:r>
              <w:rPr/>
              <w:t xml:space="preserve">, </w:t>
            </w:r>
            <w:hyperlink w:anchor="S27">
              <w:r>
                <w:rPr>
                  <w:rStyle w:val="Hyperlink"/>
                </w:rPr>
                <w:t>S27</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PL — Planning</w:t>
            </w:r>
          </w:p>
        </w:tc>
        <w:tc>
          <w:tcPr>
            <w:tcW w:w="18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40 requirement mappings</w:t>
            </w:r>
          </w:p>
        </w:tc>
        <w:tc>
          <w:tcPr>
            <w:tcW w:w="31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r>
              <w:rPr/>
              <w:t xml:space="preserve">, </w:t>
            </w:r>
            <w:hyperlink w:anchor="S04">
              <w:r>
                <w:rPr>
                  <w:rStyle w:val="Hyperlink"/>
                </w:rPr>
                <w:t>S04</w:t>
              </w:r>
            </w:hyperlink>
            <w:r>
              <w:rPr/>
              <w:t xml:space="preserve">, </w:t>
            </w:r>
            <w:hyperlink w:anchor="S05">
              <w:r>
                <w:rPr>
                  <w:rStyle w:val="Hyperlink"/>
                </w:rPr>
                <w:t>S05</w:t>
              </w:r>
            </w:hyperlink>
            <w:r>
              <w:rPr/>
              <w:t xml:space="preserve">, </w:t>
            </w:r>
            <w:hyperlink w:anchor="S06">
              <w:r>
                <w:rPr>
                  <w:rStyle w:val="Hyperlink"/>
                </w:rPr>
                <w:t>S06</w:t>
              </w:r>
            </w:hyperlink>
            <w:r>
              <w:rPr/>
              <w:t xml:space="preserve">, </w:t>
            </w:r>
            <w:hyperlink w:anchor="S08">
              <w:r>
                <w:rPr>
                  <w:rStyle w:val="Hyperlink"/>
                </w:rPr>
                <w:t>S08</w:t>
              </w:r>
            </w:hyperlink>
            <w:r>
              <w:rPr/>
              <w:t xml:space="preserve">, </w:t>
            </w:r>
            <w:hyperlink w:anchor="S10">
              <w:r>
                <w:rPr>
                  <w:rStyle w:val="Hyperlink"/>
                </w:rPr>
                <w:t>S10</w:t>
              </w:r>
            </w:hyperlink>
            <w:r>
              <w:rPr/>
              <w:t xml:space="preserve">, </w:t>
            </w:r>
            <w:hyperlink w:anchor="S28">
              <w:r>
                <w:rPr>
                  <w:rStyle w:val="Hyperlink"/>
                </w:rPr>
                <w:t>S28</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PM — Program management</w:t>
            </w:r>
          </w:p>
        </w:tc>
        <w:tc>
          <w:tcPr>
            <w:tcW w:w="18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 requirement mappings</w:t>
            </w:r>
          </w:p>
        </w:tc>
        <w:tc>
          <w:tcPr>
            <w:tcW w:w="316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hyperlink w:anchor="S05">
              <w:r>
                <w:rPr>
                  <w:rStyle w:val="Hyperlink"/>
                </w:rPr>
                <w:t>S05</w:t>
              </w:r>
            </w:hyperlink>
            <w:r>
              <w:rPr/>
              <w:t xml:space="preserve">, </w:t>
            </w:r>
            <w:hyperlink w:anchor="S28">
              <w:r>
                <w:rPr>
                  <w:rStyle w:val="Hyperlink"/>
                </w:rPr>
                <w:t>S28</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RA — Risk assessment</w:t>
            </w:r>
          </w:p>
        </w:tc>
        <w:tc>
          <w:tcPr>
            <w:tcW w:w="18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6 requirement mappings</w:t>
            </w:r>
          </w:p>
        </w:tc>
        <w:tc>
          <w:tcPr>
            <w:tcW w:w="31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hyperlink w:anchor="S00">
              <w:r>
                <w:rPr>
                  <w:rStyle w:val="Hyperlink"/>
                </w:rPr>
                <w:t>S00</w:t>
              </w:r>
            </w:hyperlink>
            <w:r>
              <w:rPr/>
              <w:t xml:space="preserve">, </w:t>
            </w:r>
            <w:hyperlink w:anchor="S03">
              <w:r>
                <w:rPr>
                  <w:rStyle w:val="Hyperlink"/>
                </w:rPr>
                <w:t>S03</w:t>
              </w:r>
            </w:hyperlink>
            <w:r>
              <w:rPr/>
              <w:t xml:space="preserve">, </w:t>
            </w:r>
            <w:hyperlink w:anchor="S05">
              <w:r>
                <w:rPr>
                  <w:rStyle w:val="Hyperlink"/>
                </w:rPr>
                <w:t>S05</w:t>
              </w:r>
            </w:hyperlink>
            <w:r>
              <w:rPr/>
              <w:t xml:space="preserve">, </w:t>
            </w:r>
            <w:hyperlink w:anchor="S06">
              <w:r>
                <w:rPr>
                  <w:rStyle w:val="Hyperlink"/>
                </w:rPr>
                <w:t>S06</w:t>
              </w:r>
            </w:hyperlink>
            <w:r>
              <w:rPr/>
              <w:t xml:space="preserve">, </w:t>
            </w:r>
            <w:hyperlink w:anchor="S07">
              <w:r>
                <w:rPr>
                  <w:rStyle w:val="Hyperlink"/>
                </w:rPr>
                <w:t>S07</w:t>
              </w:r>
            </w:hyperlink>
            <w:r>
              <w:rPr/>
              <w:t xml:space="preserve">, </w:t>
            </w:r>
            <w:hyperlink w:anchor="S08">
              <w:r>
                <w:rPr>
                  <w:rStyle w:val="Hyperlink"/>
                </w:rPr>
                <w:t>S08</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SC — System and communications protection</w:t>
            </w:r>
          </w:p>
        </w:tc>
        <w:tc>
          <w:tcPr>
            <w:tcW w:w="18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96 requirement mappings</w:t>
            </w:r>
          </w:p>
        </w:tc>
        <w:tc>
          <w:tcPr>
            <w:tcW w:w="316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hyperlink w:anchor="S00">
              <w:r>
                <w:rPr>
                  <w:rStyle w:val="Hyperlink"/>
                </w:rPr>
                <w:t>S00</w:t>
              </w:r>
            </w:hyperlink>
            <w:r>
              <w:rPr/>
              <w:t xml:space="preserve">, </w:t>
            </w:r>
            <w:hyperlink w:anchor="S01">
              <w:r>
                <w:rPr>
                  <w:rStyle w:val="Hyperlink"/>
                </w:rPr>
                <w:t>S01</w:t>
              </w:r>
            </w:hyperlink>
            <w:r>
              <w:rPr/>
              <w:t xml:space="preserve">, </w:t>
            </w:r>
            <w:hyperlink w:anchor="S02">
              <w:r>
                <w:rPr>
                  <w:rStyle w:val="Hyperlink"/>
                </w:rPr>
                <w:t>S02</w:t>
              </w:r>
            </w:hyperlink>
            <w:r>
              <w:rPr/>
              <w:t xml:space="preserve">, </w:t>
            </w:r>
            <w:hyperlink w:anchor="S03">
              <w:r>
                <w:rPr>
                  <w:rStyle w:val="Hyperlink"/>
                </w:rPr>
                <w:t>S03</w:t>
              </w:r>
            </w:hyperlink>
            <w:r>
              <w:rPr/>
              <w:t xml:space="preserve">, </w:t>
            </w:r>
            <w:hyperlink w:anchor="S05">
              <w:r>
                <w:rPr>
                  <w:rStyle w:val="Hyperlink"/>
                </w:rPr>
                <w:t>S05</w:t>
              </w:r>
            </w:hyperlink>
            <w:r>
              <w:rPr/>
              <w:t xml:space="preserve">, </w:t>
            </w:r>
            <w:hyperlink w:anchor="S07">
              <w:r>
                <w:rPr>
                  <w:rStyle w:val="Hyperlink"/>
                </w:rPr>
                <w:t>S07</w:t>
              </w:r>
            </w:hyperlink>
            <w:r>
              <w:rPr/>
              <w:t xml:space="preserve">, </w:t>
            </w:r>
            <w:hyperlink w:anchor="S09">
              <w:r>
                <w:rPr>
                  <w:rStyle w:val="Hyperlink"/>
                </w:rPr>
                <w:t>S09</w:t>
              </w:r>
            </w:hyperlink>
            <w:r>
              <w:rPr/>
              <w:t xml:space="preserve">, </w:t>
            </w:r>
            <w:hyperlink w:anchor="S10">
              <w:r>
                <w:rPr>
                  <w:rStyle w:val="Hyperlink"/>
                </w:rPr>
                <w:t>S10</w:t>
              </w:r>
            </w:hyperlink>
            <w:r>
              <w:rPr/>
              <w:t xml:space="preserve">, </w:t>
            </w:r>
            <w:hyperlink w:anchor="S11">
              <w:r>
                <w:rPr>
                  <w:rStyle w:val="Hyperlink"/>
                </w:rPr>
                <w:t>S11</w:t>
              </w:r>
            </w:hyperlink>
            <w:r>
              <w:rPr/>
              <w:t xml:space="preserve">, </w:t>
            </w:r>
            <w:hyperlink w:anchor="S15">
              <w:r>
                <w:rPr>
                  <w:rStyle w:val="Hyperlink"/>
                </w:rPr>
                <w:t>S15</w:t>
              </w:r>
            </w:hyperlink>
            <w:r>
              <w:rPr/>
              <w:t xml:space="preserve">, </w:t>
            </w:r>
            <w:hyperlink w:anchor="S16">
              <w:r>
                <w:rPr>
                  <w:rStyle w:val="Hyperlink"/>
                </w:rPr>
                <w:t>S16</w:t>
              </w:r>
            </w:hyperlink>
            <w:r>
              <w:rPr/>
              <w:t xml:space="preserve">, </w:t>
            </w:r>
            <w:hyperlink w:anchor="S17">
              <w:r>
                <w:rPr>
                  <w:rStyle w:val="Hyperlink"/>
                </w:rPr>
                <w:t>S17</w:t>
              </w:r>
            </w:hyperlink>
            <w:r>
              <w:rPr/>
              <w:t xml:space="preserve">, </w:t>
            </w:r>
            <w:hyperlink w:anchor="S18">
              <w:r>
                <w:rPr>
                  <w:rStyle w:val="Hyperlink"/>
                </w:rPr>
                <w:t>S18</w:t>
              </w:r>
            </w:hyperlink>
            <w:r>
              <w:rPr/>
              <w:t xml:space="preserve">, </w:t>
            </w:r>
            <w:hyperlink w:anchor="S19">
              <w:r>
                <w:rPr>
                  <w:rStyle w:val="Hyperlink"/>
                </w:rPr>
                <w:t>S19</w:t>
              </w:r>
            </w:hyperlink>
            <w:r>
              <w:rPr/>
              <w:t xml:space="preserve">, </w:t>
            </w:r>
            <w:hyperlink w:anchor="S20">
              <w:r>
                <w:rPr>
                  <w:rStyle w:val="Hyperlink"/>
                </w:rPr>
                <w:t>S20</w:t>
              </w:r>
            </w:hyperlink>
            <w:r>
              <w:rPr/>
              <w:t xml:space="preserve">, </w:t>
            </w:r>
            <w:hyperlink w:anchor="S21">
              <w:r>
                <w:rPr>
                  <w:rStyle w:val="Hyperlink"/>
                </w:rPr>
                <w:t>S21</w:t>
              </w:r>
            </w:hyperlink>
            <w:r>
              <w:rPr/>
              <w:t xml:space="preserve">, </w:t>
            </w:r>
            <w:hyperlink w:anchor="S22">
              <w:r>
                <w:rPr>
                  <w:rStyle w:val="Hyperlink"/>
                </w:rPr>
                <w:t>S22</w:t>
              </w:r>
            </w:hyperlink>
            <w:r>
              <w:rPr/>
              <w:t xml:space="preserve">, </w:t>
            </w:r>
            <w:hyperlink w:anchor="S23">
              <w:r>
                <w:rPr>
                  <w:rStyle w:val="Hyperlink"/>
                </w:rPr>
                <w:t>S23</w:t>
              </w:r>
            </w:hyperlink>
            <w:r>
              <w:rPr/>
              <w:t xml:space="preserve">, </w:t>
            </w:r>
            <w:hyperlink w:anchor="S24">
              <w:r>
                <w:rPr>
                  <w:rStyle w:val="Hyperlink"/>
                </w:rPr>
                <w:t>S24</w:t>
              </w:r>
            </w:hyperlink>
            <w:r>
              <w:rPr/>
              <w:t xml:space="preserve">, </w:t>
            </w:r>
            <w:hyperlink w:anchor="S25">
              <w:r>
                <w:rPr>
                  <w:rStyle w:val="Hyperlink"/>
                </w:rPr>
                <w:t>S25</w:t>
              </w:r>
            </w:hyperlink>
            <w:r>
              <w:rPr/>
              <w:t xml:space="preserve">, </w:t>
            </w:r>
            <w:hyperlink w:anchor="S26">
              <w:r>
                <w:rPr>
                  <w:rStyle w:val="Hyperlink"/>
                </w:rPr>
                <w:t>S26</w:t>
              </w:r>
            </w:hyperlink>
            <w:r>
              <w:rPr/>
              <w:t xml:space="preserve">, </w:t>
            </w:r>
            <w:hyperlink w:anchor="S27">
              <w:r>
                <w:rPr>
                  <w:rStyle w:val="Hyperlink"/>
                </w:rPr>
                <w:t>S27</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SI — System and information integrity</w:t>
            </w:r>
          </w:p>
        </w:tc>
        <w:tc>
          <w:tcPr>
            <w:tcW w:w="18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6 requirement mappings</w:t>
            </w:r>
          </w:p>
        </w:tc>
        <w:tc>
          <w:tcPr>
            <w:tcW w:w="316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hyperlink w:anchor="S00">
              <w:r>
                <w:rPr>
                  <w:rStyle w:val="Hyperlink"/>
                </w:rPr>
                <w:t>S00</w:t>
              </w:r>
            </w:hyperlink>
            <w:r>
              <w:rPr/>
              <w:t xml:space="preserve">, </w:t>
            </w:r>
            <w:hyperlink w:anchor="S03">
              <w:r>
                <w:rPr>
                  <w:rStyle w:val="Hyperlink"/>
                </w:rPr>
                <w:t>S03</w:t>
              </w:r>
            </w:hyperlink>
            <w:r>
              <w:rPr/>
              <w:t xml:space="preserve">, </w:t>
            </w:r>
            <w:hyperlink w:anchor="S05">
              <w:r>
                <w:rPr>
                  <w:rStyle w:val="Hyperlink"/>
                </w:rPr>
                <w:t>S05</w:t>
              </w:r>
            </w:hyperlink>
            <w:r>
              <w:rPr/>
              <w:t xml:space="preserve">, </w:t>
            </w:r>
            <w:hyperlink w:anchor="S07">
              <w:r>
                <w:rPr>
                  <w:rStyle w:val="Hyperlink"/>
                </w:rPr>
                <w:t>S07</w:t>
              </w:r>
            </w:hyperlink>
            <w:r>
              <w:rPr/>
              <w:t xml:space="preserve">, </w:t>
            </w:r>
            <w:hyperlink w:anchor="S14">
              <w:r>
                <w:rPr>
                  <w:rStyle w:val="Hyperlink"/>
                </w:rPr>
                <w:t>S14</w:t>
              </w:r>
            </w:hyperlink>
          </w:p>
        </w:tc>
      </w:tr>
      <w:tr>
        <w:trPr>
          <w:cantSplit w:val="true"/>
        </w:trPr>
        <w:tc>
          <w:tcPr>
            <w:tcW w:w="460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SR — Supply-chain risk management</w:t>
            </w:r>
          </w:p>
        </w:tc>
        <w:tc>
          <w:tcPr>
            <w:tcW w:w="18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 requirement mappings</w:t>
            </w:r>
          </w:p>
        </w:tc>
        <w:tc>
          <w:tcPr>
            <w:tcW w:w="316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hyperlink w:anchor="S00">
              <w:r>
                <w:rPr>
                  <w:rStyle w:val="Hyperlink"/>
                </w:rPr>
                <w:t>S00</w:t>
              </w:r>
            </w:hyperlink>
            <w:r>
              <w:rPr/>
              <w:t xml:space="preserve">, </w:t>
            </w:r>
            <w:hyperlink w:anchor="S05">
              <w:r>
                <w:rPr>
                  <w:rStyle w:val="Hyperlink"/>
                </w:rPr>
                <w:t>S05</w:t>
              </w:r>
            </w:hyperlink>
            <w:r>
              <w:rPr/>
              <w:t xml:space="preserve">, </w:t>
            </w:r>
            <w:hyperlink w:anchor="S07">
              <w:r>
                <w:rPr>
                  <w:rStyle w:val="Hyperlink"/>
                </w:rPr>
                <w:t>S07</w:t>
              </w:r>
            </w:hyperlink>
            <w:r>
              <w:rPr/>
              <w:t xml:space="preserve">, </w:t>
            </w:r>
            <w:hyperlink w:anchor="S14">
              <w:r>
                <w:rPr>
                  <w:rStyle w:val="Hyperlink"/>
                </w:rPr>
                <w:t>S14</w:t>
              </w:r>
            </w:hyperlink>
          </w:p>
        </w:tc>
      </w:tr>
    </w:tbl>
    <w:p>
      <w:pPr>
        <w:pStyle w:val="Heading3"/>
        <w:rPr/>
      </w:pPr>
      <w:r>
        <w:rPr/>
        <w:t>Assessment record required for each selected control</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160"/>
        <w:gridCol w:w="7415"/>
      </w:tblGrid>
      <w:tr>
        <w:trPr>
          <w:tblHeader w:val="true"/>
          <w:cantSplit w:val="true"/>
        </w:trPr>
        <w:tc>
          <w:tcPr>
            <w:tcW w:w="2160"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Field</w:t>
            </w:r>
          </w:p>
        </w:tc>
        <w:tc>
          <w:tcPr>
            <w:tcW w:w="7415"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Required interpretation</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Source and selection</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Exact catalogue/edition, control ID, enhancement and organization-defined parameters</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Requirement mapping</w:t>
            </w:r>
          </w:p>
        </w:tc>
        <w:tc>
          <w:tcPr>
            <w:tcW w:w="741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Specific handbook IDs and whether mapping is direct-source, local translation or supporting design decision</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Responsibility</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Provider, tenant or shared; one accountable control owner; inherited service and evidence scope</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Implementation</w:t>
            </w:r>
          </w:p>
        </w:tc>
        <w:tc>
          <w:tcPr>
            <w:tcW w:w="741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Concrete enforcement location/configuration/procedure and qualified platform tuple</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Verification</w:t>
            </w:r>
          </w:p>
        </w:tc>
        <w:tc>
          <w:tcPr>
            <w:tcW w:w="7415"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Test/examination/interview method, actual result, observed generation, evidence integrity and freshness</w:t>
            </w:r>
          </w:p>
        </w:tc>
      </w:tr>
      <w:tr>
        <w:trPr>
          <w:cantSplit w:val="true"/>
        </w:trPr>
        <w:tc>
          <w:tcPr>
            <w:tcW w:w="2160"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Disposition</w:t>
            </w:r>
          </w:p>
        </w:tc>
        <w:tc>
          <w:tcPr>
            <w:tcW w:w="7415"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Implemented, partially implemented, not applicable with approved rationale, or gap/risk; formal authority and expiry when relevant</w:t>
            </w:r>
          </w:p>
        </w:tc>
      </w:tr>
    </w:tbl>
    <w:p>
      <w:pPr>
        <w:pStyle w:val="BodyText"/>
        <w:rPr/>
      </w:pPr>
      <w:r>
        <w:rPr/>
        <w:t xml:space="preserve">Example trace: ZIP-003 is the handbook’s deny-by-default inter-zone requirement. </w:t>
      </w:r>
      <w:hyperlink w:anchor="S01">
        <w:r>
          <w:rPr>
            <w:rStyle w:val="Hyperlink"/>
          </w:rPr>
          <w:t>S01</w:t>
        </w:r>
      </w:hyperlink>
      <w:r>
        <w:rPr/>
        <w:t>/</w:t>
      </w:r>
      <w:hyperlink w:anchor="S02">
        <w:r>
          <w:rPr>
            <w:rStyle w:val="Hyperlink"/>
          </w:rPr>
          <w:t>S02</w:t>
        </w:r>
      </w:hyperlink>
      <w:r>
        <w:rPr/>
        <w:t xml:space="preserve"> inform the boundary model; the assessor selects applicable control IDs and parameters from the adopted catalogue. The implementation record names the two endpoint instances and effective enforcement policy. CT-003 and CT-007 produce denied/allowed path evidence against that generation. The EvidenceRecord binds those results; the authorizing official independently decides whether the complete system may operate. This is a trace template, not a completed control assessment.</w:t>
      </w:r>
    </w:p>
    <w:p>
      <w:pPr>
        <w:pStyle w:val="BodyText"/>
        <w:rPr/>
      </w:pPr>
      <w:r>
        <w:rPr/>
        <w:t>Inherited controls are time- and scope-bound. A shared DNS, KMS or backup service exposes an agreed control interface and evidence, not a blanket inheritance claim. Tenant application controls and data-owner obligations remain explicitly assigned even when underlying infrastructure controls are inherited.</w:t>
      </w:r>
      <w:r>
        <w:br w:type="page"/>
      </w:r>
    </w:p>
    <w:p>
      <w:pPr>
        <w:pStyle w:val="Heading1"/>
        <w:spacing w:before="0" w:after="180"/>
        <w:rPr/>
      </w:pPr>
      <w:bookmarkStart w:id="464" w:name="__RefHeading___Toc13441_1645000677"/>
      <w:bookmarkStart w:id="465" w:name="app_F"/>
      <w:bookmarkEnd w:id="464"/>
      <w:r>
        <w:rPr/>
        <w:t>Appendix F — Proposed local engineering parameters</w:t>
      </w:r>
      <w:bookmarkEnd w:id="465"/>
    </w:p>
    <w:p>
      <w:pPr>
        <w:pStyle w:val="Heading2"/>
        <w:ind w:hanging="0" w:start="0"/>
        <w:rPr/>
      </w:pPr>
      <w:bookmarkStart w:id="466" w:name="__RefHeading___Toc13443_1645000677"/>
      <w:bookmarkEnd w:id="466"/>
      <w:r>
        <w:rPr/>
        <w:t>Reference parameter set</w:t>
      </w:r>
    </w:p>
    <w:p>
      <w:pPr>
        <w:pStyle w:val="BodyText"/>
        <w:rPr/>
      </w:pPr>
      <w:r>
        <w:rPr/>
        <w:t>These values are starting proposals for an implementation workshop. They are not government-mandated thresholds, approved cryptoperiods, purchased capacity commitments or measurements of a deployed service. Each production profile needs an owner, authority approval, version, applicability and measured feasibility; higher-authority or system-specific obligations override these examples.</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374"/>
        <w:gridCol w:w="2664"/>
        <w:gridCol w:w="4538"/>
      </w:tblGrid>
      <w:tr>
        <w:trPr>
          <w:tblHeader w:val="true"/>
          <w:cantSplit w:val="true"/>
        </w:trPr>
        <w:tc>
          <w:tcPr>
            <w:tcW w:w="237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Parameter</w:t>
            </w:r>
          </w:p>
        </w:tc>
        <w:tc>
          <w:tcPr>
            <w:tcW w:w="266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Proposed example</w:t>
            </w:r>
          </w:p>
        </w:tc>
        <w:tc>
          <w:tcPr>
            <w:tcW w:w="4538"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Qualification / adoption rule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Event forwarding latency</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Target ≤60 seconds under normal operation</w:t>
            </w:r>
          </w:p>
        </w:tc>
        <w:tc>
          <w:tcPr>
            <w:tcW w:w="453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Measured end-to-end receipt; critical event classes identified separately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Security drift detection</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Target ≤15 minutes for polled configuration; event-driven where supported</w:t>
            </w:r>
          </w:p>
        </w:tc>
        <w:tc>
          <w:tcPr>
            <w:tcW w:w="453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Do not claim unseen configuration has been inspected</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Privileged-access review</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Quarterly and on role/incident change</w:t>
            </w:r>
          </w:p>
        </w:tc>
        <w:tc>
          <w:tcPr>
            <w:tcW w:w="453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Actual native/API privileges included, not only identity group names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Critical configuration recovery exercise</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At least every 180 days and after major changes</w:t>
            </w:r>
          </w:p>
        </w:tc>
        <w:tc>
          <w:tcPr>
            <w:tcW w:w="453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Restore bootstrap/state/keys/catalog; target environment isolated</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Representative data restore exercise</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At least every 90 days and after material backup changes</w:t>
            </w:r>
          </w:p>
        </w:tc>
        <w:tc>
          <w:tcPr>
            <w:tcW w:w="453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Application consistency and actual recovered data point recorded</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Evidence freshness for unchanged routine deployments</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24 hours as a starting cap</w:t>
            </w:r>
          </w:p>
        </w:tc>
        <w:tc>
          <w:tcPr>
            <w:tcW w:w="453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Material changes invalidate affected evidence immediately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Exception review horizon</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At most 90 days for routine architecture exceptions</w:t>
            </w:r>
          </w:p>
        </w:tc>
        <w:tc>
          <w:tcPr>
            <w:tcW w:w="453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Shorter for elevated risk; source obligations may not allow an exception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Image vulnerability review</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At publication and before deployment admission</w:t>
            </w:r>
          </w:p>
        </w:tc>
        <w:tc>
          <w:tcPr>
            <w:tcW w:w="453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Approved intelligence and installed package versions considered</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Critical exploitable vulnerability response</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Immediate triage; local plan target within 24 hours</w:t>
            </w:r>
          </w:p>
        </w:tc>
        <w:tc>
          <w:tcPr>
            <w:tcW w:w="453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Remediation deadline set by the security authority and applicable direction, not this example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Capacity operating reserve</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Start with a modeled 20% reserve after the covered failure</w:t>
            </w:r>
          </w:p>
        </w:tc>
        <w:tc>
          <w:tcPr>
            <w:tcW w:w="453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Recalculate from measured workload, rebuild, maintenance and forecast; not a universal safe percentage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Example service availability</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99.9% over a defined 30-day window</w:t>
            </w:r>
          </w:p>
        </w:tc>
        <w:tc>
          <w:tcPr>
            <w:tcW w:w="453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Example AvailabilityProfile only; exclusions and measurement defined before offering</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Example recovery objectives</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RTO 240 minutes; RPO 60 minutes</w:t>
            </w:r>
          </w:p>
        </w:tc>
        <w:tc>
          <w:tcPr>
            <w:tcW w:w="453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Example RecoveryProfile; measured acceptance includes dependencies and service validation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Example backup retention / evidence retention</w:t>
            </w:r>
          </w:p>
        </w:tc>
        <w:tc>
          <w:tcPr>
            <w:tcW w:w="266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30 days backup; 365 days evidence</w:t>
            </w:r>
          </w:p>
        </w:tc>
        <w:tc>
          <w:tcPr>
            <w:tcW w:w="4538"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Data-owner retention/hold and applicable obligations override examples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Example key rotation review</w:t>
            </w:r>
          </w:p>
        </w:tc>
        <w:tc>
          <w:tcPr>
            <w:tcW w:w="266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365-day maximum planned interval as a design placeholder</w:t>
            </w:r>
          </w:p>
        </w:tc>
        <w:tc>
          <w:tcPr>
            <w:tcW w:w="4538"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Actual key type, cryptoperiod and current crypto policy determine the approved value</w:t>
            </w:r>
          </w:p>
        </w:tc>
      </w:tr>
    </w:tbl>
    <w:p>
      <w:pPr>
        <w:pStyle w:val="Heading3"/>
        <w:rPr/>
      </w:pPr>
      <w:r>
        <w:rPr/>
        <w:t>Profile adoption record</w:t>
      </w:r>
    </w:p>
    <w:p>
      <w:pPr>
        <w:pStyle w:val="BodyText"/>
        <w:rPr/>
      </w:pPr>
      <w:r>
        <w:rPr/>
        <w:t>Record profile ID/version; offered service class; information envelope; proposed and approved parameters; rationale; measurement method; exact target implementation; evidence; capacity cost; operator owner; approving authority; effective/review dates; exceptions and migration consequences. A numeric default is not “approved” just because it exists in a schema example.</w:t>
      </w:r>
      <w:r>
        <w:br w:type="page"/>
      </w:r>
    </w:p>
    <w:p>
      <w:pPr>
        <w:pStyle w:val="Heading1"/>
        <w:spacing w:before="0" w:after="180"/>
        <w:rPr/>
      </w:pPr>
      <w:bookmarkStart w:id="467" w:name="__RefHeading___Toc13445_1645000677"/>
      <w:bookmarkStart w:id="468" w:name="app_G"/>
      <w:bookmarkEnd w:id="467"/>
      <w:r>
        <w:rPr/>
        <w:t>Appendix G — Operational records and decision templates</w:t>
      </w:r>
      <w:bookmarkEnd w:id="468"/>
    </w:p>
    <w:p>
      <w:pPr>
        <w:pStyle w:val="Heading2"/>
        <w:ind w:hanging="0" w:start="0"/>
        <w:rPr/>
      </w:pPr>
      <w:bookmarkStart w:id="469" w:name="__RefHeading___Toc13447_1645000677"/>
      <w:bookmarkEnd w:id="469"/>
      <w:r>
        <w:rPr/>
        <w:t>Operational templates</w:t>
      </w:r>
    </w:p>
    <w:p>
      <w:pPr>
        <w:pStyle w:val="BodyText"/>
        <w:rPr/>
      </w:pPr>
      <w:r>
        <w:rPr/>
        <w:t>These templates complete the operational interfaces without duplicating the full runbooks in sections 53, 55–57. Their fields are minimum record content, not an instruction to bypass the adopting organization’s incident/change system.</w:t>
      </w:r>
    </w:p>
    <w:p>
      <w:pPr>
        <w:pStyle w:val="Heading3"/>
        <w:rPr/>
      </w:pPr>
      <w:r>
        <w:rPr/>
        <w:t>Architecture decision record</w:t>
      </w:r>
    </w:p>
    <w:tbl>
      <w:tblPr>
        <w:tblW w:w="9576" w:type="dxa"/>
        <w:jc w:val="center"/>
        <w:tblInd w:w="0" w:type="dxa"/>
        <w:tblLayout w:type="fixed"/>
        <w:tblCellMar>
          <w:top w:w="30" w:type="dxa"/>
          <w:start w:w="85" w:type="dxa"/>
          <w:bottom w:w="30" w:type="dxa"/>
          <w:end w:w="85" w:type="dxa"/>
        </w:tblCellMar>
        <w:tblLook w:val="04a0" w:noHBand="0" w:noVBand="1" w:firstColumn="1" w:lastRow="0" w:lastColumn="0" w:firstRow="1"/>
      </w:tblPr>
      <w:tblGrid>
        <w:gridCol w:w="1942"/>
        <w:gridCol w:w="7633"/>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20"/>
              <w:rPr/>
            </w:pPr>
            <w:r>
              <w:rPr/>
              <w:t>Record area</w:t>
            </w:r>
          </w:p>
        </w:tc>
        <w:tc>
          <w:tcPr>
            <w:tcW w:w="763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20"/>
              <w:rPr/>
            </w:pPr>
            <w:r>
              <w:rPr/>
              <w:t>Required fields / action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Identity</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ADR ID, title, status, owner, date, superseded decisions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Context</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Problem, threat/failure assumptions, affected scope, requirements and sources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Alternatives</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Viable options, interoperability/portability implications and explicit rejection rationale</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Decision</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Chosen design, boundary/authority model, dependencies, approved conditions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Consequences</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Security and operational risks, capacity/cost, qualification tests, migration/exit, review trigger</w:t>
            </w:r>
          </w:p>
        </w:tc>
      </w:tr>
    </w:tbl>
    <w:p>
      <w:pPr>
        <w:pStyle w:val="Heading3"/>
        <w:rPr/>
      </w:pPr>
      <w:r>
        <w:rPr/>
        <w:t>Partial-apply recovery record</w:t>
      </w:r>
    </w:p>
    <w:tbl>
      <w:tblPr>
        <w:tblW w:w="9576" w:type="dxa"/>
        <w:jc w:val="center"/>
        <w:tblInd w:w="0" w:type="dxa"/>
        <w:tblLayout w:type="fixed"/>
        <w:tblCellMar>
          <w:top w:w="30" w:type="dxa"/>
          <w:start w:w="85" w:type="dxa"/>
          <w:bottom w:w="30" w:type="dxa"/>
          <w:end w:w="85" w:type="dxa"/>
        </w:tblCellMar>
        <w:tblLook w:val="04a0" w:noHBand="0" w:noVBand="1" w:firstColumn="1" w:lastRow="0" w:lastColumn="0" w:firstRow="1"/>
      </w:tblPr>
      <w:tblGrid>
        <w:gridCol w:w="1942"/>
        <w:gridCol w:w="7633"/>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20"/>
              <w:rPr/>
            </w:pPr>
            <w:r>
              <w:rPr/>
              <w:t>Record area</w:t>
            </w:r>
          </w:p>
        </w:tc>
        <w:tc>
          <w:tcPr>
            <w:tcW w:w="763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20"/>
              <w:rPr/>
            </w:pPr>
            <w:r>
              <w:rPr/>
              <w:t>Required fields / action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Detect</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Operation ID, target generation, stage/completion tokens, state locks and latest confirmed provider outcome</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Stabilize</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Prove active writer status, restrict new actions, preserve data and evidence</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Reconcile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Query owned resources, IPAM/DNS/reservations, effective policy and readiness; resolve unknown outcomes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Decide</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Authorized converge/compensate/manual intervention; expected data impact and approval</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Close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Run changed-path tests, bind new evidence, release reservations/locks safely and record root cause</w:t>
            </w:r>
          </w:p>
        </w:tc>
      </w:tr>
    </w:tbl>
    <w:p>
      <w:pPr>
        <w:pStyle w:val="Heading3"/>
        <w:rPr/>
      </w:pPr>
      <w:r>
        <w:rPr/>
        <w:t>Key or identity dependency outage record</w:t>
      </w:r>
    </w:p>
    <w:tbl>
      <w:tblPr>
        <w:tblW w:w="9576" w:type="dxa"/>
        <w:jc w:val="center"/>
        <w:tblInd w:w="0" w:type="dxa"/>
        <w:tblLayout w:type="fixed"/>
        <w:tblCellMar>
          <w:top w:w="30" w:type="dxa"/>
          <w:start w:w="85" w:type="dxa"/>
          <w:bottom w:w="30" w:type="dxa"/>
          <w:end w:w="85" w:type="dxa"/>
        </w:tblCellMar>
        <w:tblLook w:val="04a0" w:noHBand="0" w:noVBand="1" w:firstColumn="1" w:lastRow="0" w:lastColumn="0" w:firstRow="1"/>
      </w:tblPr>
      <w:tblGrid>
        <w:gridCol w:w="1942"/>
        <w:gridCol w:w="7633"/>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20"/>
              <w:rPr/>
            </w:pPr>
            <w:r>
              <w:rPr/>
              <w:t>Record area</w:t>
            </w:r>
          </w:p>
        </w:tc>
        <w:tc>
          <w:tcPr>
            <w:tcW w:w="763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20"/>
              <w:rPr/>
            </w:pPr>
            <w:r>
              <w:rPr/>
              <w:t>Required fields / action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Scope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Affected key/identity service, tenants, new versus existing sessions/data access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Continuity</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Qualified cache/session behavior; no plaintext or unrestricted local-account fallback</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Recover</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Approved break-glass, protected recovery material, target-service health and audit</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Revoke/reconcile</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Rotate or revoke compromised/recovery credentials, reassess grants and retained copies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Accept</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Actual application/service validation, security owner approval and incident closure</w:t>
            </w:r>
          </w:p>
        </w:tc>
      </w:tr>
    </w:tbl>
    <w:p>
      <w:pPr>
        <w:pStyle w:val="Heading3"/>
        <w:rPr/>
      </w:pPr>
      <w:r>
        <w:rPr/>
        <w:t>Retention and sanitization record</w:t>
      </w:r>
    </w:p>
    <w:tbl>
      <w:tblPr>
        <w:tblW w:w="9576" w:type="dxa"/>
        <w:jc w:val="center"/>
        <w:tblInd w:w="0" w:type="dxa"/>
        <w:tblLayout w:type="fixed"/>
        <w:tblCellMar>
          <w:top w:w="30" w:type="dxa"/>
          <w:start w:w="85" w:type="dxa"/>
          <w:bottom w:w="30" w:type="dxa"/>
          <w:end w:w="85" w:type="dxa"/>
        </w:tblCellMar>
        <w:tblLook w:val="04a0" w:noHBand="0" w:noVBand="1" w:firstColumn="1" w:lastRow="0" w:lastColumn="0" w:firstRow="1"/>
      </w:tblPr>
      <w:tblGrid>
        <w:gridCol w:w="1942"/>
        <w:gridCol w:w="7633"/>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20"/>
              <w:rPr/>
            </w:pPr>
            <w:r>
              <w:rPr/>
              <w:t>Record area</w:t>
            </w:r>
          </w:p>
        </w:tc>
        <w:tc>
          <w:tcPr>
            <w:tcW w:w="763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20"/>
              <w:rPr/>
            </w:pPr>
            <w:r>
              <w:rPr/>
              <w:t>Required fields / action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Data lineage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Original WSD, copy/replica/snapshot IDs, class, owners and storage locations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Obligations</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Retention policy, holds, disposition authority, key dependencies and review dates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Action</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Approved method, media/key scope, execution authority/time and affected copies</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Verification</w:t>
            </w:r>
          </w:p>
        </w:tc>
        <w:tc>
          <w:tcPr>
            <w:tcW w:w="763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20"/>
              <w:rPr/>
            </w:pPr>
            <w:r>
              <w:rPr/>
              <w:t>Technical sanitization evidence or explicit retained exceptions; no fabricated total-destruction assertion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Closure</w:t>
            </w:r>
          </w:p>
        </w:tc>
        <w:tc>
          <w:tcPr>
            <w:tcW w:w="763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20"/>
              <w:rPr/>
            </w:pPr>
            <w:r>
              <w:rPr/>
              <w:t>Tombstone, remaining obligations, evidence retention and final access revocation</w:t>
            </w:r>
          </w:p>
        </w:tc>
      </w:tr>
    </w:tbl>
    <w:p>
      <w:pPr>
        <w:pStyle w:val="BodyText"/>
        <w:rPr/>
      </w:pPr>
      <w:r>
        <w:rPr/>
        <w:t>Change/exception approvals, ZIP endpoint-authority approvals, platform qualification and operational handover records use the same identity/version/evidence conventions. Their signed decisions are stored in the approved system of record; a string labelled approvalRef is not proof that approval actually exists.</w:t>
      </w:r>
      <w:r>
        <w:br w:type="page"/>
      </w:r>
    </w:p>
    <w:p>
      <w:pPr>
        <w:pStyle w:val="Heading1"/>
        <w:spacing w:before="0" w:after="180"/>
        <w:rPr/>
      </w:pPr>
      <w:bookmarkStart w:id="470" w:name="__RefHeading___Toc13449_1645000677"/>
      <w:bookmarkStart w:id="471" w:name="app_H"/>
      <w:bookmarkEnd w:id="470"/>
      <w:r>
        <w:rPr/>
        <w:t>Appendix H — Primary sources and implementation references</w:t>
      </w:r>
      <w:bookmarkEnd w:id="471"/>
    </w:p>
    <w:p>
      <w:pPr>
        <w:pStyle w:val="BodyText"/>
        <w:rPr/>
      </w:pPr>
      <w:r>
        <w:rPr/>
        <w:t>Research review date: 16 September 2026. References distinguish uploaded baseline, applicable organizational sources, Cyber Centre guidance, protocol specifications and implementation documentation. Vendor repositories and current web pages are discovery/documentation sources, not pinned production qualification records. The implementation register must preserve the exact product/API/provider tuple and source snapshot used for qualification.</w:t>
      </w:r>
    </w:p>
    <w:p>
      <w:pPr>
        <w:pStyle w:val="TestTitle"/>
        <w:rPr/>
      </w:pPr>
      <w:hyperlink w:anchor="S00">
        <w:bookmarkStart w:id="472" w:name="S00"/>
        <w:r>
          <w:rPr>
            <w:rStyle w:val="Hyperlink"/>
          </w:rPr>
          <w:t>S00</w:t>
        </w:r>
      </w:hyperlink>
      <w:r>
        <w:rPr/>
        <w:t xml:space="preserve"> — Uploaded handbook, Draft v1.0</w:t>
      </w:r>
      <w:bookmarkEnd w:id="472"/>
    </w:p>
    <w:p>
      <w:pPr>
        <w:pStyle w:val="Small"/>
        <w:rPr/>
      </w:pPr>
      <w:r>
        <w:rPr/>
        <w:t>September 2026  |  User-provided baseline</w:t>
      </w:r>
    </w:p>
    <w:p>
      <w:pPr>
        <w:pStyle w:val="BodyText"/>
        <w:rPr/>
      </w:pPr>
      <w:r>
        <w:rPr/>
        <w:t>Source lineage; 43 pages; all 99 original requirement/invariant IDs retained or explicitly revised. Not an external authority.</w:t>
      </w:r>
    </w:p>
    <w:p>
      <w:pPr>
        <w:pStyle w:val="Small"/>
        <w:rPr/>
      </w:pPr>
      <w:r>
        <w:rPr/>
        <w:t>Source: uploaded Portable_Multi-Tenant_Secure_Hosting_Handbook(2).docx; Draft v1.0, 43 pages.</w:t>
      </w:r>
    </w:p>
    <w:p>
      <w:pPr>
        <w:pStyle w:val="TestTitle"/>
        <w:rPr/>
      </w:pPr>
      <w:hyperlink w:anchor="S01">
        <w:bookmarkStart w:id="473" w:name="S01"/>
        <w:r>
          <w:rPr>
            <w:rStyle w:val="Hyperlink"/>
          </w:rPr>
          <w:t>S01</w:t>
        </w:r>
      </w:hyperlink>
      <w:r>
        <w:rPr/>
        <w:t xml:space="preserve"> — ITSP.80.022 - Baseline security requirements for network security zones, version 2.0</w:t>
      </w:r>
      <w:bookmarkEnd w:id="473"/>
    </w:p>
    <w:p>
      <w:pPr>
        <w:pStyle w:val="Small"/>
        <w:rPr/>
      </w:pPr>
      <w:r>
        <w:rPr/>
        <w:t>Effective 2021-01-12  |  Cyber Centre guidance</w:t>
      </w:r>
    </w:p>
    <w:p>
      <w:pPr>
        <w:pStyle w:val="BodyText"/>
        <w:rPr/>
      </w:pPr>
      <w:r>
        <w:rPr/>
        <w:t>Sections 2-4 and annexes A-F. Zone definitions, joint ZIP authority and management boundaries. Architecture requirements in this handbook are local translations, not quotations.</w:t>
      </w:r>
    </w:p>
    <w:p>
      <w:pPr>
        <w:pStyle w:val="Small"/>
        <w:rPr/>
      </w:pPr>
      <w:hyperlink r:id="rId7">
        <w:r>
          <w:rPr>
            <w:rStyle w:val="Hyperlink"/>
          </w:rPr>
          <w:t>Open official source: ITSP.80.022 - Baseline security requirements for network security zones, version 2.0</w:t>
        </w:r>
      </w:hyperlink>
    </w:p>
    <w:p>
      <w:pPr>
        <w:pStyle w:val="TestTitle"/>
        <w:rPr/>
      </w:pPr>
      <w:hyperlink w:anchor="S02">
        <w:bookmarkStart w:id="474" w:name="S02"/>
        <w:r>
          <w:rPr>
            <w:rStyle w:val="Hyperlink"/>
          </w:rPr>
          <w:t>S02</w:t>
        </w:r>
      </w:hyperlink>
      <w:r>
        <w:rPr/>
        <w:t xml:space="preserve"> — ITSP.80.023 - Cloud network security zones</w:t>
      </w:r>
      <w:bookmarkEnd w:id="474"/>
    </w:p>
    <w:p>
      <w:pPr>
        <w:pStyle w:val="Small"/>
        <w:rPr/>
      </w:pPr>
      <w:r>
        <w:rPr/>
        <w:t>Effective 2023-06-12  |  Cyber Centre guidance</w:t>
      </w:r>
    </w:p>
    <w:p>
      <w:pPr>
        <w:pStyle w:val="BodyText"/>
        <w:rPr/>
      </w:pPr>
      <w:r>
        <w:rPr/>
        <w:t>Companion to ITSP.80.022; cloud ZIP functions, isolated MZ approach and control/data-plane distinctions. Limited to Unclassified/Protected A/Protected B context.</w:t>
      </w:r>
    </w:p>
    <w:p>
      <w:pPr>
        <w:pStyle w:val="Small"/>
        <w:rPr/>
      </w:pPr>
      <w:hyperlink r:id="rId8">
        <w:r>
          <w:rPr>
            <w:rStyle w:val="Hyperlink"/>
          </w:rPr>
          <w:t>Open official source: ITSP.80.023 - Cloud network security zones</w:t>
        </w:r>
      </w:hyperlink>
    </w:p>
    <w:p>
      <w:pPr>
        <w:pStyle w:val="TestTitle"/>
        <w:rPr/>
      </w:pPr>
      <w:hyperlink w:anchor="S03">
        <w:bookmarkStart w:id="475" w:name="S03"/>
        <w:r>
          <w:rPr>
            <w:rStyle w:val="Hyperlink"/>
          </w:rPr>
          <w:t>S03</w:t>
        </w:r>
      </w:hyperlink>
      <w:r>
        <w:rPr/>
        <w:t xml:space="preserve"> — ITSP.70.010 - Best practices for data centre virtualization</w:t>
      </w:r>
      <w:bookmarkEnd w:id="475"/>
    </w:p>
    <w:p>
      <w:pPr>
        <w:pStyle w:val="Small"/>
        <w:rPr/>
      </w:pPr>
      <w:r>
        <w:rPr/>
        <w:t>Effective 2020-03-27  |  Cyber Centre guidance</w:t>
      </w:r>
    </w:p>
    <w:p>
      <w:pPr>
        <w:pStyle w:val="BodyText"/>
        <w:rPr/>
      </w:pPr>
      <w:r>
        <w:rPr/>
        <w:t>Section 3: strong recommendation against co-locating VMs from different network security zones on the same physical hardware. Sharing requires explicit risk analysis, not a VPC claim.</w:t>
      </w:r>
    </w:p>
    <w:p>
      <w:pPr>
        <w:pStyle w:val="Small"/>
        <w:rPr/>
      </w:pPr>
      <w:hyperlink r:id="rId9">
        <w:r>
          <w:rPr>
            <w:rStyle w:val="Hyperlink"/>
          </w:rPr>
          <w:t>Open official source: ITSP.70.010 - Best practices for data centre virtualization</w:t>
        </w:r>
      </w:hyperlink>
    </w:p>
    <w:p>
      <w:pPr>
        <w:pStyle w:val="TestTitle"/>
        <w:rPr/>
      </w:pPr>
      <w:hyperlink w:anchor="S04">
        <w:bookmarkStart w:id="476" w:name="S04"/>
        <w:r>
          <w:rPr>
            <w:rStyle w:val="Hyperlink"/>
          </w:rPr>
          <w:t>S04</w:t>
        </w:r>
      </w:hyperlink>
      <w:r>
        <w:rPr/>
        <w:t xml:space="preserve"> — ITSG-33 - IT security risk management: A lifecycle approach</w:t>
      </w:r>
      <w:bookmarkEnd w:id="476"/>
    </w:p>
    <w:p>
      <w:pPr>
        <w:pStyle w:val="Small"/>
        <w:rPr/>
      </w:pPr>
      <w:r>
        <w:rPr/>
        <w:t>2012; legacy catalogue transition noted  |  Cyber Centre lifecycle reference</w:t>
      </w:r>
    </w:p>
    <w:p>
      <w:pPr>
        <w:pStyle w:val="BodyText"/>
        <w:rPr/>
      </w:pPr>
      <w:r>
        <w:rPr/>
        <w:t>Retained for original ISSIP/lifecycle lineage. Do not treat Annex 3A as the current control catalogue.</w:t>
      </w:r>
    </w:p>
    <w:p>
      <w:pPr>
        <w:pStyle w:val="Small"/>
        <w:rPr/>
      </w:pPr>
      <w:hyperlink r:id="rId10">
        <w:r>
          <w:rPr>
            <w:rStyle w:val="Hyperlink"/>
          </w:rPr>
          <w:t>Open official source: ITSG-33 - IT security risk management: A lifecycle approach</w:t>
        </w:r>
      </w:hyperlink>
    </w:p>
    <w:p>
      <w:pPr>
        <w:pStyle w:val="TestTitle"/>
        <w:rPr/>
      </w:pPr>
      <w:hyperlink w:anchor="S05">
        <w:bookmarkStart w:id="477" w:name="S05"/>
        <w:r>
          <w:rPr>
            <w:rStyle w:val="Hyperlink"/>
          </w:rPr>
          <w:t>S05</w:t>
        </w:r>
      </w:hyperlink>
      <w:r>
        <w:rPr/>
        <w:t xml:space="preserve"> — ITSP.10.033 - Security and privacy controls and assurance activities catalogue: Foreword, overview, introduction</w:t>
      </w:r>
      <w:bookmarkEnd w:id="477"/>
    </w:p>
    <w:p>
      <w:pPr>
        <w:pStyle w:val="Small"/>
        <w:rPr/>
      </w:pPr>
      <w:r>
        <w:rPr/>
        <w:t>Effective 2026-03-31  |  Cyber Centre control catalogue</w:t>
      </w:r>
    </w:p>
    <w:p>
      <w:pPr>
        <w:pStyle w:val="BodyText"/>
        <w:rPr/>
      </w:pPr>
      <w:r>
        <w:rPr/>
        <w:t>Explicitly supersedes ITSG-33 Annex 3A. Canadian-specific 100-series identifiers move to 400-series. Source families are starting points for tailoring, not automatic control equivalence.</w:t>
      </w:r>
    </w:p>
    <w:p>
      <w:pPr>
        <w:pStyle w:val="Small"/>
        <w:rPr/>
      </w:pPr>
      <w:hyperlink r:id="rId11">
        <w:r>
          <w:rPr>
            <w:rStyle w:val="Hyperlink"/>
          </w:rPr>
          <w:t>Open official source: ITSP.10.033 - Security and privacy controls and assurance activities catalogue: Foreword, overview, introduction</w:t>
        </w:r>
      </w:hyperlink>
    </w:p>
    <w:p>
      <w:pPr>
        <w:pStyle w:val="TestTitle"/>
        <w:rPr/>
      </w:pPr>
      <w:hyperlink w:anchor="S06">
        <w:bookmarkStart w:id="478" w:name="S06"/>
        <w:r>
          <w:rPr>
            <w:rStyle w:val="Hyperlink"/>
          </w:rPr>
          <w:t>S06</w:t>
        </w:r>
      </w:hyperlink>
      <w:r>
        <w:rPr/>
        <w:t xml:space="preserve"> — Government of Canada Security Control Profile for Cloud-based GC Services</w:t>
      </w:r>
      <w:bookmarkEnd w:id="478"/>
    </w:p>
    <w:p>
      <w:pPr>
        <w:pStyle w:val="Small"/>
        <w:rPr/>
      </w:pPr>
      <w:r>
        <w:rPr/>
        <w:t>Public page reviewed 2026-09-16  |  GC profile; applicability decision required</w:t>
      </w:r>
    </w:p>
    <w:p>
      <w:pPr>
        <w:pStyle w:val="BodyText"/>
        <w:rPr/>
      </w:pPr>
      <w:r>
        <w:rPr/>
        <w:t>PBMM context retained from baseline; register the exact adopted profile/version and reconcile legacy control references with the applicable catalogue.</w:t>
      </w:r>
    </w:p>
    <w:p>
      <w:pPr>
        <w:pStyle w:val="Small"/>
        <w:rPr/>
      </w:pPr>
      <w:hyperlink r:id="rId12">
        <w:r>
          <w:rPr>
            <w:rStyle w:val="Hyperlink"/>
          </w:rPr>
          <w:t>Open official source: Government of Canada Security Control Profile for Cloud-based GC Services</w:t>
        </w:r>
      </w:hyperlink>
    </w:p>
    <w:p>
      <w:pPr>
        <w:pStyle w:val="TestTitle"/>
        <w:rPr/>
      </w:pPr>
      <w:hyperlink w:anchor="S07">
        <w:bookmarkStart w:id="479" w:name="S07"/>
        <w:r>
          <w:rPr>
            <w:rStyle w:val="Hyperlink"/>
          </w:rPr>
          <w:t>S07</w:t>
        </w:r>
      </w:hyperlink>
      <w:r>
        <w:rPr/>
        <w:t xml:space="preserve"> — System Management Configuration Requirements</w:t>
      </w:r>
      <w:bookmarkEnd w:id="479"/>
    </w:p>
    <w:p>
      <w:pPr>
        <w:pStyle w:val="Small"/>
        <w:rPr/>
      </w:pPr>
      <w:r>
        <w:rPr/>
        <w:t>Public page reviewed 2026-09-16  |  GC configuration requirements; verify organizational applicability</w:t>
      </w:r>
    </w:p>
    <w:p>
      <w:pPr>
        <w:pStyle w:val="BodyText"/>
        <w:rPr/>
      </w:pPr>
      <w:r>
        <w:rPr/>
        <w:t>Sections 1-4 cover supported lifecycle, hardening, vulnerability management and secure administration including phishing-resistant MFA.</w:t>
      </w:r>
    </w:p>
    <w:p>
      <w:pPr>
        <w:pStyle w:val="Small"/>
        <w:rPr/>
      </w:pPr>
      <w:hyperlink r:id="rId13">
        <w:r>
          <w:rPr>
            <w:rStyle w:val="Hyperlink"/>
          </w:rPr>
          <w:t>Open official source: System Management Configuration Requirements</w:t>
        </w:r>
      </w:hyperlink>
    </w:p>
    <w:p>
      <w:pPr>
        <w:pStyle w:val="TestTitle"/>
        <w:rPr/>
      </w:pPr>
      <w:hyperlink w:anchor="S08">
        <w:bookmarkStart w:id="480" w:name="S08"/>
        <w:r>
          <w:rPr>
            <w:rStyle w:val="Hyperlink"/>
          </w:rPr>
          <w:t>S08</w:t>
        </w:r>
      </w:hyperlink>
      <w:r>
        <w:rPr/>
        <w:t xml:space="preserve"> — ITSP.50.104 - Guidance on defence in depth for cloud-based services</w:t>
      </w:r>
      <w:bookmarkEnd w:id="480"/>
    </w:p>
    <w:p>
      <w:pPr>
        <w:pStyle w:val="Small"/>
        <w:rPr/>
      </w:pPr>
      <w:r>
        <w:rPr/>
        <w:t>2020  |  Cyber Centre guidance</w:t>
      </w:r>
    </w:p>
    <w:p>
      <w:pPr>
        <w:pStyle w:val="BodyText"/>
        <w:rPr/>
      </w:pPr>
      <w:r>
        <w:rPr/>
        <w:t>Used as a completeness lens spanning governance, compute/network, data, IAM, applications and operations.</w:t>
      </w:r>
    </w:p>
    <w:p>
      <w:pPr>
        <w:pStyle w:val="Small"/>
        <w:rPr/>
      </w:pPr>
      <w:hyperlink r:id="rId14">
        <w:r>
          <w:rPr>
            <w:rStyle w:val="Hyperlink"/>
          </w:rPr>
          <w:t>Open official source: ITSP.50.104 - Guidance on defence in depth for cloud-based services</w:t>
        </w:r>
      </w:hyperlink>
    </w:p>
    <w:p>
      <w:pPr>
        <w:pStyle w:val="TestTitle"/>
        <w:rPr/>
      </w:pPr>
      <w:hyperlink w:anchor="S09">
        <w:bookmarkStart w:id="481" w:name="S09"/>
        <w:r>
          <w:rPr>
            <w:rStyle w:val="Hyperlink"/>
          </w:rPr>
          <w:t>S09</w:t>
        </w:r>
      </w:hyperlink>
      <w:r>
        <w:rPr/>
        <w:t xml:space="preserve"> — ITSP.50.106 - Guidance on cloud service cryptography</w:t>
      </w:r>
      <w:bookmarkEnd w:id="481"/>
    </w:p>
    <w:p>
      <w:pPr>
        <w:pStyle w:val="Small"/>
        <w:rPr/>
      </w:pPr>
      <w:r>
        <w:rPr/>
        <w:t>2020  |  Cyber Centre guidance</w:t>
      </w:r>
    </w:p>
    <w:p>
      <w:pPr>
        <w:pStyle w:val="BodyText"/>
        <w:rPr/>
      </w:pPr>
      <w:r>
        <w:rPr/>
        <w:t>Key ownership, lifecycle and cloud cryptographic responsibility context; not a product approval.</w:t>
      </w:r>
    </w:p>
    <w:p>
      <w:pPr>
        <w:pStyle w:val="Small"/>
        <w:rPr/>
      </w:pPr>
      <w:hyperlink r:id="rId15">
        <w:r>
          <w:rPr>
            <w:rStyle w:val="Hyperlink"/>
          </w:rPr>
          <w:t>Open official source: ITSP.50.106 - Guidance on cloud service cryptography</w:t>
        </w:r>
      </w:hyperlink>
    </w:p>
    <w:p>
      <w:pPr>
        <w:pStyle w:val="TestTitle"/>
        <w:rPr/>
      </w:pPr>
      <w:hyperlink w:anchor="S10">
        <w:bookmarkStart w:id="482" w:name="S10"/>
        <w:r>
          <w:rPr>
            <w:rStyle w:val="Hyperlink"/>
          </w:rPr>
          <w:t>S10</w:t>
        </w:r>
      </w:hyperlink>
      <w:r>
        <w:rPr/>
        <w:t xml:space="preserve"> — ITSP.40.111 - Cryptographic algorithms for Unclassified, Protected A and Protected B information, version 5</w:t>
      </w:r>
      <w:bookmarkEnd w:id="482"/>
    </w:p>
    <w:p>
      <w:pPr>
        <w:pStyle w:val="Small"/>
        <w:rPr/>
      </w:pPr>
      <w:r>
        <w:rPr/>
        <w:t>Effective 2026-05-29  |  Cyber Centre cryptographic guidance</w:t>
      </w:r>
    </w:p>
    <w:p>
      <w:pPr>
        <w:pStyle w:val="BodyText"/>
        <w:rPr/>
      </w:pPr>
      <w:r>
        <w:rPr/>
        <w:t>Use a versioned cryptographic profile and migration inventory; a fixed legacy algorithm list is insufficient.</w:t>
      </w:r>
    </w:p>
    <w:p>
      <w:pPr>
        <w:pStyle w:val="Small"/>
        <w:rPr/>
      </w:pPr>
      <w:hyperlink r:id="rId16">
        <w:r>
          <w:rPr>
            <w:rStyle w:val="Hyperlink"/>
          </w:rPr>
          <w:t>Open official source: ITSP.40.111 - Cryptographic algorithms for Unclassified, Protected A and Protected B information, version 5</w:t>
        </w:r>
      </w:hyperlink>
    </w:p>
    <w:p>
      <w:pPr>
        <w:pStyle w:val="TestTitle"/>
        <w:rPr/>
      </w:pPr>
      <w:hyperlink w:anchor="S11">
        <w:bookmarkStart w:id="483" w:name="S11"/>
        <w:r>
          <w:rPr>
            <w:rStyle w:val="Hyperlink"/>
          </w:rPr>
          <w:t>S11</w:t>
        </w:r>
      </w:hyperlink>
      <w:r>
        <w:rPr/>
        <w:t xml:space="preserve"> — Event Logging Guidance</w:t>
      </w:r>
      <w:bookmarkEnd w:id="483"/>
    </w:p>
    <w:p>
      <w:pPr>
        <w:pStyle w:val="Small"/>
        <w:rPr/>
      </w:pPr>
      <w:r>
        <w:rPr/>
        <w:t>Public page reviewed 2026-09-16  |  GC operational guidance</w:t>
      </w:r>
    </w:p>
    <w:p>
      <w:pPr>
        <w:pStyle w:val="BodyText"/>
        <w:rPr/>
      </w:pPr>
      <w:r>
        <w:rPr/>
        <w:t>Centralized protected event collection, event classes and operational ownership. Local retention examples are not attributed as GC-mandated durations.</w:t>
      </w:r>
    </w:p>
    <w:p>
      <w:pPr>
        <w:pStyle w:val="Small"/>
        <w:rPr/>
      </w:pPr>
      <w:hyperlink r:id="rId17">
        <w:r>
          <w:rPr>
            <w:rStyle w:val="Hyperlink"/>
          </w:rPr>
          <w:t>Open official source: Event Logging Guidance</w:t>
        </w:r>
      </w:hyperlink>
    </w:p>
    <w:p>
      <w:pPr>
        <w:pStyle w:val="TestTitle"/>
        <w:rPr/>
      </w:pPr>
      <w:hyperlink w:anchor="S12">
        <w:bookmarkStart w:id="484" w:name="S12"/>
        <w:r>
          <w:rPr>
            <w:rStyle w:val="Hyperlink"/>
          </w:rPr>
          <w:t>S12</w:t>
        </w:r>
      </w:hyperlink>
      <w:r>
        <w:rPr/>
        <w:t xml:space="preserve"> — Government of Canada Cyber Security Event Management Plan</w:t>
      </w:r>
      <w:bookmarkEnd w:id="484"/>
    </w:p>
    <w:p>
      <w:pPr>
        <w:pStyle w:val="Small"/>
        <w:rPr/>
      </w:pPr>
      <w:r>
        <w:rPr/>
        <w:t>Public page reviewed 2026-09-16  |  GC event-management framework</w:t>
      </w:r>
    </w:p>
    <w:p>
      <w:pPr>
        <w:pStyle w:val="BodyText"/>
        <w:rPr/>
      </w:pPr>
      <w:r>
        <w:rPr/>
        <w:t>Coordinate local runbooks with applicable preparation, detection/assessment, mitigation/recovery and post-event processes.</w:t>
      </w:r>
    </w:p>
    <w:p>
      <w:pPr>
        <w:pStyle w:val="Small"/>
        <w:rPr/>
      </w:pPr>
      <w:hyperlink r:id="rId18">
        <w:r>
          <w:rPr>
            <w:rStyle w:val="Hyperlink"/>
          </w:rPr>
          <w:t>Open official source: Government of Canada Cyber Security Event Management Plan</w:t>
        </w:r>
      </w:hyperlink>
    </w:p>
    <w:p>
      <w:pPr>
        <w:pStyle w:val="TestTitle"/>
        <w:rPr/>
      </w:pPr>
      <w:hyperlink w:anchor="S13">
        <w:bookmarkStart w:id="485" w:name="S13"/>
        <w:r>
          <w:rPr>
            <w:rStyle w:val="Hyperlink"/>
          </w:rPr>
          <w:t>S13</w:t>
        </w:r>
      </w:hyperlink>
      <w:r>
        <w:rPr/>
        <w:t xml:space="preserve"> — Terraform - Providers within modules</w:t>
      </w:r>
      <w:bookmarkEnd w:id="485"/>
    </w:p>
    <w:p>
      <w:pPr>
        <w:pStyle w:val="Small"/>
        <w:rPr/>
      </w:pPr>
      <w:r>
        <w:rPr/>
        <w:t>Documentation snapshot 2026-09-16  |  Implementation documentation</w:t>
      </w:r>
    </w:p>
    <w:p>
      <w:pPr>
        <w:pStyle w:val="BodyText"/>
        <w:rPr/>
      </w:pPr>
      <w:r>
        <w:rPr/>
        <w:t>Provider configuration in root modules; explicit provider passing and aliases where required.</w:t>
      </w:r>
    </w:p>
    <w:p>
      <w:pPr>
        <w:pStyle w:val="Small"/>
        <w:rPr/>
      </w:pPr>
      <w:hyperlink r:id="rId19">
        <w:r>
          <w:rPr>
            <w:rStyle w:val="Hyperlink"/>
          </w:rPr>
          <w:t>Open official source: Terraform - Providers within modules</w:t>
        </w:r>
      </w:hyperlink>
    </w:p>
    <w:p>
      <w:pPr>
        <w:pStyle w:val="TestTitle"/>
        <w:rPr/>
      </w:pPr>
      <w:hyperlink w:anchor="S14">
        <w:bookmarkStart w:id="486" w:name="S14"/>
        <w:r>
          <w:rPr>
            <w:rStyle w:val="Hyperlink"/>
          </w:rPr>
          <w:t>S14</w:t>
        </w:r>
      </w:hyperlink>
      <w:r>
        <w:rPr/>
        <w:t xml:space="preserve"> — Terraform - Dependency lock file</w:t>
      </w:r>
      <w:bookmarkEnd w:id="486"/>
    </w:p>
    <w:p>
      <w:pPr>
        <w:pStyle w:val="Small"/>
        <w:rPr/>
      </w:pPr>
      <w:r>
        <w:rPr/>
        <w:t>Documentation snapshot 2026-09-16  |  Implementation documentation</w:t>
      </w:r>
    </w:p>
    <w:p>
      <w:pPr>
        <w:pStyle w:val="BodyText"/>
        <w:rPr/>
      </w:pPr>
      <w:r>
        <w:rPr/>
        <w:t>Locks provider selections/checksums, not remote module selections; pin module versions or immutable revisions separately.</w:t>
      </w:r>
    </w:p>
    <w:p>
      <w:pPr>
        <w:pStyle w:val="Small"/>
        <w:rPr/>
      </w:pPr>
      <w:hyperlink r:id="rId20">
        <w:r>
          <w:rPr>
            <w:rStyle w:val="Hyperlink"/>
          </w:rPr>
          <w:t>Open official source: Terraform - Dependency lock file</w:t>
        </w:r>
      </w:hyperlink>
    </w:p>
    <w:p>
      <w:pPr>
        <w:pStyle w:val="TestTitle"/>
        <w:rPr/>
      </w:pPr>
      <w:hyperlink w:anchor="S15">
        <w:bookmarkStart w:id="487" w:name="S15"/>
        <w:r>
          <w:rPr>
            <w:rStyle w:val="Hyperlink"/>
          </w:rPr>
          <w:t>S15</w:t>
        </w:r>
      </w:hyperlink>
      <w:r>
        <w:rPr/>
        <w:t xml:space="preserve"> — Terraform - Ephemeral values</w:t>
      </w:r>
      <w:bookmarkEnd w:id="487"/>
    </w:p>
    <w:p>
      <w:pPr>
        <w:pStyle w:val="Small"/>
        <w:rPr/>
      </w:pPr>
      <w:r>
        <w:rPr/>
        <w:t>Documentation snapshot 2026-09-16  |  Implementation documentation</w:t>
      </w:r>
    </w:p>
    <w:p>
      <w:pPr>
        <w:pStyle w:val="BodyText"/>
        <w:rPr/>
      </w:pPr>
      <w:r>
        <w:rPr/>
        <w:t>Supported ephemeral values can be omitted from persisted plan/state; availability depends on Terraform and provider/resource support.</w:t>
      </w:r>
    </w:p>
    <w:p>
      <w:pPr>
        <w:pStyle w:val="Small"/>
        <w:rPr/>
      </w:pPr>
      <w:hyperlink r:id="rId21">
        <w:r>
          <w:rPr>
            <w:rStyle w:val="Hyperlink"/>
          </w:rPr>
          <w:t>Open official source: Terraform - Ephemeral values</w:t>
        </w:r>
      </w:hyperlink>
    </w:p>
    <w:p>
      <w:pPr>
        <w:pStyle w:val="TestTitle"/>
        <w:rPr/>
      </w:pPr>
      <w:hyperlink w:anchor="S16">
        <w:bookmarkStart w:id="488" w:name="S16"/>
        <w:r>
          <w:rPr>
            <w:rStyle w:val="Hyperlink"/>
          </w:rPr>
          <w:t>S16</w:t>
        </w:r>
      </w:hyperlink>
      <w:r>
        <w:rPr/>
        <w:t xml:space="preserve"> — Terraform - Write-only arguments</w:t>
      </w:r>
      <w:bookmarkEnd w:id="488"/>
    </w:p>
    <w:p>
      <w:pPr>
        <w:pStyle w:val="Small"/>
        <w:rPr/>
      </w:pPr>
      <w:r>
        <w:rPr/>
        <w:t>Documentation snapshot 2026-09-16  |  Implementation documentation</w:t>
      </w:r>
    </w:p>
    <w:p>
      <w:pPr>
        <w:pStyle w:val="BodyText"/>
        <w:rPr/>
      </w:pPr>
      <w:r>
        <w:rPr/>
        <w:t>Resource-specific write-only arguments; not a blanket guarantee that a provider never persists secrets.</w:t>
      </w:r>
    </w:p>
    <w:p>
      <w:pPr>
        <w:pStyle w:val="Small"/>
        <w:rPr/>
      </w:pPr>
      <w:hyperlink r:id="rId22">
        <w:r>
          <w:rPr>
            <w:rStyle w:val="Hyperlink"/>
          </w:rPr>
          <w:t>Open official source: Terraform - Write-only arguments</w:t>
        </w:r>
      </w:hyperlink>
    </w:p>
    <w:p>
      <w:pPr>
        <w:pStyle w:val="TestTitle"/>
        <w:rPr/>
      </w:pPr>
      <w:hyperlink w:anchor="S17">
        <w:bookmarkStart w:id="489" w:name="S17"/>
        <w:r>
          <w:rPr>
            <w:rStyle w:val="Hyperlink"/>
          </w:rPr>
          <w:t>S17</w:t>
        </w:r>
      </w:hyperlink>
      <w:r>
        <w:rPr/>
        <w:t xml:space="preserve"> — Nutanix Terraform provider - official repository</w:t>
      </w:r>
      <w:bookmarkEnd w:id="489"/>
    </w:p>
    <w:p>
      <w:pPr>
        <w:pStyle w:val="Small"/>
        <w:rPr/>
      </w:pPr>
      <w:r>
        <w:rPr/>
        <w:t>README identifies v2.4.2 at review  |  Implementation documentation, not certification</w:t>
      </w:r>
    </w:p>
    <w:p>
      <w:pPr>
        <w:pStyle w:val="BodyText"/>
        <w:rPr/>
      </w:pPr>
      <w:r>
        <w:rPr/>
        <w:t>Reviewed resource mappings and compatibility notes. Example version 2.4.2 is a documentation reference, not an approved production stack.</w:t>
      </w:r>
    </w:p>
    <w:p>
      <w:pPr>
        <w:pStyle w:val="Small"/>
        <w:rPr/>
      </w:pPr>
      <w:hyperlink r:id="rId23">
        <w:r>
          <w:rPr>
            <w:rStyle w:val="Hyperlink"/>
          </w:rPr>
          <w:t>Open official source: Nutanix Terraform provider - official repository</w:t>
        </w:r>
      </w:hyperlink>
    </w:p>
    <w:p>
      <w:pPr>
        <w:pStyle w:val="TestTitle"/>
        <w:rPr/>
      </w:pPr>
      <w:hyperlink w:anchor="S18">
        <w:bookmarkStart w:id="490" w:name="S18"/>
        <w:r>
          <w:rPr>
            <w:rStyle w:val="Hyperlink"/>
          </w:rPr>
          <w:t>S18</w:t>
        </w:r>
      </w:hyperlink>
      <w:r>
        <w:rPr/>
        <w:t xml:space="preserve"> — VMware NSX Terraform provider - official repository</w:t>
      </w:r>
      <w:bookmarkEnd w:id="490"/>
    </w:p>
    <w:p>
      <w:pPr>
        <w:pStyle w:val="Small"/>
        <w:rPr/>
      </w:pPr>
      <w:r>
        <w:rPr/>
        <w:t>Documentation snapshot 2026-09-16  |  Implementation documentation, not certification</w:t>
      </w:r>
    </w:p>
    <w:p>
      <w:pPr>
        <w:pStyle w:val="BodyText"/>
        <w:rPr/>
      </w:pPr>
      <w:r>
        <w:rPr/>
        <w:t>Provider provenance and NSX realization context; exact product/provider tuple must be qualified before placement.</w:t>
      </w:r>
    </w:p>
    <w:p>
      <w:pPr>
        <w:pStyle w:val="Small"/>
        <w:rPr/>
      </w:pPr>
      <w:hyperlink r:id="rId24">
        <w:r>
          <w:rPr>
            <w:rStyle w:val="Hyperlink"/>
          </w:rPr>
          <w:t>Open official source: VMware NSX Terraform provider - official repository</w:t>
        </w:r>
      </w:hyperlink>
    </w:p>
    <w:p>
      <w:pPr>
        <w:pStyle w:val="TestTitle"/>
        <w:rPr/>
      </w:pPr>
      <w:hyperlink w:anchor="S19">
        <w:bookmarkStart w:id="491" w:name="S19"/>
        <w:r>
          <w:rPr>
            <w:rStyle w:val="Hyperlink"/>
          </w:rPr>
          <w:t>S19</w:t>
        </w:r>
      </w:hyperlink>
      <w:r>
        <w:rPr/>
        <w:t xml:space="preserve"> — OpenStack Terraform provider - official repository</w:t>
      </w:r>
      <w:bookmarkEnd w:id="491"/>
    </w:p>
    <w:p>
      <w:pPr>
        <w:pStyle w:val="Small"/>
        <w:rPr/>
      </w:pPr>
      <w:r>
        <w:rPr/>
        <w:t>Documentation snapshot 2026-09-16  |  Implementation documentation, not certification</w:t>
      </w:r>
    </w:p>
    <w:p>
      <w:pPr>
        <w:pStyle w:val="BodyText"/>
        <w:rPr/>
      </w:pPr>
      <w:r>
        <w:rPr/>
        <w:t>Provider provenance. Distribution, Neutron backend and enabled extensions must be recorded independently.</w:t>
      </w:r>
    </w:p>
    <w:p>
      <w:pPr>
        <w:pStyle w:val="Small"/>
        <w:rPr/>
      </w:pPr>
      <w:hyperlink r:id="rId25">
        <w:r>
          <w:rPr>
            <w:rStyle w:val="Hyperlink"/>
          </w:rPr>
          <w:t>Open official source: OpenStack Terraform provider - official repository</w:t>
        </w:r>
      </w:hyperlink>
    </w:p>
    <w:p>
      <w:pPr>
        <w:pStyle w:val="TestTitle"/>
        <w:rPr/>
      </w:pPr>
      <w:hyperlink w:anchor="S20">
        <w:bookmarkStart w:id="492" w:name="S20"/>
        <w:r>
          <w:rPr>
            <w:rStyle w:val="Hyperlink"/>
          </w:rPr>
          <w:t>S20</w:t>
        </w:r>
      </w:hyperlink>
      <w:r>
        <w:rPr/>
        <w:t xml:space="preserve"> — RFC 8212 - Default External BGP route propagation behavior without policies</w:t>
      </w:r>
      <w:bookmarkEnd w:id="492"/>
    </w:p>
    <w:p>
      <w:pPr>
        <w:pStyle w:val="Small"/>
        <w:rPr/>
      </w:pPr>
      <w:r>
        <w:rPr/>
        <w:t>2017  |  IETF technical specification</w:t>
      </w:r>
    </w:p>
    <w:p>
      <w:pPr>
        <w:pStyle w:val="BodyText"/>
        <w:rPr/>
      </w:pPr>
      <w:r>
        <w:rPr/>
        <w:t>Import/export policy requirements inform the provider-owned fabric profile; confirm vendor implementation behavior.</w:t>
      </w:r>
    </w:p>
    <w:p>
      <w:pPr>
        <w:pStyle w:val="Small"/>
        <w:rPr/>
      </w:pPr>
      <w:hyperlink r:id="rId26">
        <w:r>
          <w:rPr>
            <w:rStyle w:val="Hyperlink"/>
          </w:rPr>
          <w:t>Open official source: RFC 8212 - Default External BGP route propagation behavior without policies</w:t>
        </w:r>
      </w:hyperlink>
    </w:p>
    <w:p>
      <w:pPr>
        <w:pStyle w:val="TestTitle"/>
        <w:rPr/>
      </w:pPr>
      <w:hyperlink w:anchor="S21">
        <w:bookmarkStart w:id="493" w:name="S21"/>
        <w:r>
          <w:rPr>
            <w:rStyle w:val="Hyperlink"/>
          </w:rPr>
          <w:t>S21</w:t>
        </w:r>
      </w:hyperlink>
      <w:r>
        <w:rPr/>
        <w:t xml:space="preserve"> — RFC 7432 - BGP MPLS-Based Ethernet VPN</w:t>
      </w:r>
      <w:bookmarkEnd w:id="493"/>
    </w:p>
    <w:p>
      <w:pPr>
        <w:pStyle w:val="Small"/>
        <w:rPr/>
      </w:pPr>
      <w:r>
        <w:rPr/>
        <w:t>2015; update/errata chain reviewed  |  IETF technical specification</w:t>
      </w:r>
    </w:p>
    <w:p>
      <w:pPr>
        <w:pStyle w:val="BodyText"/>
        <w:rPr/>
      </w:pPr>
      <w:r>
        <w:rPr/>
        <w:t>Foundational EVPN signaling and multihoming concepts; it is not by itself a VXLAN conformance claim.</w:t>
      </w:r>
    </w:p>
    <w:p>
      <w:pPr>
        <w:pStyle w:val="Small"/>
        <w:rPr/>
      </w:pPr>
      <w:hyperlink r:id="rId27">
        <w:r>
          <w:rPr>
            <w:rStyle w:val="Hyperlink"/>
          </w:rPr>
          <w:t>Open official source: RFC 7432 - BGP MPLS-Based Ethernet VPN</w:t>
        </w:r>
      </w:hyperlink>
    </w:p>
    <w:p>
      <w:pPr>
        <w:pStyle w:val="TestTitle"/>
        <w:rPr/>
      </w:pPr>
      <w:hyperlink w:anchor="S22">
        <w:bookmarkStart w:id="494" w:name="S22"/>
        <w:r>
          <w:rPr>
            <w:rStyle w:val="Hyperlink"/>
          </w:rPr>
          <w:t>S22</w:t>
        </w:r>
      </w:hyperlink>
      <w:r>
        <w:rPr/>
        <w:t xml:space="preserve"> — RFC 8365 - A network virtualization overlay solution using EVPN</w:t>
      </w:r>
      <w:bookmarkEnd w:id="494"/>
    </w:p>
    <w:p>
      <w:pPr>
        <w:pStyle w:val="Small"/>
        <w:rPr/>
      </w:pPr>
      <w:r>
        <w:rPr/>
        <w:t>2018  |  IETF technical specification</w:t>
      </w:r>
    </w:p>
    <w:p>
      <w:pPr>
        <w:pStyle w:val="BodyText"/>
        <w:rPr/>
      </w:pPr>
      <w:r>
        <w:rPr/>
        <w:t>EVPN overlay use. Qualify extensions and interoperability rather than assuming equal product feature sets.</w:t>
      </w:r>
    </w:p>
    <w:p>
      <w:pPr>
        <w:pStyle w:val="Small"/>
        <w:rPr/>
      </w:pPr>
      <w:hyperlink r:id="rId28">
        <w:r>
          <w:rPr>
            <w:rStyle w:val="Hyperlink"/>
          </w:rPr>
          <w:t>Open official source: RFC 8365 - A network virtualization overlay solution using EVPN</w:t>
        </w:r>
      </w:hyperlink>
    </w:p>
    <w:p>
      <w:pPr>
        <w:pStyle w:val="TestTitle"/>
        <w:rPr/>
      </w:pPr>
      <w:hyperlink w:anchor="S23">
        <w:bookmarkStart w:id="495" w:name="S23"/>
        <w:r>
          <w:rPr>
            <w:rStyle w:val="Hyperlink"/>
          </w:rPr>
          <w:t>S23</w:t>
        </w:r>
      </w:hyperlink>
      <w:r>
        <w:rPr/>
        <w:t xml:space="preserve"> — RFC 8200 - Internet Protocol, Version 6 specification</w:t>
      </w:r>
      <w:bookmarkEnd w:id="495"/>
    </w:p>
    <w:p>
      <w:pPr>
        <w:pStyle w:val="Small"/>
        <w:rPr/>
      </w:pPr>
      <w:r>
        <w:rPr/>
        <w:t>2017  |  IETF technical specification</w:t>
      </w:r>
    </w:p>
    <w:p>
      <w:pPr>
        <w:pStyle w:val="BodyText"/>
        <w:rPr/>
      </w:pPr>
      <w:r>
        <w:rPr/>
        <w:t>IPv6 transport foundation; security semantics and operational profiles remain explicit.</w:t>
      </w:r>
    </w:p>
    <w:p>
      <w:pPr>
        <w:pStyle w:val="Small"/>
        <w:rPr/>
      </w:pPr>
      <w:hyperlink r:id="rId29">
        <w:r>
          <w:rPr>
            <w:rStyle w:val="Hyperlink"/>
          </w:rPr>
          <w:t>Open official source: RFC 8200 - Internet Protocol, Version 6 specification</w:t>
        </w:r>
      </w:hyperlink>
    </w:p>
    <w:p>
      <w:pPr>
        <w:pStyle w:val="TestTitle"/>
        <w:rPr/>
      </w:pPr>
      <w:hyperlink w:anchor="S24">
        <w:bookmarkStart w:id="496" w:name="S24"/>
        <w:r>
          <w:rPr>
            <w:rStyle w:val="Hyperlink"/>
          </w:rPr>
          <w:t>S24</w:t>
        </w:r>
      </w:hyperlink>
      <w:r>
        <w:rPr/>
        <w:t xml:space="preserve"> — RFC 4890 - Recommendations for filtering ICMPv6 messages in firewalls</w:t>
      </w:r>
      <w:bookmarkEnd w:id="496"/>
    </w:p>
    <w:p>
      <w:pPr>
        <w:pStyle w:val="Small"/>
        <w:rPr/>
      </w:pPr>
      <w:r>
        <w:rPr/>
        <w:t>2007  |  IETF guidance</w:t>
      </w:r>
    </w:p>
    <w:p>
      <w:pPr>
        <w:pStyle w:val="BodyText"/>
        <w:rPr/>
      </w:pPr>
      <w:r>
        <w:rPr/>
        <w:t>Avoid blanket ICMPv6 denial that breaks required protocol operation; filter by the selected profile.</w:t>
      </w:r>
    </w:p>
    <w:p>
      <w:pPr>
        <w:pStyle w:val="Small"/>
        <w:rPr/>
      </w:pPr>
      <w:hyperlink r:id="rId30">
        <w:r>
          <w:rPr>
            <w:rStyle w:val="Hyperlink"/>
          </w:rPr>
          <w:t>Open official source: RFC 4890 - Recommendations for filtering ICMPv6 messages in firewalls</w:t>
        </w:r>
      </w:hyperlink>
    </w:p>
    <w:p>
      <w:pPr>
        <w:pStyle w:val="TestTitle"/>
        <w:rPr/>
      </w:pPr>
      <w:hyperlink w:anchor="S25">
        <w:bookmarkStart w:id="497" w:name="S25"/>
        <w:r>
          <w:rPr>
            <w:rStyle w:val="Hyperlink"/>
          </w:rPr>
          <w:t>S25</w:t>
        </w:r>
      </w:hyperlink>
      <w:r>
        <w:rPr/>
        <w:t xml:space="preserve"> — Kubernetes - Multi-tenancy</w:t>
      </w:r>
      <w:bookmarkEnd w:id="497"/>
    </w:p>
    <w:p>
      <w:pPr>
        <w:pStyle w:val="Small"/>
        <w:rPr/>
      </w:pPr>
      <w:r>
        <w:rPr/>
        <w:t>Documentation snapshot 2026-09-16  |  Implementation documentation</w:t>
      </w:r>
    </w:p>
    <w:p>
      <w:pPr>
        <w:pStyle w:val="BodyText"/>
        <w:rPr/>
      </w:pPr>
      <w:r>
        <w:rPr/>
        <w:t>Namespace isolation is not a complete hostile-tenant boundary; compute/control-plane choices require threat analysis.</w:t>
      </w:r>
    </w:p>
    <w:p>
      <w:pPr>
        <w:pStyle w:val="Small"/>
        <w:rPr/>
      </w:pPr>
      <w:hyperlink r:id="rId31">
        <w:r>
          <w:rPr>
            <w:rStyle w:val="Hyperlink"/>
          </w:rPr>
          <w:t>Open official source: Kubernetes - Multi-tenancy</w:t>
        </w:r>
      </w:hyperlink>
    </w:p>
    <w:p>
      <w:pPr>
        <w:pStyle w:val="TestTitle"/>
        <w:rPr/>
      </w:pPr>
      <w:hyperlink w:anchor="S26">
        <w:bookmarkStart w:id="498" w:name="S26"/>
        <w:r>
          <w:rPr>
            <w:rStyle w:val="Hyperlink"/>
          </w:rPr>
          <w:t>S26</w:t>
        </w:r>
      </w:hyperlink>
      <w:r>
        <w:rPr/>
        <w:t xml:space="preserve"> — Kubernetes - Network Policies</w:t>
      </w:r>
      <w:bookmarkEnd w:id="498"/>
    </w:p>
    <w:p>
      <w:pPr>
        <w:pStyle w:val="Small"/>
        <w:rPr/>
      </w:pPr>
      <w:r>
        <w:rPr/>
        <w:t>Documentation snapshot 2026-09-16  |  Implementation documentation</w:t>
      </w:r>
    </w:p>
    <w:p>
      <w:pPr>
        <w:pStyle w:val="BodyText"/>
        <w:rPr/>
      </w:pPr>
      <w:r>
        <w:rPr/>
        <w:t>NetworkPolicy depends on enforcement support; connectivity policy does not replace identity, host or storage controls.</w:t>
      </w:r>
    </w:p>
    <w:p>
      <w:pPr>
        <w:pStyle w:val="Small"/>
        <w:rPr/>
      </w:pPr>
      <w:hyperlink r:id="rId32">
        <w:r>
          <w:rPr>
            <w:rStyle w:val="Hyperlink"/>
          </w:rPr>
          <w:t>Open official source: Kubernetes - Network Policies</w:t>
        </w:r>
      </w:hyperlink>
    </w:p>
    <w:p>
      <w:pPr>
        <w:pStyle w:val="TestTitle"/>
        <w:rPr/>
      </w:pPr>
      <w:hyperlink w:anchor="S27">
        <w:bookmarkStart w:id="499" w:name="S27"/>
        <w:r>
          <w:rPr>
            <w:rStyle w:val="Hyperlink"/>
          </w:rPr>
          <w:t>S27</w:t>
        </w:r>
      </w:hyperlink>
      <w:r>
        <w:rPr/>
        <w:t xml:space="preserve"> — NIST SP 800-88 Revision 2 - Guidelines for Media Sanitization</w:t>
      </w:r>
      <w:bookmarkEnd w:id="499"/>
    </w:p>
    <w:p>
      <w:pPr>
        <w:pStyle w:val="Small"/>
        <w:rPr/>
      </w:pPr>
      <w:r>
        <w:rPr/>
        <w:t>Final 2025  |  Supporting technical guidance; GC tailoring required</w:t>
      </w:r>
    </w:p>
    <w:p>
      <w:pPr>
        <w:pStyle w:val="BodyText"/>
        <w:rPr/>
      </w:pPr>
      <w:r>
        <w:rPr/>
        <w:t>Sanitization methods and verification; use applicable GC media-handling rules and approved technical methods.</w:t>
      </w:r>
    </w:p>
    <w:p>
      <w:pPr>
        <w:pStyle w:val="Small"/>
        <w:rPr/>
      </w:pPr>
      <w:hyperlink r:id="rId33">
        <w:r>
          <w:rPr>
            <w:rStyle w:val="Hyperlink"/>
          </w:rPr>
          <w:t>Open official source: NIST SP 800-88 Revision 2 - Guidelines for Media Sanitization</w:t>
        </w:r>
      </w:hyperlink>
    </w:p>
    <w:p>
      <w:pPr>
        <w:pStyle w:val="TestTitle"/>
        <w:rPr/>
      </w:pPr>
      <w:hyperlink w:anchor="S28">
        <w:bookmarkStart w:id="500" w:name="S28"/>
        <w:r>
          <w:rPr>
            <w:rStyle w:val="Hyperlink"/>
          </w:rPr>
          <w:t>S28</w:t>
        </w:r>
      </w:hyperlink>
      <w:r>
        <w:rPr/>
        <w:t xml:space="preserve"> — Government of Canada Enterprise Architecture Framework</w:t>
      </w:r>
      <w:bookmarkEnd w:id="500"/>
    </w:p>
    <w:p>
      <w:pPr>
        <w:pStyle w:val="Small"/>
        <w:rPr/>
      </w:pPr>
      <w:r>
        <w:rPr/>
        <w:t>Public page reviewed 2026-09-16  |  GC architecture guidance; verify applicability</w:t>
      </w:r>
    </w:p>
    <w:p>
      <w:pPr>
        <w:pStyle w:val="BodyText"/>
        <w:rPr/>
      </w:pPr>
      <w:r>
        <w:rPr/>
        <w:t>Architecture governance and reuse context. Product neutrality and exit tests below are explicit handbook design decisions.</w:t>
      </w:r>
    </w:p>
    <w:p>
      <w:pPr>
        <w:pStyle w:val="Small"/>
        <w:rPr/>
      </w:pPr>
      <w:hyperlink r:id="rId34">
        <w:r>
          <w:rPr>
            <w:rStyle w:val="Hyperlink"/>
          </w:rPr>
          <w:t>Open official source: Government of Canada Enterprise Architecture Framework</w:t>
        </w:r>
      </w:hyperlink>
    </w:p>
    <w:p>
      <w:pPr>
        <w:pStyle w:val="TestTitle"/>
        <w:rPr/>
      </w:pPr>
      <w:hyperlink w:anchor="S29">
        <w:bookmarkStart w:id="501" w:name="S29"/>
        <w:r>
          <w:rPr>
            <w:rStyle w:val="Hyperlink"/>
          </w:rPr>
          <w:t>S29</w:t>
        </w:r>
      </w:hyperlink>
      <w:r>
        <w:rPr/>
        <w:t xml:space="preserve"> — ITSG-38 - Network security zoning: Design considerations for placement of services within zones</w:t>
      </w:r>
      <w:bookmarkEnd w:id="501"/>
    </w:p>
    <w:p>
      <w:pPr>
        <w:pStyle w:val="Small"/>
        <w:rPr/>
      </w:pPr>
      <w:r>
        <w:rPr/>
        <w:t>Public page reviewed 2026-09-16  |  Cyber Centre guidance</w:t>
      </w:r>
    </w:p>
    <w:p>
      <w:pPr>
        <w:pStyle w:val="BodyText"/>
        <w:rPr/>
      </w:pPr>
      <w:r>
        <w:rPr/>
        <w:t>Supporting service-placement context; source-version reconciliation belongs to the security authority.</w:t>
      </w:r>
    </w:p>
    <w:p>
      <w:pPr>
        <w:pStyle w:val="Small"/>
        <w:rPr/>
      </w:pPr>
      <w:hyperlink r:id="rId35">
        <w:r>
          <w:rPr>
            <w:rStyle w:val="Hyperlink"/>
          </w:rPr>
          <w:t>Open official source: ITSG-38 - Network security zoning: Design considerations for placement of services within zones</w:t>
        </w:r>
      </w:hyperlink>
    </w:p>
    <w:p>
      <w:pPr>
        <w:pStyle w:val="TestTitle"/>
        <w:rPr/>
      </w:pPr>
      <w:hyperlink w:anchor="S30">
        <w:bookmarkStart w:id="502" w:name="S30"/>
        <w:r>
          <w:rPr>
            <w:rStyle w:val="Hyperlink"/>
          </w:rPr>
          <w:t>S30</w:t>
        </w:r>
      </w:hyperlink>
      <w:r>
        <w:rPr/>
        <w:t xml:space="preserve"> — JSON Schema Draft 2020-12</w:t>
      </w:r>
      <w:bookmarkEnd w:id="502"/>
    </w:p>
    <w:p>
      <w:pPr>
        <w:pStyle w:val="Small"/>
        <w:rPr/>
      </w:pPr>
      <w:r>
        <w:rPr/>
        <w:t>2020-12 specification  |  Contract specification</w:t>
      </w:r>
    </w:p>
    <w:p>
      <w:pPr>
        <w:pStyle w:val="BodyText"/>
        <w:rPr/>
      </w:pPr>
      <w:r>
        <w:rPr/>
        <w:t>Machine-readable companion schemas use this dialect. Semantic admission and authorization are separate checks.</w:t>
      </w:r>
    </w:p>
    <w:p>
      <w:pPr>
        <w:pStyle w:val="Small"/>
        <w:rPr/>
      </w:pPr>
      <w:hyperlink r:id="rId36">
        <w:r>
          <w:rPr>
            <w:rStyle w:val="Hyperlink"/>
          </w:rPr>
          <w:t>Open official source: JSON Schema Draft 2020-12</w:t>
        </w:r>
      </w:hyperlink>
      <w:r>
        <w:br w:type="page"/>
      </w:r>
    </w:p>
    <w:p>
      <w:pPr>
        <w:pStyle w:val="Heading1"/>
        <w:spacing w:before="0" w:after="180"/>
        <w:rPr/>
      </w:pPr>
      <w:bookmarkStart w:id="503" w:name="__RefHeading___Toc13451_1645000677"/>
      <w:bookmarkStart w:id="504" w:name="app_I"/>
      <w:bookmarkEnd w:id="503"/>
      <w:r>
        <w:rPr/>
        <w:t>Appendix I — Glossary</w:t>
      </w:r>
      <w:bookmarkEnd w:id="504"/>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2374"/>
        <w:gridCol w:w="7201"/>
      </w:tblGrid>
      <w:tr>
        <w:trPr>
          <w:tblHeader w:val="true"/>
          <w:cantSplit w:val="true"/>
        </w:trPr>
        <w:tc>
          <w:tcPr>
            <w:tcW w:w="237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Term</w:t>
            </w:r>
          </w:p>
        </w:tc>
        <w:tc>
          <w:tcPr>
            <w:tcW w:w="7201"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Definition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Admission</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Decision that a versioned request is syntactically and semantically allowed within approved authority and profiles.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Artifact digest</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Cryptographic identity used to detect changes to a specific artifact; integrity identity alone is not proof of trust or approval.</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Assurance Profile</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Local policy selecting isolation, evidence and verification requirements; not itself an official security assurance level.</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Authorization</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Decision by the designated authority permitting operation under specified scope, risk and conditions.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Availability impact</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Security categorization of consequences from lost availability; separate from service uptime and recovery objectives.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BFD</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Bidirectional Forwarding Detection; an optional qualified rapid failure-detection mechanism.</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BGP</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Border Gateway Protocol; provider-controlled routing protocol with explicit policy.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BMC</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Baseboard management controller; privileged hardware management component.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Candidate / Qualified</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Capability lifecycle states; Candidate has no production qualification. Qualified requires exact versions, evidence, limits and approval.</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C/I/A</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Confidentiality, integrity and availability; independent security categorization dimensions.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CI/CD</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Continuous integration and delivery pipeline, with authority and release gates appropriate to the change.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CMDB</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Configuration management database or equivalent authoritative service/resource inventory.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Co-residency</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Sharing physical or administrative resources among workloads, zones or tenants; each shared layer has its own threat boundary.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Control family</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Grouping of controls in a specified catalogue; a family mapping is not a complete control selection or assessment.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DFW</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Distributed firewall; native enforcement distributed across supported workload/host locations.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Domain</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Logical zone class and security authority; instances are site/platform realizations.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ECMP</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Equal-cost multipath forwarding; path diversity does not guarantee stateful inspection symmetry.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Edge Attachment</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Provider-internal contract joining an instance to an authorized boundary with routing, identity, MTU and HA requirements.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EvidenceRecord</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Manifest binding intent, realized objects, tests, versions, exceptions and protected artifacts.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EVPN</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Ethernet VPN; BGP signaling mechanisms used with qualified transport and overlay profiles.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Exposure</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Explicit public, egress, enterprise or partner service relationship; never an implicit default route.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ExternalDomain</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Boundary object for PUBLIC, qualified REZ partner, enterprise or cloud-interconnect authority.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Finalizer</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Lifecycle guard preventing resource deletion until named dependencies/obligations are resolved.</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Flow Intention / FlowIntent</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Portable communication outcome between identities or services, compiled into native controls.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Fencing</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Preventing a failed or ambiguous writer from continuing to modify data before another writer is promoted.</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HA</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High availability under a declared, tested failure model.</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HRZ</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Highly Restricted Zone; a controlled internal zone, not automatic authorization for classified information.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IaC</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Infrastructure as code: versioned desired configuration actuated through controlled tools.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IAM</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Identity and access management for human, workload, service and automation identities.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IPAM</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Authoritative IP address management, with leases, owners, reservations and reuse controls.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ISSIP</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Information System Security Implementation Process, retained as lifecycle lineage from ITSG-33.</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JIT / JEA</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Just-in-time and just-enough administration; minimize duration and scope of privilege.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KMS / HSM</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Key management service / hardware security module; products and operating modes require applicable assurance.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L2VNI / L3VNI</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VXLAN network identifiers used by an approved implementation; not consumer security-zone names.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MLAG</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Multi-chassis link aggregation; implementation-specific HA behavior requiring split-brain and interoperability tests.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MTU</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Maximum transmission unit; verify end-to-end path limits including all encapsulations.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MZ</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Management Zone, an isolated administration security domain; not synonymous with a transport network.</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NAT</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Network address translation; not a complete isolation or identity mechanism.</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ND / RA</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IPv6 Neighbor Discovery / Router Advertisement; govern local-link behavior and unauthorized advertisements.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OOB</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Out-of-band management transport, ideally independently reachable during production-network failure.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OZ</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Operations Zone for authorized operational workloads under the selected security profile.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PAZ</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Public Access Zone, mediating authorized public/external service interactions.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PAM</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Privileged access management, including approval, controlled sessions, recording and break-glass.</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PBMM</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Protected B, Medium integrity and Medium availability-impact profile context; not a topology or uptime commitment.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PBR</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Policy-based routing, whose failure/return-path behavior must preserve required inspection.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PZ</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Public Zone; represented as external PUBLIC authority in this contract.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RD / RT</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Route distinguisher / route target; allocated and controlled by the provider, never consumer-defined trust.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REZ</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Restricted Extranet Zone; a specific trusted-partner relationship, modeled as an external domain.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RPO / RTO</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Recovery point objective / recovery time objective, measured against the defined recovered service boundary.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RZ</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Restricted Zone for authorized sensitive or critical systems/services under the selected profile.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Saga-style workflow</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Journaled multi-stage operation with scoped compensating actions; not an atomic multi-system transaction.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SDI</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Security Domain Instance: a site/platform-specific realization of a logical Security Domain.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Service Binding</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Authorized consumer relationship to a published provider endpoint and profile.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Service Ready</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Current desired generation, qualified implementation, required evidence and authorization conditions all satisfied.</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SLO</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Service-level objective with an explicit measurement window, boundary and accounting policy.</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Terraform state</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Tool representation of managed objects; protected authority/blast-radius boundary, not the complete source of service truth.</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Tenant Namespace</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Administrative ownership, entitlement and quota scope; not a security zone or a shared network.</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Tombstone</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Retained stable identity and lifecycle evidence for a retired object.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VRF</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Virtual routing and forwarding context; a mechanism, not an enterprise security-zone definition.</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VXLAN</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Virtual extensible LAN encapsulation; used only with a qualified underlay/overlay profile.</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WSD</w:t>
            </w:r>
          </w:p>
        </w:tc>
        <w:tc>
          <w:tcPr>
            <w:tcW w:w="7201"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Workload Security Domain: primary workload lifecycle and desired security/service intent object.</w:t>
            </w:r>
          </w:p>
        </w:tc>
      </w:tr>
      <w:tr>
        <w:trPr>
          <w:cantSplit w:val="true"/>
        </w:trPr>
        <w:tc>
          <w:tcPr>
            <w:tcW w:w="237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ZIP</w:t>
            </w:r>
          </w:p>
        </w:tc>
        <w:tc>
          <w:tcPr>
            <w:tcW w:w="7201"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Zone Interface Point: jointly governed boundary function between two domains; can be a qualified composed/distributed realization.</w:t>
            </w:r>
          </w:p>
        </w:tc>
      </w:tr>
    </w:tbl>
    <w:p>
      <w:pPr>
        <w:pStyle w:val="Heading1"/>
        <w:rPr/>
      </w:pPr>
      <w:r>
        <w:br w:type="page"/>
      </w:r>
      <w:bookmarkStart w:id="505" w:name="__RefHeading___Toc13453_1645000677"/>
      <w:bookmarkStart w:id="506" w:name="app_J"/>
      <w:bookmarkEnd w:id="505"/>
      <w:r>
        <w:rPr/>
        <w:t>Appendix J — Audit closure, migration and release checks</w:t>
      </w:r>
      <w:bookmarkEnd w:id="506"/>
    </w:p>
    <w:p>
      <w:pPr>
        <w:pStyle w:val="Heading2"/>
        <w:ind w:hanging="0" w:start="0"/>
        <w:rPr/>
      </w:pPr>
      <w:bookmarkStart w:id="507" w:name="__RefHeading___Toc13455_1645000677"/>
      <w:bookmarkEnd w:id="507"/>
      <w:r>
        <w:rPr/>
        <w:t>Audit and migration registers</w:t>
      </w:r>
    </w:p>
    <w:p>
      <w:pPr>
        <w:pStyle w:val="BodyText"/>
        <w:rPr/>
      </w:pPr>
      <w:r>
        <w:rPr/>
        <w:t>The following register shows how the audit was resolved in the document and contract package. “Addressed” means the requirement/model/procedure is now specified and cross-referenced; it does not mean a real platform has executed the test or received approval. Additional source verification corrected the 2026 control/cryptography baseline and refined several earlier audit recommendations.</w:t>
      </w:r>
    </w:p>
    <w:p>
      <w:pPr>
        <w:pStyle w:val="TestTitle"/>
        <w:spacing w:before="180" w:after="100"/>
        <w:rPr/>
      </w:pPr>
      <w:r>
        <w:rPr/>
        <w:t>A01 — REZ/internal zone model</w:t>
      </w:r>
    </w:p>
    <w:p>
      <w:pPr>
        <w:pStyle w:val="BodyText"/>
        <w:rPr/>
      </w:pPr>
      <w:r>
        <w:rPr/>
        <w:t>Removed REZ from internal zone enums. Introduced ExternalDomain and explicit REZ_PARTNER semantics; MZ provider-controlled.</w:t>
      </w:r>
    </w:p>
    <w:p>
      <w:pPr>
        <w:pStyle w:val="Small"/>
        <w:rPr/>
      </w:pPr>
      <w:r>
        <w:rPr/>
        <w:t>Location: 10; Appendix A  |  Addressed in document/contracts</w:t>
      </w:r>
    </w:p>
    <w:p>
      <w:pPr>
        <w:pStyle w:val="TestTitle"/>
        <w:spacing w:before="180" w:after="100"/>
        <w:rPr/>
      </w:pPr>
      <w:r>
        <w:rPr/>
        <w:t>A02 — Cloud zoning standard omitted</w:t>
      </w:r>
    </w:p>
    <w:p>
      <w:pPr>
        <w:pStyle w:val="BodyText"/>
        <w:rPr/>
      </w:pPr>
      <w:r>
        <w:rPr/>
        <w:t>Added ITSP.80.023 and qualified logical/distributed ZIP semantics; no appliance-only restriction.</w:t>
      </w:r>
    </w:p>
    <w:p>
      <w:pPr>
        <w:pStyle w:val="Small"/>
        <w:rPr/>
      </w:pPr>
      <w:r>
        <w:rPr/>
        <w:t>Location: 3, 10–12, 34  |  Addressed in source baseline</w:t>
      </w:r>
    </w:p>
    <w:p>
      <w:pPr>
        <w:pStyle w:val="TestTitle"/>
        <w:spacing w:before="180" w:after="100"/>
        <w:rPr/>
      </w:pPr>
      <w:r>
        <w:rPr/>
        <w:t>A03 — MZ/OOB conflation</w:t>
      </w:r>
    </w:p>
    <w:p>
      <w:pPr>
        <w:pStyle w:val="BodyText"/>
        <w:rPr/>
      </w:pPr>
      <w:r>
        <w:rPr/>
        <w:t>Separated management-zone security semantics, OOB transport, privileged access and provider control APIs.</w:t>
      </w:r>
    </w:p>
    <w:p>
      <w:pPr>
        <w:pStyle w:val="Small"/>
        <w:rPr/>
      </w:pPr>
      <w:r>
        <w:rPr/>
        <w:t>Location: 6, 12  |  Addressed in model</w:t>
      </w:r>
    </w:p>
    <w:p>
      <w:pPr>
        <w:pStyle w:val="TestTitle"/>
        <w:spacing w:before="180" w:after="100"/>
        <w:rPr/>
      </w:pPr>
      <w:r>
        <w:rPr/>
        <w:t>A04 — ZIP governance incomplete</w:t>
      </w:r>
    </w:p>
    <w:p>
      <w:pPr>
        <w:pStyle w:val="BodyText"/>
        <w:rPr/>
      </w:pPr>
      <w:r>
        <w:rPr/>
        <w:t>Two endpoints, joint authority, deny default, management path, sensors/posture, symmetry and qualification specified.</w:t>
      </w:r>
    </w:p>
    <w:p>
      <w:pPr>
        <w:pStyle w:val="Small"/>
        <w:rPr/>
      </w:pPr>
      <w:r>
        <w:rPr/>
        <w:t>Location: 11, 20, 52  |  Addressed; live qualification required</w:t>
      </w:r>
    </w:p>
    <w:p>
      <w:pPr>
        <w:pStyle w:val="TestTitle"/>
        <w:spacing w:before="180" w:after="100"/>
        <w:rPr/>
      </w:pPr>
      <w:r>
        <w:rPr/>
        <w:t>A05 — Physical co-residency undefined</w:t>
      </w:r>
    </w:p>
    <w:p>
      <w:pPr>
        <w:pStyle w:val="BodyText"/>
        <w:rPr/>
      </w:pPr>
      <w:r>
        <w:rPr/>
        <w:t>Zone-specific host-pool baseline and explicit dedication vector; exceptions require evidence and risk decision.</w:t>
      </w:r>
    </w:p>
    <w:p>
      <w:pPr>
        <w:pStyle w:val="Small"/>
        <w:rPr/>
      </w:pPr>
      <w:r>
        <w:rPr/>
        <w:t>Location: 22, 47  |  Addressed; deployment profile required</w:t>
      </w:r>
    </w:p>
    <w:p>
      <w:pPr>
        <w:pStyle w:val="TestTitle"/>
        <w:spacing w:before="180" w:after="100"/>
        <w:rPr/>
      </w:pPr>
      <w:r>
        <w:rPr/>
        <w:t>A06 — Ambiguous categorization</w:t>
      </w:r>
    </w:p>
    <w:p>
      <w:pPr>
        <w:pStyle w:val="BodyText"/>
        <w:rPr/>
      </w:pPr>
      <w:r>
        <w:rPr/>
        <w:t>Separated confidentiality, integrity, availability impact, uptime SLO and recovery objectives.</w:t>
      </w:r>
    </w:p>
    <w:p>
      <w:pPr>
        <w:pStyle w:val="Small"/>
        <w:rPr/>
      </w:pPr>
      <w:r>
        <w:rPr/>
        <w:t>Location: 4, 28; Appendix A  |  Addressed in model/contracts</w:t>
      </w:r>
    </w:p>
    <w:p>
      <w:pPr>
        <w:pStyle w:val="TestTitle"/>
        <w:spacing w:before="180" w:after="100"/>
        <w:rPr/>
      </w:pPr>
      <w:r>
        <w:rPr/>
        <w:t>A07 — Incomplete requirement index</w:t>
      </w:r>
    </w:p>
    <w:p>
      <w:pPr>
        <w:pStyle w:val="BodyText"/>
        <w:rPr/>
      </w:pPr>
      <w:r>
        <w:rPr/>
        <w:t>All original 99 IDs retained or explicitly revised; generated full active catalogue plus verification/source links.</w:t>
      </w:r>
    </w:p>
    <w:p>
      <w:pPr>
        <w:pStyle w:val="Small"/>
        <w:rPr/>
      </w:pPr>
      <w:r>
        <w:rPr/>
        <w:t>Location: Appendix C; requirements.json  |  Addressed and mechanically checked</w:t>
      </w:r>
    </w:p>
    <w:p>
      <w:pPr>
        <w:pStyle w:val="TestTitle"/>
        <w:spacing w:before="180" w:after="100"/>
        <w:rPr/>
      </w:pPr>
      <w:r>
        <w:rPr/>
        <w:t>A08 — Network-heavy scope</w:t>
      </w:r>
    </w:p>
    <w:p>
      <w:pPr>
        <w:pStyle w:val="BodyText"/>
        <w:rPr/>
      </w:pPr>
      <w:r>
        <w:rPr/>
        <w:t>Added compute, storage, IAM, cryptography, images, protection, availability, location and shared application responsibility.</w:t>
      </w:r>
    </w:p>
    <w:p>
      <w:pPr>
        <w:pStyle w:val="Small"/>
        <w:rPr/>
      </w:pPr>
      <w:r>
        <w:rPr/>
        <w:t>Location: 22–31  |  Addressed in chapters and requirements</w:t>
      </w:r>
    </w:p>
    <w:p>
      <w:pPr>
        <w:pStyle w:val="TestTitle"/>
        <w:spacing w:before="180" w:after="100"/>
        <w:rPr/>
      </w:pPr>
      <w:r>
        <w:rPr/>
        <w:t>A09 — WSD not production-grade contract</w:t>
      </w:r>
    </w:p>
    <w:p>
      <w:pPr>
        <w:pStyle w:val="BodyText"/>
        <w:rPr/>
      </w:pPr>
      <w:r>
        <w:rPr/>
        <w:t>Closed typed object schemas, metadata generation/status split, desired-state references and lifecycle semantics.</w:t>
      </w:r>
    </w:p>
    <w:p>
      <w:pPr>
        <w:pStyle w:val="Small"/>
        <w:rPr/>
      </w:pPr>
      <w:r>
        <w:rPr/>
        <w:t>Location: 39–41; Appendix A  |  Addressed as reference contracts; controller implementation external</w:t>
      </w:r>
    </w:p>
    <w:p>
      <w:pPr>
        <w:pStyle w:val="TestTitle"/>
        <w:spacing w:before="180" w:after="100"/>
        <w:rPr/>
      </w:pPr>
      <w:r>
        <w:rPr/>
        <w:t>A10 — Thin Flow Intent</w:t>
      </w:r>
    </w:p>
    <w:p>
      <w:pPr>
        <w:pStyle w:val="BodyText"/>
        <w:rPr/>
      </w:pPr>
      <w:r>
        <w:rPr/>
        <w:t>Typed endpoints/service profiles, validity, state/TLS/logging, policy precedence and graph admission.</w:t>
      </w:r>
    </w:p>
    <w:p>
      <w:pPr>
        <w:pStyle w:val="Small"/>
        <w:rPr/>
      </w:pPr>
      <w:r>
        <w:rPr/>
        <w:t>Location: 19, 40; Appendix A  |  Addressed in model/contracts</w:t>
      </w:r>
    </w:p>
    <w:p>
      <w:pPr>
        <w:pStyle w:val="TestTitle"/>
        <w:spacing w:before="180" w:after="100"/>
        <w:rPr/>
      </w:pPr>
      <w:r>
        <w:rPr/>
        <w:t>A11 — Thin fabric engineering</w:t>
      </w:r>
    </w:p>
    <w:p>
      <w:pPr>
        <w:pStyle w:val="BodyText"/>
        <w:rPr/>
      </w:pPr>
      <w:r>
        <w:rPr/>
        <w:t>Underlay, EVPN, MTU, route authority, multihoming, filtering, scale, maintenance and failure qualification.</w:t>
      </w:r>
    </w:p>
    <w:p>
      <w:pPr>
        <w:pStyle w:val="Small"/>
        <w:rPr/>
      </w:pPr>
      <w:r>
        <w:rPr/>
        <w:t>Location: 32–33  |  Addressed; vendor/site realization required</w:t>
      </w:r>
    </w:p>
    <w:p>
      <w:pPr>
        <w:pStyle w:val="TestTitle"/>
        <w:spacing w:before="180" w:after="100"/>
        <w:rPr/>
      </w:pPr>
      <w:r>
        <w:rPr/>
        <w:t>A12 — No common attachment contract</w:t>
      </w:r>
    </w:p>
    <w:p>
      <w:pPr>
        <w:pStyle w:val="BodyText"/>
        <w:rPr/>
      </w:pPr>
      <w:r>
        <w:rPr/>
        <w:t>Added provider-internal EdgeAttachment and tested shared-attachment isolation.</w:t>
      </w:r>
    </w:p>
    <w:p>
      <w:pPr>
        <w:pStyle w:val="Small"/>
        <w:rPr/>
      </w:pPr>
      <w:r>
        <w:rPr/>
        <w:t>Location: 20, 32–38; Appendix A  |  Addressed in model/contracts</w:t>
      </w:r>
    </w:p>
    <w:p>
      <w:pPr>
        <w:pStyle w:val="TestTitle"/>
        <w:spacing w:before="180" w:after="100"/>
        <w:rPr/>
      </w:pPr>
      <w:r>
        <w:rPr/>
        <w:t>A13 — Terraform gaps</w:t>
      </w:r>
    </w:p>
    <w:p>
      <w:pPr>
        <w:pStyle w:val="BodyText"/>
        <w:rPr/>
      </w:pPr>
      <w:r>
        <w:rPr/>
        <w:t>Provider versus module locking, immutable plans, write-only/ephemeral support, state recovery and staged compensation.</w:t>
      </w:r>
    </w:p>
    <w:p>
      <w:pPr>
        <w:pStyle w:val="Small"/>
        <w:rPr/>
      </w:pPr>
      <w:r>
        <w:rPr/>
        <w:t>Location: 42–45; Appendix B  |  Addressed in engineering requirements</w:t>
      </w:r>
    </w:p>
    <w:p>
      <w:pPr>
        <w:pStyle w:val="TestTitle"/>
        <w:spacing w:before="180" w:after="100"/>
        <w:rPr/>
      </w:pPr>
      <w:r>
        <w:rPr/>
        <w:t>A14 — Unversioned platform capability claims</w:t>
      </w:r>
    </w:p>
    <w:p>
      <w:pPr>
        <w:pStyle w:val="BodyText"/>
        <w:rPr/>
      </w:pPr>
      <w:r>
        <w:rPr/>
        <w:t>Exact tuple, Candidate/Qualified/Suspended lifecycle, evidence, review expiry and verified limits; no invented qualification.</w:t>
      </w:r>
    </w:p>
    <w:p>
      <w:pPr>
        <w:pStyle w:val="Small"/>
        <w:rPr/>
      </w:pPr>
      <w:r>
        <w:rPr/>
        <w:t>Location: 34–38; Appendix A  |  Addressed; examples intentionally Candidate</w:t>
      </w:r>
    </w:p>
    <w:p>
      <w:pPr>
        <w:pStyle w:val="TestTitle"/>
        <w:spacing w:before="180" w:after="100"/>
        <w:rPr/>
      </w:pPr>
      <w:r>
        <w:rPr/>
        <w:t>A15 — Assurance labels not measurable</w:t>
      </w:r>
    </w:p>
    <w:p>
      <w:pPr>
        <w:pStyle w:val="BodyText"/>
        <w:rPr/>
      </w:pPr>
      <w:r>
        <w:rPr/>
        <w:t>Explicit per-layer isolation, approved parameters, test/freshness and exception rules.</w:t>
      </w:r>
    </w:p>
    <w:p>
      <w:pPr>
        <w:pStyle w:val="Small"/>
        <w:rPr/>
      </w:pPr>
      <w:r>
        <w:rPr/>
        <w:t>Location: 47; Appendix F  |  Addressed; example values are proposed</w:t>
      </w:r>
    </w:p>
    <w:p>
      <w:pPr>
        <w:pStyle w:val="TestTitle"/>
        <w:spacing w:before="180" w:after="100"/>
        <w:rPr/>
      </w:pPr>
      <w:r>
        <w:rPr/>
        <w:t>A16 — Small test catalogue</w:t>
      </w:r>
    </w:p>
    <w:p>
      <w:pPr>
        <w:pStyle w:val="BodyText"/>
        <w:rPr/>
      </w:pPr>
      <w:r>
        <w:rPr/>
        <w:t>Expanded to 80 detailed positive/negative/failure/recovery/lifecycle procedures with all results not-run.</w:t>
      </w:r>
    </w:p>
    <w:p>
      <w:pPr>
        <w:pStyle w:val="Small"/>
        <w:rPr/>
      </w:pPr>
      <w:r>
        <w:rPr/>
        <w:t>Location: 48; Appendix D  |  Specification complete; live tests not executed</w:t>
      </w:r>
    </w:p>
    <w:p>
      <w:pPr>
        <w:pStyle w:val="TestTitle"/>
        <w:spacing w:before="180" w:after="100"/>
        <w:rPr/>
      </w:pPr>
      <w:r>
        <w:rPr/>
        <w:t>A17 — Evidence/control linkage weak</w:t>
      </w:r>
    </w:p>
    <w:p>
      <w:pPr>
        <w:pStyle w:val="BodyText"/>
        <w:rPr/>
      </w:pPr>
      <w:r>
        <w:rPr/>
        <w:t>Requirement → source edition/family → object → test → artifact → decision; authorization separate.</w:t>
      </w:r>
    </w:p>
    <w:p>
      <w:pPr>
        <w:pStyle w:val="Small"/>
        <w:rPr/>
      </w:pPr>
      <w:r>
        <w:rPr/>
        <w:t>Location: 49; Appendix E  |  Addressed; final selected controls need assessor tailoring</w:t>
      </w:r>
    </w:p>
    <w:p>
      <w:pPr>
        <w:pStyle w:val="TestTitle"/>
        <w:spacing w:before="180" w:after="100"/>
        <w:rPr/>
      </w:pPr>
      <w:r>
        <w:rPr/>
        <w:t>A18 — Logging/IR underdeveloped</w:t>
      </w:r>
    </w:p>
    <w:p>
      <w:pPr>
        <w:pStyle w:val="BodyText"/>
        <w:rPr/>
      </w:pPr>
      <w:r>
        <w:rPr/>
        <w:t>Current logging/event process references, event schema, buffering/time/privacy and scoped incident overrides.</w:t>
      </w:r>
    </w:p>
    <w:p>
      <w:pPr>
        <w:pStyle w:val="Small"/>
        <w:rPr/>
      </w:pPr>
      <w:r>
        <w:rPr/>
        <w:t>Location: 50, 55  |  Addressed</w:t>
      </w:r>
    </w:p>
    <w:p>
      <w:pPr>
        <w:pStyle w:val="TestTitle"/>
        <w:spacing w:before="180" w:after="100"/>
        <w:rPr/>
      </w:pPr>
      <w:r>
        <w:rPr/>
        <w:t>A19 — Backup/retention/disposal thin</w:t>
      </w:r>
    </w:p>
    <w:p>
      <w:pPr>
        <w:pStyle w:val="BodyText"/>
        <w:rPr/>
      </w:pPr>
      <w:r>
        <w:rPr/>
        <w:t>Protected administration, immutable copy policy, isolated restore, lineage/holds/key lifetime and sanitization evidence.</w:t>
      </w:r>
    </w:p>
    <w:p>
      <w:pPr>
        <w:pStyle w:val="Small"/>
        <w:rPr/>
      </w:pPr>
      <w:r>
        <w:rPr/>
        <w:t>Location: 23, 25, 27, 53, 56  |  Addressed</w:t>
      </w:r>
    </w:p>
    <w:p>
      <w:pPr>
        <w:pStyle w:val="TestTitle"/>
        <w:spacing w:before="180" w:after="100"/>
        <w:rPr/>
      </w:pPr>
      <w:r>
        <w:rPr/>
        <w:t>A20 — Offboarding numbering and dependency order</w:t>
      </w:r>
    </w:p>
    <w:p>
      <w:pPr>
        <w:pStyle w:val="BodyText"/>
        <w:rPr/>
      </w:pPr>
      <w:r>
        <w:rPr/>
        <w:t>Independent steps 1–9; retention protected before paths/keys revoked; tombstones and shared dependencies preserved.</w:t>
      </w:r>
    </w:p>
    <w:p>
      <w:pPr>
        <w:pStyle w:val="Small"/>
        <w:rPr/>
      </w:pPr>
      <w:r>
        <w:rPr/>
        <w:t>Location: 56  |  Addressed</w:t>
      </w:r>
    </w:p>
    <w:p>
      <w:pPr>
        <w:pStyle w:val="TestTitle"/>
        <w:spacing w:before="180" w:after="100"/>
        <w:rPr/>
      </w:pPr>
      <w:r>
        <w:rPr/>
        <w:t>A21 — SLO/RTO/RPO/capacity undefined</w:t>
      </w:r>
    </w:p>
    <w:p>
      <w:pPr>
        <w:pStyle w:val="BodyText"/>
        <w:rPr/>
      </w:pPr>
      <w:r>
        <w:rPr/>
        <w:t>Separate service profiles, measurement boundaries, failed-capacity admission and procurement/consumption accounting.</w:t>
      </w:r>
    </w:p>
    <w:p>
      <w:pPr>
        <w:pStyle w:val="Small"/>
        <w:rPr/>
      </w:pPr>
      <w:r>
        <w:rPr/>
        <w:t>Location: 28, 30, 51–53  |  Addressed; targets require local adoption</w:t>
      </w:r>
    </w:p>
    <w:p>
      <w:pPr>
        <w:pStyle w:val="TestTitle"/>
        <w:spacing w:before="180" w:after="100"/>
        <w:rPr/>
      </w:pPr>
      <w:r>
        <w:rPr/>
        <w:t>A22 — Word navigation and publishing</w:t>
      </w:r>
    </w:p>
    <w:p>
      <w:pPr>
        <w:pStyle w:val="BodyText"/>
        <w:rPr/>
      </w:pPr>
      <w:r>
        <w:rPr/>
        <w:t>Real TOC, Word headings, bookmarks, numbered figures/cross-references, descriptive source links/alt text and rendered review.</w:t>
      </w:r>
    </w:p>
    <w:p>
      <w:pPr>
        <w:pStyle w:val="Small"/>
        <w:rPr/>
      </w:pPr>
      <w:r>
        <w:rPr/>
        <w:t>Location: Whole document  |  Checked during release build</w:t>
      </w:r>
    </w:p>
    <w:p>
      <w:pPr>
        <w:pStyle w:val="TestTitle"/>
        <w:spacing w:before="180" w:after="100"/>
        <w:rPr/>
      </w:pPr>
      <w:r>
        <w:rPr/>
        <w:t>A23 — 2026 control-catalogue transition</w:t>
      </w:r>
    </w:p>
    <w:p>
      <w:pPr>
        <w:pStyle w:val="BodyText"/>
        <w:rPr/>
      </w:pPr>
      <w:r>
        <w:rPr/>
        <w:t>Added ITSP.10.033 effective 31 March 2026; supersedes Annex 3A only; source edition and numbering migration recorded.</w:t>
      </w:r>
    </w:p>
    <w:p>
      <w:pPr>
        <w:pStyle w:val="Small"/>
        <w:rPr/>
      </w:pPr>
      <w:r>
        <w:rPr/>
        <w:t>Location: 3; Appendix E  |  Additional researched correction</w:t>
      </w:r>
    </w:p>
    <w:p>
      <w:pPr>
        <w:pStyle w:val="TestTitle"/>
        <w:spacing w:before="180" w:after="100"/>
        <w:rPr/>
      </w:pPr>
      <w:r>
        <w:rPr/>
        <w:t>A24 — 2026 cryptographic baseline</w:t>
      </w:r>
    </w:p>
    <w:p>
      <w:pPr>
        <w:pStyle w:val="BodyText"/>
        <w:rPr/>
      </w:pPr>
      <w:r>
        <w:rPr/>
        <w:t>Added ITSP.40.111 v5 effective 29 May 2026 and versioned crypto policy rather than permanent legacy algorithm assumptions.</w:t>
      </w:r>
    </w:p>
    <w:p>
      <w:pPr>
        <w:pStyle w:val="Small"/>
        <w:rPr/>
      </w:pPr>
      <w:r>
        <w:rPr/>
        <w:t>Location: 3, 25  |  Additional researched correction</w:t>
      </w:r>
    </w:p>
    <w:p>
      <w:pPr>
        <w:pStyle w:val="TestTitle"/>
        <w:spacing w:before="180" w:after="100"/>
        <w:rPr/>
      </w:pPr>
      <w:r>
        <w:rPr/>
        <w:t>A25 — Overstatement of completion/certification</w:t>
      </w:r>
    </w:p>
    <w:p>
      <w:pPr>
        <w:pStyle w:val="BodyText"/>
        <w:rPr/>
      </w:pPr>
      <w:r>
        <w:rPr/>
        <w:t>Separated document/contract validation from platform test execution, technical readiness and formal authorization.</w:t>
      </w:r>
    </w:p>
    <w:p>
      <w:pPr>
        <w:pStyle w:val="Small"/>
        <w:rPr/>
      </w:pPr>
      <w:r>
        <w:rPr/>
        <w:t>Location: 1, 48–49, 61–62  |  Addressed throughout</w:t>
      </w:r>
    </w:p>
    <w:p>
      <w:pPr>
        <w:pStyle w:val="Heading3"/>
        <w:rPr/>
      </w:pPr>
      <w:r>
        <w:rPr/>
        <w:t>Original section migration</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1942"/>
        <w:gridCol w:w="2852"/>
        <w:gridCol w:w="1944"/>
        <w:gridCol w:w="2837"/>
      </w:tblGrid>
      <w:tr>
        <w:trPr>
          <w:tblHeader w:val="true"/>
          <w:cantSplit w:val="true"/>
        </w:trPr>
        <w:tc>
          <w:tcPr>
            <w:tcW w:w="194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v1.0 section</w:t>
            </w:r>
          </w:p>
        </w:tc>
        <w:tc>
          <w:tcPr>
            <w:tcW w:w="285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v1.1 primary location</w:t>
            </w:r>
          </w:p>
        </w:tc>
        <w:tc>
          <w:tcPr>
            <w:tcW w:w="1944"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v1.0 section</w:t>
            </w:r>
          </w:p>
        </w:tc>
        <w:tc>
          <w:tcPr>
            <w:tcW w:w="2837"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v1.1 primary location</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27</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§34</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28</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§39</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29</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§41</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30</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§42</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31</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§43</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32</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§40</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7</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§7</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33</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§45</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8</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§8</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34</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§44</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9</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§9</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35</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§46</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10</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§10</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36</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§47</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11</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§11</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37</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§48</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12</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§12</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38</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§49</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13</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§32</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39</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§50</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14</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§13</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40</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§51</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15</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§14</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41</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§52</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16</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§15</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42</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§27</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17</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§16</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43</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§55</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18</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§17</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44</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§59</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19</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§18</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45</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§56</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20</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§19</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46</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§57</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21</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§21</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47</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§58</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22</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§34</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48</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§60</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23</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§35</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49</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§60</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24</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§36</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50</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§61</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25</w:t>
            </w:r>
          </w:p>
        </w:tc>
        <w:tc>
          <w:tcPr>
            <w:tcW w:w="285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§37</w:t>
            </w:r>
          </w:p>
        </w:tc>
        <w:tc>
          <w:tcPr>
            <w:tcW w:w="1944"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51</w:t>
            </w:r>
          </w:p>
        </w:tc>
        <w:tc>
          <w:tcPr>
            <w:tcW w:w="2837"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§61</w:t>
            </w:r>
          </w:p>
        </w:tc>
      </w:tr>
      <w:tr>
        <w:trPr>
          <w:cantSplit w:val="true"/>
        </w:trPr>
        <w:tc>
          <w:tcPr>
            <w:tcW w:w="194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26</w:t>
            </w:r>
          </w:p>
        </w:tc>
        <w:tc>
          <w:tcPr>
            <w:tcW w:w="285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§38</w:t>
            </w:r>
          </w:p>
        </w:tc>
        <w:tc>
          <w:tcPr>
            <w:tcW w:w="1944"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52</w:t>
            </w:r>
          </w:p>
        </w:tc>
        <w:tc>
          <w:tcPr>
            <w:tcW w:w="2837"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§62</w:t>
            </w:r>
          </w:p>
        </w:tc>
      </w:tr>
    </w:tbl>
    <w:p>
      <w:pPr>
        <w:pStyle w:val="BodyText"/>
        <w:rPr/>
      </w:pPr>
      <w:r>
        <w:rPr/>
        <w:t>Every original requirement ID and its exact old/new wording is included in catalogues/v1_0_requirement_migration.json. The section map identifies the primary home; new cross-cutting requirements may also appear in related chapters. Original appendices were redistributed into the complete contract, requirement, test, traceability and reference appendices here.</w:t>
      </w:r>
    </w:p>
    <w:p>
      <w:pPr>
        <w:pStyle w:val="Heading3"/>
        <w:rPr/>
      </w:pPr>
      <w:r>
        <w:rPr/>
        <w:t>Offline release validation</w:t>
      </w:r>
    </w:p>
    <w:tbl>
      <w:tblPr>
        <w:tblW w:w="9576" w:type="dxa"/>
        <w:jc w:val="center"/>
        <w:tblInd w:w="0" w:type="dxa"/>
        <w:tblLayout w:type="fixed"/>
        <w:tblCellMar>
          <w:top w:w="55" w:type="dxa"/>
          <w:start w:w="85" w:type="dxa"/>
          <w:bottom w:w="55" w:type="dxa"/>
          <w:end w:w="85" w:type="dxa"/>
        </w:tblCellMar>
        <w:tblLook w:val="04a0" w:noHBand="0" w:noVBand="1" w:firstColumn="1" w:lastRow="0" w:lastColumn="0" w:firstRow="1"/>
      </w:tblPr>
      <w:tblGrid>
        <w:gridCol w:w="3312"/>
        <w:gridCol w:w="6263"/>
      </w:tblGrid>
      <w:tr>
        <w:trPr>
          <w:tblHeader w:val="true"/>
          <w:cantSplit w:val="true"/>
        </w:trPr>
        <w:tc>
          <w:tcPr>
            <w:tcW w:w="3312"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Check class</w:t>
            </w:r>
          </w:p>
        </w:tc>
        <w:tc>
          <w:tcPr>
            <w:tcW w:w="6263" w:type="dxa"/>
            <w:tcBorders>
              <w:top w:val="single" w:sz="2" w:space="0" w:color="D7E0E5"/>
              <w:start w:val="single" w:sz="2" w:space="0" w:color="D7E0E5"/>
              <w:bottom w:val="single" w:sz="2" w:space="0" w:color="D7E0E5"/>
              <w:end w:val="single" w:sz="2" w:space="0" w:color="D7E0E5"/>
            </w:tcBorders>
            <w:shd w:fill="163A52"/>
            <w:vAlign w:val="center"/>
          </w:tcPr>
          <w:p>
            <w:pPr>
              <w:pStyle w:val="TableHead"/>
              <w:keepNext w:val="false"/>
              <w:spacing w:before="0" w:after="60"/>
              <w:rPr/>
            </w:pPr>
            <w:r>
              <w:rPr/>
              <w:t>Result for this package</w:t>
            </w:r>
          </w:p>
        </w:tc>
      </w:tr>
      <w:tr>
        <w:trPr>
          <w:cantSplit w:val="true"/>
        </w:trPr>
        <w:tc>
          <w:tcPr>
            <w:tcW w:w="331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Chapter and original-source coverage</w:t>
            </w:r>
          </w:p>
        </w:tc>
        <w:tc>
          <w:tcPr>
            <w:tcW w:w="626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62 chapters; all 52 original sections mapped; all 99 original requirement IDs retained/revised</w:t>
            </w:r>
          </w:p>
        </w:tc>
      </w:tr>
      <w:tr>
        <w:trPr>
          <w:cantSplit w:val="true"/>
        </w:trPr>
        <w:tc>
          <w:tcPr>
            <w:tcW w:w="331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Normative and verification catalogue</w:t>
            </w:r>
          </w:p>
        </w:tc>
        <w:tc>
          <w:tcPr>
            <w:tcW w:w="626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194 active requirements; all test/source links resolve; all 80 tests have requirement links</w:t>
            </w:r>
          </w:p>
        </w:tc>
      </w:tr>
      <w:tr>
        <w:trPr>
          <w:cantSplit w:val="true"/>
        </w:trPr>
        <w:tc>
          <w:tcPr>
            <w:tcW w:w="331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Contract coverage</w:t>
            </w:r>
          </w:p>
        </w:tc>
        <w:tc>
          <w:tcPr>
            <w:tcW w:w="626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33 typed kinds; 43 consistent example objects; consumer request without server-owned status</w:t>
            </w:r>
          </w:p>
        </w:tc>
      </w:tr>
      <w:tr>
        <w:trPr>
          <w:cantSplit w:val="true"/>
        </w:trPr>
        <w:tc>
          <w:tcPr>
            <w:tcW w:w="331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Offline validation suite</w:t>
            </w:r>
          </w:p>
        </w:tc>
        <w:tc>
          <w:tcPr>
            <w:tcW w:w="626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50 checks passed; 0 failed; includes structural/semantic rejection fixtures</w:t>
            </w:r>
          </w:p>
        </w:tc>
      </w:tr>
      <w:tr>
        <w:trPr>
          <w:cantSplit w:val="true"/>
        </w:trPr>
        <w:tc>
          <w:tcPr>
            <w:tcW w:w="3312"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Infrastructure test execution</w:t>
            </w:r>
          </w:p>
        </w:tc>
        <w:tc>
          <w:tcPr>
            <w:tcW w:w="6263" w:type="dxa"/>
            <w:tcBorders>
              <w:top w:val="single" w:sz="2" w:space="0" w:color="D7E0E5"/>
              <w:start w:val="single" w:sz="2" w:space="0" w:color="D7E0E5"/>
              <w:bottom w:val="single" w:sz="2" w:space="0" w:color="D7E0E5"/>
              <w:end w:val="single" w:sz="2" w:space="0" w:color="D7E0E5"/>
            </w:tcBorders>
            <w:vAlign w:val="center"/>
          </w:tcPr>
          <w:p>
            <w:pPr>
              <w:pStyle w:val="TableText"/>
              <w:keepNext w:val="false"/>
              <w:spacing w:before="0" w:after="60"/>
              <w:rPr/>
            </w:pPr>
            <w:r>
              <w:rPr/>
              <w:t>80 procedures specified; all marked not-run; no target platform contacted or certified</w:t>
            </w:r>
          </w:p>
        </w:tc>
      </w:tr>
      <w:tr>
        <w:trPr>
          <w:cantSplit w:val="true"/>
        </w:trPr>
        <w:tc>
          <w:tcPr>
            <w:tcW w:w="3312"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Implementation readiness</w:t>
            </w:r>
          </w:p>
        </w:tc>
        <w:tc>
          <w:tcPr>
            <w:tcW w:w="6263" w:type="dxa"/>
            <w:tcBorders>
              <w:top w:val="single" w:sz="2" w:space="0" w:color="D7E0E5"/>
              <w:start w:val="single" w:sz="2" w:space="0" w:color="D7E0E5"/>
              <w:bottom w:val="single" w:sz="2" w:space="0" w:color="D7E0E5"/>
              <w:end w:val="single" w:sz="2" w:space="0" w:color="D7E0E5"/>
            </w:tcBorders>
            <w:shd w:fill="F4F7F9"/>
            <w:vAlign w:val="center"/>
          </w:tcPr>
          <w:p>
            <w:pPr>
              <w:pStyle w:val="TableText"/>
              <w:keepNext w:val="false"/>
              <w:spacing w:before="0" w:after="60"/>
              <w:rPr/>
            </w:pPr>
            <w:r>
              <w:rPr/>
              <w:t>Reference profiles remain Proposed/Candidate; authorization NotIssued; readiness deliberately blocked</w:t>
            </w:r>
          </w:p>
        </w:tc>
      </w:tr>
    </w:tbl>
    <w:p>
      <w:pPr>
        <w:pStyle w:val="BodyText"/>
        <w:rPr/>
      </w:pPr>
      <w:r>
        <w:rPr/>
        <w:t>Publishing checks are performed against the actual generated DOCX/PDF: populated TOC, headings and numbered chapters; valid bookmarks, SEQ/REF fields and source links; complete requirement/test text; meaningful figure descriptions; table pagination and page-image review. Machine validation proves package consistency, not completeness of every possible future threat or production security assurance.</w:t>
      </w:r>
    </w:p>
    <w:p>
      <w:pPr>
        <w:pStyle w:val="FrontHeading"/>
        <w:rPr/>
      </w:pPr>
      <w:r>
        <w:rPr/>
        <w:t>End-state architecture</w:t>
      </w:r>
    </w:p>
    <w:p>
      <w:pPr>
        <w:pStyle w:val="BodyText"/>
        <w:widowControl/>
        <w:spacing w:lineRule="auto" w:line="252" w:before="0" w:after="100"/>
        <w:rPr/>
      </w:pPr>
      <w:r>
        <w:rPr/>
        <w:t>Standardize the security, service, lifecycle and evidence semantics. Keep platform realizations replaceable, trust transitions explicit and management authority separate. Admit only what the qualified platform can preserve, prove recovery as well as provisioning, and never confuse a successful automation run with an authorized service. [</w:t>
      </w:r>
      <w:hyperlink w:anchor="S00">
        <w:r>
          <w:rPr>
            <w:rStyle w:val="Hyperlink"/>
          </w:rPr>
          <w:t>S00</w:t>
        </w:r>
      </w:hyperlink>
      <w:r>
        <w:rPr/>
        <w:t>]</w:t>
      </w:r>
    </w:p>
    <w:sectPr>
      <w:headerReference w:type="even" r:id="rId37"/>
      <w:headerReference w:type="default" r:id="rId38"/>
      <w:headerReference w:type="first" r:id="rId39"/>
      <w:footerReference w:type="even" r:id="rId40"/>
      <w:footerReference w:type="default" r:id="rId41"/>
      <w:footerReference w:type="first" r:id="rId42"/>
      <w:type w:val="nextPage"/>
      <w:pgSz w:w="12240" w:h="15840"/>
      <w:pgMar w:left="1332" w:right="1332" w:gutter="0" w:header="432" w:top="1080"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rlito">
    <w:altName w:val="Calibri"/>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DejaVu Sans 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left" w:pos="7560" w:leader="none"/>
      </w:tabs>
      <w:spacing w:before="0" w:after="60"/>
      <w:rPr/>
    </w:pPr>
    <w:r>
      <w:rPr/>
      <w:t>Draft v1.1  |  Reference architecture baseline</w:t>
      <w:tab/>
    </w:r>
    <w:r>
      <w:rPr/>
      <w:fldChar w:fldCharType="begin"/>
    </w:r>
    <w:r>
      <w:rPr/>
      <w:instrText xml:space="preserve"> PAGE </w:instrText>
    </w:r>
    <w:r>
      <w:rPr/>
      <w:fldChar w:fldCharType="separate"/>
    </w:r>
    <w:r>
      <w:rPr/>
      <w:t>106</w:t>
    </w:r>
    <w:r>
      <w:rPr/>
      <w:fldChar w:fldCharType="end"/>
    </w:r>
    <w:r>
      <w:rPr/>
      <w:t xml:space="preserve"> / </w:t>
    </w:r>
    <w:r>
      <w:rPr/>
      <w:fldChar w:fldCharType="begin"/>
    </w:r>
    <w:r>
      <w:rPr/>
      <w:instrText xml:space="preserve"> NUMPAGES </w:instrText>
    </w:r>
    <w:r>
      <w:rPr/>
      <w:fldChar w:fldCharType="separate"/>
    </w:r>
    <w:r>
      <w:rPr/>
      <w:t>106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spacing w:before="0" w:after="0"/>
      <w:rPr/>
    </w:pPr>
    <w:r>
      <w:rPr/>
      <w:t>PORTABLE MULTI-TENANT SECURE HOSTING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547" w:hanging="547"/>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00"/>
      <w:jc w:val="start"/>
    </w:pPr>
    <w:rPr>
      <w:rFonts w:ascii="Carlito" w:hAnsi="Carlito" w:eastAsia="ＭＳ 明朝" w:cs=""/>
      <w:color w:val="22323D"/>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40" w:after="180"/>
      <w:outlineLvl w:val="0"/>
    </w:pPr>
    <w:rPr>
      <w:rFonts w:ascii="Calibri" w:hAnsi="Calibri" w:eastAsia="" w:cs="" w:asciiTheme="majorHAnsi" w:cstheme="majorBidi" w:eastAsiaTheme="majorEastAsia" w:hAnsiTheme="majorHAnsi"/>
      <w:b/>
      <w:bCs/>
      <w:color w:val="163A52"/>
      <w:sz w:val="38"/>
      <w:szCs w:val="28"/>
    </w:rPr>
  </w:style>
  <w:style w:type="paragraph" w:styleId="Heading2">
    <w:name w:val="heading 2"/>
    <w:basedOn w:val="Normal"/>
    <w:next w:val="Normal"/>
    <w:link w:val="Heading2Char"/>
    <w:uiPriority w:val="9"/>
    <w:unhideWhenUsed/>
    <w:qFormat/>
    <w:rsid w:val="00fc693f"/>
    <w:pPr>
      <w:keepNext w:val="true"/>
      <w:keepLines/>
      <w:widowControl/>
      <w:spacing w:before="260" w:after="140"/>
      <w:ind w:hanging="547" w:start="547"/>
      <w:outlineLvl w:val="1"/>
    </w:pPr>
    <w:rPr>
      <w:rFonts w:ascii="Calibri" w:hAnsi="Calibri" w:eastAsia="" w:cs="" w:asciiTheme="majorHAnsi" w:cstheme="majorBidi" w:eastAsiaTheme="majorEastAsia" w:hAnsiTheme="majorHAnsi"/>
      <w:b/>
      <w:bCs/>
      <w:color w:val="163A52"/>
      <w:sz w:val="30"/>
      <w:szCs w:val="26"/>
    </w:rPr>
  </w:style>
  <w:style w:type="paragraph" w:styleId="Heading3">
    <w:name w:val="heading 3"/>
    <w:basedOn w:val="Normal"/>
    <w:next w:val="Normal"/>
    <w:link w:val="Heading3Char"/>
    <w:uiPriority w:val="9"/>
    <w:unhideWhenUsed/>
    <w:qFormat/>
    <w:rsid w:val="00fc693f"/>
    <w:pPr>
      <w:keepNext w:val="true"/>
      <w:keepLines/>
      <w:widowControl/>
      <w:spacing w:before="200" w:after="100"/>
      <w:outlineLvl w:val="2"/>
    </w:pPr>
    <w:rPr>
      <w:rFonts w:ascii="Calibri" w:hAnsi="Calibri" w:eastAsia="" w:cs="" w:asciiTheme="majorHAnsi" w:cstheme="majorBidi" w:eastAsiaTheme="majorEastAsia" w:hAnsiTheme="majorHAnsi"/>
      <w:b/>
      <w:bCs/>
      <w:color w:val="176C7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customStyle="1">
    <w:name w:val="Hyperlink"/>
    <w:rPr>
      <w:color w:val="176C70"/>
      <w:u w:val="single"/>
    </w:rPr>
  </w:style>
  <w:style w:type="character" w:styleId="ReqID" w:customStyle="1">
    <w:name w:val="Req ID"/>
    <w:qFormat/>
    <w:rPr>
      <w:b/>
      <w:color w:val="163A52"/>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52" w:before="0" w:after="100"/>
    </w:pPr>
    <w:rPr>
      <w:rFonts w:ascii="Carlito" w:hAnsi="Carlito"/>
      <w:color w:val="22323D"/>
      <w:sz w:val="21"/>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keepNext w:val="false"/>
      <w:widowControl/>
      <w:spacing w:lineRule="auto" w:line="240" w:before="0" w:after="140"/>
    </w:pPr>
    <w:rPr>
      <w:rFonts w:ascii="Carlito" w:hAnsi="Carlito"/>
      <w:b/>
      <w:bCs/>
      <w:color w:val="566875"/>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widowControl/>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63A52"/>
      <w:spacing w:val="5"/>
      <w:kern w:val="2"/>
      <w:sz w:val="68"/>
      <w:szCs w:val="52"/>
    </w:rPr>
  </w:style>
  <w:style w:type="paragraph" w:styleId="Subtitle">
    <w:name w:val="Subtitle"/>
    <w:basedOn w:val="Normal"/>
    <w:next w:val="Normal"/>
    <w:link w:val="SubtitleChar"/>
    <w:uiPriority w:val="11"/>
    <w:qFormat/>
    <w:rsid w:val="00fc693f"/>
    <w:pPr>
      <w:widowControl/>
    </w:pPr>
    <w:rPr>
      <w:rFonts w:ascii="Calibri" w:hAnsi="Calibri" w:eastAsia="" w:cs="" w:asciiTheme="majorHAnsi" w:cstheme="majorBidi" w:eastAsiaTheme="majorEastAsia" w:hAnsiTheme="majorHAnsi"/>
      <w:i/>
      <w:iCs/>
      <w:color w:val="176C70"/>
      <w:spacing w:val="15"/>
      <w:sz w:val="30"/>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basedOn w:val="Normal"/>
    <w:qFormat/>
    <w:pPr>
      <w:spacing w:lineRule="auto" w:line="240" w:before="0" w:after="60"/>
    </w:pPr>
    <w:rPr>
      <w:rFonts w:ascii="Carlito" w:hAnsi="Carlito"/>
      <w:color w:val="566875"/>
      <w:sz w:val="17"/>
    </w:rPr>
  </w:style>
  <w:style w:type="paragraph" w:styleId="Requirement" w:customStyle="1">
    <w:name w:val="Requirement"/>
    <w:basedOn w:val="Normal"/>
    <w:qFormat/>
    <w:pPr>
      <w:spacing w:lineRule="auto" w:line="240" w:before="0" w:after="60"/>
    </w:pPr>
    <w:rPr>
      <w:rFonts w:ascii="Carlito" w:hAnsi="Carlito"/>
      <w:color w:val="22323D"/>
      <w:sz w:val="20"/>
    </w:rPr>
  </w:style>
  <w:style w:type="paragraph" w:styleId="ReqMeta" w:customStyle="1">
    <w:name w:val="Req Meta"/>
    <w:basedOn w:val="Normal"/>
    <w:qFormat/>
    <w:pPr>
      <w:spacing w:lineRule="auto" w:line="240" w:before="0" w:after="120"/>
    </w:pPr>
    <w:rPr>
      <w:rFonts w:ascii="Carlito" w:hAnsi="Carlito"/>
      <w:color w:val="566875"/>
      <w:sz w:val="16"/>
    </w:rPr>
  </w:style>
  <w:style w:type="paragraph" w:styleId="TableText" w:customStyle="1">
    <w:name w:val="Table Text"/>
    <w:basedOn w:val="Normal"/>
    <w:qFormat/>
    <w:pPr>
      <w:spacing w:lineRule="auto" w:line="240" w:before="0" w:after="60"/>
    </w:pPr>
    <w:rPr>
      <w:rFonts w:ascii="Carlito" w:hAnsi="Carlito"/>
      <w:color w:val="22323D"/>
      <w:sz w:val="18"/>
    </w:rPr>
  </w:style>
  <w:style w:type="paragraph" w:styleId="TableHead" w:customStyle="1">
    <w:name w:val="Table Head"/>
    <w:basedOn w:val="Normal"/>
    <w:qFormat/>
    <w:pPr>
      <w:keepNext w:val="true"/>
      <w:spacing w:lineRule="auto" w:line="240" w:before="0" w:after="60"/>
    </w:pPr>
    <w:rPr>
      <w:rFonts w:ascii="Carlito" w:hAnsi="Carlito"/>
      <w:b/>
      <w:color w:val="FFFFFF"/>
      <w:sz w:val="18"/>
    </w:rPr>
  </w:style>
  <w:style w:type="paragraph" w:styleId="CodeBlock" w:customStyle="1">
    <w:name w:val="Code Block"/>
    <w:basedOn w:val="Normal"/>
    <w:qFormat/>
    <w:pPr>
      <w:shd w:fill="F2F5F7"/>
      <w:spacing w:lineRule="auto" w:line="240" w:before="0" w:after="100"/>
      <w:ind w:start="173" w:end="144"/>
    </w:pPr>
    <w:rPr>
      <w:rFonts w:ascii="DejaVu Sans Mono" w:hAnsi="DejaVu Sans Mono"/>
      <w:color w:val="22323D"/>
      <w:sz w:val="17"/>
    </w:rPr>
  </w:style>
  <w:style w:type="paragraph" w:styleId="FrontHeading" w:customStyle="1">
    <w:name w:val="Front Heading"/>
    <w:basedOn w:val="Normal"/>
    <w:qFormat/>
    <w:pPr>
      <w:keepNext w:val="true"/>
      <w:spacing w:lineRule="auto" w:line="240" w:before="0" w:after="140"/>
    </w:pPr>
    <w:rPr>
      <w:rFonts w:ascii="Carlito" w:hAnsi="Carlito"/>
      <w:b/>
      <w:color w:val="163A52"/>
      <w:sz w:val="34"/>
    </w:rPr>
  </w:style>
  <w:style w:type="paragraph" w:styleId="TestTitle" w:customStyle="1">
    <w:name w:val="Test Title"/>
    <w:basedOn w:val="Normal"/>
    <w:qFormat/>
    <w:pPr>
      <w:keepNext w:val="true"/>
      <w:spacing w:lineRule="auto" w:line="240" w:before="0" w:after="100"/>
    </w:pPr>
    <w:rPr>
      <w:rFonts w:ascii="Carlito" w:hAnsi="Carlito"/>
      <w:b/>
      <w:color w:val="176C70"/>
      <w:sz w:val="22"/>
    </w:rPr>
  </w:style>
  <w:style w:type="paragraph" w:styleId="TestBody" w:customStyle="1">
    <w:name w:val="Test Body"/>
    <w:basedOn w:val="Normal"/>
    <w:qFormat/>
    <w:pPr>
      <w:spacing w:lineRule="auto" w:line="240" w:before="0" w:after="60"/>
    </w:pPr>
    <w:rPr>
      <w:rFonts w:ascii="Carlito" w:hAnsi="Carlito"/>
      <w:color w:val="22323D"/>
      <w:sz w:val="19"/>
    </w:rPr>
  </w:style>
  <w:style w:type="paragraph" w:styleId="IndexText" w:customStyle="1">
    <w:name w:val="Index Text"/>
    <w:basedOn w:val="Normal"/>
    <w:qFormat/>
    <w:pPr>
      <w:spacing w:lineRule="auto" w:line="240" w:before="0" w:after="60"/>
    </w:pPr>
    <w:rPr>
      <w:rFonts w:ascii="Carlito" w:hAnsi="Carlito"/>
      <w:color w:val="22323D"/>
      <w:sz w:val="17"/>
    </w:rPr>
  </w:style>
  <w:style w:type="paragraph" w:styleId="TOC1" w:customStyle="1">
    <w:name w:val="toc 1"/>
    <w:pPr>
      <w:widowControl/>
      <w:suppressAutoHyphens w:val="true"/>
      <w:bidi w:val="0"/>
      <w:spacing w:lineRule="auto" w:line="276" w:before="0" w:after="20"/>
      <w:ind w:start="0"/>
      <w:jc w:val="start"/>
    </w:pPr>
    <w:rPr>
      <w:rFonts w:ascii="Carlito" w:hAnsi="Carlito" w:eastAsia="" w:cs="" w:cstheme="minorBidi" w:eastAsiaTheme="minorEastAsia"/>
      <w:b/>
      <w:color w:val="auto"/>
      <w:kern w:val="0"/>
      <w:sz w:val="20"/>
      <w:szCs w:val="22"/>
      <w:lang w:val="en-US" w:eastAsia="en-US" w:bidi="ar-SA"/>
    </w:rPr>
  </w:style>
  <w:style w:type="paragraph" w:styleId="TOC2" w:customStyle="1">
    <w:name w:val="toc 2"/>
    <w:pPr>
      <w:widowControl/>
      <w:suppressAutoHyphens w:val="true"/>
      <w:bidi w:val="0"/>
      <w:spacing w:lineRule="auto" w:line="276" w:before="0" w:after="20"/>
      <w:ind w:start="259"/>
      <w:jc w:val="start"/>
    </w:pPr>
    <w:rPr>
      <w:rFonts w:ascii="Carlito" w:hAnsi="Carlito" w:eastAsia="" w:cs="" w:cstheme="minorBidi" w:eastAsiaTheme="minorEastAsia"/>
      <w:b w:val="false"/>
      <w:color w:val="auto"/>
      <w:kern w:val="0"/>
      <w:sz w:val="19"/>
      <w:szCs w:val="22"/>
      <w:lang w:val="en-US" w:eastAsia="en-US" w:bidi="ar-SA"/>
    </w:rPr>
  </w:style>
  <w:style w:type="paragraph" w:styleId="TOC3" w:customStyle="1">
    <w:name w:val="toc 3"/>
    <w:pPr>
      <w:widowControl/>
      <w:suppressAutoHyphens w:val="true"/>
      <w:bidi w:val="0"/>
      <w:spacing w:lineRule="auto" w:line="276" w:before="0" w:after="20"/>
      <w:ind w:start="518"/>
      <w:jc w:val="start"/>
    </w:pPr>
    <w:rPr>
      <w:rFonts w:ascii="Carlito" w:hAnsi="Carlito" w:eastAsia="" w:cs="" w:cstheme="minorBidi" w:eastAsiaTheme="minorEastAsia"/>
      <w:b w:val="false"/>
      <w:color w:val="auto"/>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cyber.gc.ca/en/guidance/baseline-security-requirements-network-security-zones-version-20-itsp80022" TargetMode="External"/><Relationship Id="rId8" Type="http://schemas.openxmlformats.org/officeDocument/2006/relationships/hyperlink" Target="https://www.cyber.gc.ca/en/guidance/cloud-network-security-zones-itsp80023" TargetMode="External"/><Relationship Id="rId9" Type="http://schemas.openxmlformats.org/officeDocument/2006/relationships/hyperlink" Target="https://www.cyber.gc.ca/en/guidance/cyber-centre-data-centre-virtualization-report-best-practices-data-centre-virtualization" TargetMode="External"/><Relationship Id="rId10" Type="http://schemas.openxmlformats.org/officeDocument/2006/relationships/hyperlink" Target="https://www.cyber.gc.ca/en/guidance/it-security-risk-management-lifecycle-approach-itsg-33" TargetMode="External"/><Relationship Id="rId11" Type="http://schemas.openxmlformats.org/officeDocument/2006/relationships/hyperlink" Target="https://www.cyber.gc.ca/en/guidance/cyber-security-privacy-risk-management/itsp10033/foreword-overview-introduction" TargetMode="External"/><Relationship Id="rId12" Type="http://schemas.openxmlformats.org/officeDocument/2006/relationships/hyperlink" Target="https://www.canada.ca/en/government/system/digital-government/digital-government-innovations/cloud-services/government-canada-security-control-profile-cloud-based-it-services.html" TargetMode="External"/><Relationship Id="rId13" Type="http://schemas.openxmlformats.org/officeDocument/2006/relationships/hyperlink" Target="https://www.canada.ca/en/government/system/digital-government/policies-standards/enterprise-it-service-common-configurations/system.html" TargetMode="External"/><Relationship Id="rId14" Type="http://schemas.openxmlformats.org/officeDocument/2006/relationships/hyperlink" Target="https://www.cyber.gc.ca/en/guidance/itsp50104-guidance-defence-depth-cloud-based-services" TargetMode="External"/><Relationship Id="rId15" Type="http://schemas.openxmlformats.org/officeDocument/2006/relationships/hyperlink" Target="https://www.cyber.gc.ca/en/guidance/guidance-cloud-service-cryptography-itsp50106" TargetMode="External"/><Relationship Id="rId16" Type="http://schemas.openxmlformats.org/officeDocument/2006/relationships/hyperlink" Target="https://www.cyber.gc.ca/en/guidance/cryptographic-algorithms-unclassified-protected-protected-b-information-itsp40111" TargetMode="External"/><Relationship Id="rId17" Type="http://schemas.openxmlformats.org/officeDocument/2006/relationships/hyperlink" Target="https://www.canada.ca/en/government/system/digital-government/online-security-privacy/cyber-security-guidance-policy/event-logging-guidance.html" TargetMode="External"/><Relationship Id="rId18" Type="http://schemas.openxmlformats.org/officeDocument/2006/relationships/hyperlink" Target="https://www.canada.ca/en/government/system/digital-government/online-security-privacy/cyber-security-guidance-policy/management-security-incidents/government-canada-cyber-security-event-management-plan.html" TargetMode="External"/><Relationship Id="rId19" Type="http://schemas.openxmlformats.org/officeDocument/2006/relationships/hyperlink" Target="https://developer.hashicorp.com/terraform/language/modules/develop/providers" TargetMode="External"/><Relationship Id="rId20" Type="http://schemas.openxmlformats.org/officeDocument/2006/relationships/hyperlink" Target="https://developer.hashicorp.com/terraform/language/files/dependency-lock" TargetMode="External"/><Relationship Id="rId21" Type="http://schemas.openxmlformats.org/officeDocument/2006/relationships/hyperlink" Target="https://developer.hashicorp.com/terraform/language/manage-sensitive-data/ephemeral" TargetMode="External"/><Relationship Id="rId22" Type="http://schemas.openxmlformats.org/officeDocument/2006/relationships/hyperlink" Target="https://developer.hashicorp.com/terraform/language/manage-sensitive-data/write-only" TargetMode="External"/><Relationship Id="rId23" Type="http://schemas.openxmlformats.org/officeDocument/2006/relationships/hyperlink" Target="https://github.com/nutanix/terraform-provider-nutanix" TargetMode="External"/><Relationship Id="rId24" Type="http://schemas.openxmlformats.org/officeDocument/2006/relationships/hyperlink" Target="https://github.com/vmware/terraform-provider-nsxt" TargetMode="External"/><Relationship Id="rId25" Type="http://schemas.openxmlformats.org/officeDocument/2006/relationships/hyperlink" Target="https://github.com/terraform-provider-openstack/terraform-provider-openstack" TargetMode="External"/><Relationship Id="rId26" Type="http://schemas.openxmlformats.org/officeDocument/2006/relationships/hyperlink" Target="https://www.rfc-editor.org/info/rfc8212/" TargetMode="External"/><Relationship Id="rId27" Type="http://schemas.openxmlformats.org/officeDocument/2006/relationships/hyperlink" Target="https://datatracker.ietf.org/doc/html/rfc7432" TargetMode="External"/><Relationship Id="rId28" Type="http://schemas.openxmlformats.org/officeDocument/2006/relationships/hyperlink" Target="https://datatracker.ietf.org/doc/html/rfc8365" TargetMode="External"/><Relationship Id="rId29" Type="http://schemas.openxmlformats.org/officeDocument/2006/relationships/hyperlink" Target="https://datatracker.ietf.org/doc/html/rfc8200" TargetMode="External"/><Relationship Id="rId30" Type="http://schemas.openxmlformats.org/officeDocument/2006/relationships/hyperlink" Target="https://datatracker.ietf.org/doc/html/rfc4890" TargetMode="External"/><Relationship Id="rId31" Type="http://schemas.openxmlformats.org/officeDocument/2006/relationships/hyperlink" Target="https://kubernetes.io/docs/concepts/security/multi-tenancy/" TargetMode="External"/><Relationship Id="rId32" Type="http://schemas.openxmlformats.org/officeDocument/2006/relationships/hyperlink" Target="https://kubernetes.io/docs/concepts/services-networking/network-policies/" TargetMode="External"/><Relationship Id="rId33" Type="http://schemas.openxmlformats.org/officeDocument/2006/relationships/hyperlink" Target="https://csrc.nist.gov/pubs/sp/800/88/r2/final" TargetMode="External"/><Relationship Id="rId34" Type="http://schemas.openxmlformats.org/officeDocument/2006/relationships/hyperlink" Target="https://www.canada.ca/en/government/system/digital-government/policies-standards/government-canada-enterprise-architecture-framework.html" TargetMode="External"/><Relationship Id="rId35" Type="http://schemas.openxmlformats.org/officeDocument/2006/relationships/hyperlink" Target="https://www.cyber.gc.ca/en/guidance/network-security-zoning-design-considerations-placement-services-within-zones-itsg-38" TargetMode="External"/><Relationship Id="rId36" Type="http://schemas.openxmlformats.org/officeDocument/2006/relationships/hyperlink" Target="https://json-schema.org/draft/2020-12" TargetMode="Externa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106</Pages>
  <Words>38474</Words>
  <Characters>264823</Characters>
  <CharactersWithSpaces>302297</CharactersWithSpaces>
  <Paragraphs>3380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Revised reference baseline; not an authorization or platform certification.</dc:description>
  <cp:keywords>portable hosting multi-tenancy WSD security zones Terraform assurance</cp:keywords>
  <dc:language>en-US</dc:language>
  <cp:lastModifiedBy/>
  <dcterms:modified xsi:type="dcterms:W3CDTF">2026-09-16T16:33:19Z</dcterms:modified>
  <cp:revision>3</cp:revision>
  <dc:subject>Complete reference architecture baseline, engineering requirements and assurance specifications</dc:subject>
  <dc:title>Portable Multi-Tenant Secure Hosting Handbook</dc:title>
</cp:coreProperties>
</file>

<file path=docProps/custom.xml><?xml version="1.0" encoding="utf-8"?>
<Properties xmlns="http://schemas.openxmlformats.org/officeDocument/2006/custom-properties" xmlns:vt="http://schemas.openxmlformats.org/officeDocument/2006/docPropsVTypes"/>
</file>