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Independent audit</w:t>
      </w:r>
    </w:p>
    <w:p>
      <w:pPr>
        <w:pStyle w:val="Title"/>
      </w:pPr>
      <w:r>
        <w:t>Portable Multi-Tenant</w:t>
        <w:br/>
        <w:t>Secure Hosting</w:t>
      </w:r>
    </w:p>
    <w:p>
      <w:pPr>
        <w:pStyle w:val="Subtitle"/>
      </w:pPr>
      <w:r>
        <w:t>Handbook v1.1 and companion package</w:t>
        <w:br/>
        <w:t>Architecture, contract consistency and completeness</w:t>
      </w:r>
    </w:p>
    <w:p>
      <w:pPr>
        <w:pStyle w:val="Heading1"/>
      </w:pPr>
      <w:r>
        <w:t>Executive determination</w:t>
      </w:r>
    </w:p>
    <w:p>
      <w:r>
        <w:t>The revised handbook has materially stronger and broader architecture coverage. Its central Tenant / WSD / Security Domain / ZIP model should be preserved. The remaining high-priority work is to make the prose, closed schemas, examples, validation rules and qualification evidence agree. Adding more pages alone will not close these gaps.</w:t>
      </w:r>
    </w:p>
    <w:p>
      <w:r>
        <w:t>The supplied 50-check suite reproduces successfully. Independent mutation checks nevertheless reveal inconsistencies the suite does not evaluate, including tenant-reference scope, IPv6-only realization, DNS protocol coverage, incomplete readiness evidence and contradictory relationship graphs. These are findings against a reference document/package, not demonstrated vulnerabilities in a deployed platform.</w:t>
      </w:r>
    </w:p>
    <w:tbl>
      <w:tblPr>
        <w:tblStyle w:val="LightShading-Accent1"/>
        <w:tblW w:type="auto" w:w="0"/>
        <w:jc w:val="center"/>
        <w:tblLayout w:type="fixed"/>
        <w:tblLook w:firstColumn="1" w:firstRow="1" w:lastColumn="0" w:lastRow="0" w:noHBand="0" w:noVBand="1" w:val="04A0"/>
      </w:tblPr>
      <w:tblGrid>
        <w:gridCol w:w="5083"/>
        <w:gridCol w:w="5083"/>
      </w:tblGrid>
      <w:tr>
        <w:trPr>
          <w:tblHeader/>
          <w:cantSplit/>
        </w:trPr>
        <w:tc>
          <w:tcPr>
            <w:tcW w:type="dxa" w:w="2304"/>
          </w:tcPr>
          <w:p>
            <w:pPr>
              <w:spacing w:after="60" w:before="60"/>
            </w:pPr>
            <w:r>
              <w:rPr>
                <w:sz w:val="18"/>
              </w:rPr>
              <w:t>Audit area</w:t>
            </w:r>
          </w:p>
        </w:tc>
        <w:tc>
          <w:tcPr>
            <w:tcW w:type="dxa" w:w="7560"/>
          </w:tcPr>
          <w:p>
            <w:pPr>
              <w:spacing w:after="60" w:before="60"/>
            </w:pPr>
            <w:r>
              <w:rPr>
                <w:sz w:val="18"/>
              </w:rPr>
              <w:t>Observed result</w:t>
            </w:r>
          </w:p>
        </w:tc>
      </w:tr>
      <w:tr>
        <w:trPr>
          <w:cantSplit/>
        </w:trPr>
        <w:tc>
          <w:tcPr>
            <w:tcW w:type="dxa" w:w="2304"/>
            <w:vAlign w:val="center"/>
          </w:tcPr>
          <w:p>
            <w:pPr>
              <w:spacing w:after="60" w:before="60"/>
            </w:pPr>
            <w:r>
              <w:rPr>
                <w:sz w:val="18"/>
              </w:rPr>
              <w:t>Content coverage</w:t>
            </w:r>
          </w:p>
        </w:tc>
        <w:tc>
          <w:tcPr>
            <w:tcW w:type="dxa" w:w="7560"/>
            <w:vAlign w:val="center"/>
          </w:tcPr>
          <w:p>
            <w:pPr>
              <w:spacing w:after="60" w:before="60"/>
            </w:pPr>
            <w:r>
              <w:rPr>
                <w:sz w:val="18"/>
              </w:rPr>
              <w:t>105 pages; 62 chapters reviewed; 194 requirement texts present; all 99 original requirement IDs accounted for.</w:t>
            </w:r>
          </w:p>
        </w:tc>
      </w:tr>
      <w:tr>
        <w:trPr>
          <w:cantSplit/>
        </w:trPr>
        <w:tc>
          <w:tcPr>
            <w:tcW w:type="dxa" w:w="2304"/>
            <w:vAlign w:val="center"/>
          </w:tcPr>
          <w:p>
            <w:pPr>
              <w:spacing w:after="60" w:before="60"/>
            </w:pPr>
            <w:r>
              <w:rPr>
                <w:sz w:val="18"/>
              </w:rPr>
              <w:t>Integrity and baseline tests</w:t>
            </w:r>
          </w:p>
        </w:tc>
        <w:tc>
          <w:tcPr>
            <w:tcW w:type="dxa" w:w="7560"/>
            <w:vAlign w:val="center"/>
          </w:tcPr>
          <w:p>
            <w:pPr>
              <w:spacing w:after="60" w:before="60"/>
            </w:pPr>
            <w:r>
              <w:rPr>
                <w:sz w:val="18"/>
              </w:rPr>
              <w:t>39 listed package hashes match; supplied offline suite independently rerun: 50 passed, 0 failed.</w:t>
            </w:r>
          </w:p>
        </w:tc>
      </w:tr>
      <w:tr>
        <w:trPr>
          <w:cantSplit/>
        </w:trPr>
        <w:tc>
          <w:tcPr>
            <w:tcW w:type="dxa" w:w="2304"/>
            <w:vAlign w:val="center"/>
          </w:tcPr>
          <w:p>
            <w:pPr>
              <w:spacing w:after="60" w:before="60"/>
            </w:pPr>
            <w:r>
              <w:rPr>
                <w:sz w:val="18"/>
              </w:rPr>
              <w:t>Additional scrutiny</w:t>
            </w:r>
          </w:p>
        </w:tc>
        <w:tc>
          <w:tcPr>
            <w:tcW w:type="dxa" w:w="7560"/>
            <w:vAlign w:val="center"/>
          </w:tcPr>
          <w:p>
            <w:pPr>
              <w:spacing w:after="60" w:before="60"/>
            </w:pPr>
            <w:r>
              <w:rPr>
                <w:sz w:val="18"/>
              </w:rPr>
              <w:t>25 independent local probes recorded, with negative controls, reproduction steps and explicit scope limitations.</w:t>
            </w:r>
          </w:p>
        </w:tc>
      </w:tr>
      <w:tr>
        <w:trPr>
          <w:cantSplit/>
        </w:trPr>
        <w:tc>
          <w:tcPr>
            <w:tcW w:type="dxa" w:w="2304"/>
            <w:vAlign w:val="center"/>
          </w:tcPr>
          <w:p>
            <w:pPr>
              <w:spacing w:after="60" w:before="60"/>
            </w:pPr>
            <w:r>
              <w:rPr>
                <w:sz w:val="18"/>
              </w:rPr>
              <w:t>Findings</w:t>
            </w:r>
          </w:p>
        </w:tc>
        <w:tc>
          <w:tcPr>
            <w:tcW w:type="dxa" w:w="7560"/>
            <w:vAlign w:val="center"/>
          </w:tcPr>
          <w:p>
            <w:pPr>
              <w:spacing w:after="60" w:before="60"/>
            </w:pPr>
            <w:r>
              <w:rPr>
                <w:sz w:val="18"/>
              </w:rPr>
              <w:t>24 findings: 12 High, 11 Medium, 1 Low. Priority is remediation urgency for this reference baseline, not a CVSS score.</w:t>
            </w:r>
          </w:p>
        </w:tc>
      </w:tr>
      <w:tr>
        <w:trPr>
          <w:cantSplit/>
        </w:trPr>
        <w:tc>
          <w:tcPr>
            <w:tcW w:type="dxa" w:w="2304"/>
            <w:vAlign w:val="center"/>
          </w:tcPr>
          <w:p>
            <w:pPr>
              <w:spacing w:after="60" w:before="60"/>
            </w:pPr>
            <w:r>
              <w:rPr>
                <w:sz w:val="18"/>
              </w:rPr>
              <w:t>Implementation status</w:t>
            </w:r>
          </w:p>
        </w:tc>
        <w:tc>
          <w:tcPr>
            <w:tcW w:type="dxa" w:w="7560"/>
            <w:vAlign w:val="center"/>
          </w:tcPr>
          <w:p>
            <w:pPr>
              <w:spacing w:after="60" w:before="60"/>
            </w:pPr>
            <w:r>
              <w:rPr>
                <w:sz w:val="18"/>
              </w:rPr>
              <w:t>No live platform, provider API, Terraform deployment, or authorization process was exercised.</w:t>
            </w:r>
          </w:p>
        </w:tc>
      </w:tr>
    </w:tbl>
    <w:p>
      <w:pPr>
        <w:pStyle w:val="Heading2"/>
      </w:pPr>
      <w:r>
        <w:t>Recommended release treatment</w:t>
      </w:r>
    </w:p>
    <w:p>
      <w:r>
        <w:t>Retain Draft v1.1 as the reviewed reference baseline. Resolve the contract-consistency findings in a focused next revision. Keep separate status for document quality, executable contract conformance, platform qualification and formal security authorization. This audit does not alter the original handbook or companion package.</w:t>
      </w:r>
    </w:p>
    <w:p>
      <w:r>
        <w:br w:type="page"/>
      </w:r>
    </w:p>
    <w:p>
      <w:pPr>
        <w:pStyle w:val="Heading1"/>
      </w:pPr>
      <w:r>
        <w:t>Scope, method and confirmed improvements</w:t>
      </w:r>
    </w:p>
    <w:p>
      <w:r>
        <w:t>The complete 105-page v1.1 text was read, including all 62 chapters and 10 appendices. The original v1.0 requirement IDs were checked against the original DOCX, not just the migration register. Companion schemas, example objects, catalogues, validator implementation and release reports were inspected. All-page contact sheets and detailed page images of all five architecture figures were reviewed; this is not a claim of full-size visual inspection of every original page.</w:t>
      </w:r>
    </w:p>
    <w:p>
      <w:r>
        <w:t>Programmatic checks found every one of the 194 requirement texts in the DOCX, no missing original requirement IDs, unique Word bookmarks and no dangling internal hyperlinks. The PDF has a structure tree and outline. A fresh automated DOCX accessibility scan returned zero findings; screen-reader, keyboard-navigation and formal accessibility conformance testing were not performed.</w:t>
      </w:r>
    </w:p>
    <w:p>
      <w:pPr>
        <w:pStyle w:val="Heading2"/>
      </w:pPr>
      <w:r>
        <w:t>Preserve these improvements</w:t>
      </w:r>
    </w:p>
    <w:p>
      <w:r>
        <w:t>Internal zones are separated from public and partner external domains; logical domains are separated from site/platform instances; MZ semantics are distinguished from OOB transport. Compute, storage, IAM, cryptography, images, backup, recovery, capacity and service responsibility are now covered. The fabric-stability rule is properly scoped to precommissioned overlays, and distributed ZIPs require functional qualification rather than an appliance-only assumption. Local parameter proposals and platform candidates are not presented as government mandates or live certifications.</w:t>
      </w:r>
    </w:p>
    <w:p>
      <w:pPr>
        <w:pStyle w:val="Heading2"/>
      </w:pPr>
      <w:r>
        <w:t>How to interpret the evidence</w:t>
      </w:r>
    </w:p>
    <w:p>
      <w:r>
        <w:t>The mutation report records observations, not a security score. Three probes are controls or matching expectations; 22 differ from the audit expectation. Several are two forms of the same defect, and proposed-field probes demonstrate absent contracts rather than asserting that a particular field name is mandatory. No count of mismatches should be reported as 22 exploitable vulnerabilities. The README correctly limits the original validator to selected semantics.</w:t>
      </w:r>
    </w:p>
    <w:p>
      <w:pPr>
        <w:pStyle w:val="Heading2"/>
      </w:pPr>
      <w:r>
        <w:t>Completion gates for the next reference release</w:t>
      </w:r>
    </w:p>
    <w:p>
      <w:r>
        <w:rPr>
          <w:b/>
        </w:rPr>
        <w:t xml:space="preserve">Contract gate. </w:t>
      </w:r>
      <w:r>
        <w:t>Every supported intent is representable through request, normalized plan and realized state; namespace, graph, protocol and profile invariants are defined and tested.</w:t>
      </w:r>
    </w:p>
    <w:p>
      <w:r>
        <w:rPr>
          <w:b/>
        </w:rPr>
        <w:t xml:space="preserve">Evidence gate. </w:t>
      </w:r>
      <w:r>
        <w:t>Required tests and controls resolve uniquely; missing, stale, inapplicable or unapproved evidence cannot imply readiness; qualification and authorization remain distinct.</w:t>
      </w:r>
    </w:p>
    <w:p>
      <w:r>
        <w:rPr>
          <w:b/>
        </w:rPr>
        <w:t xml:space="preserve">Parity gate. </w:t>
      </w:r>
      <w:r>
        <w:t>Prose tables, schemas, examples, catalogues and release reports derive from consistent versioned sources, including all control-family mappings.</w:t>
      </w:r>
    </w:p>
    <w:p>
      <w:r>
        <w:rPr>
          <w:b/>
        </w:rPr>
        <w:t xml:space="preserve">Implementation handoff gate. </w:t>
      </w:r>
      <w:r>
        <w:t>One complete vertical slice and stage-specific qualification rules connect service intent, capacity, platform realization, recovery and retirement without hidden contract steps.</w:t>
      </w:r>
    </w:p>
    <w:p>
      <w:pPr>
        <w:pStyle w:val="Metadata"/>
      </w:pPr>
      <w:r>
        <w:t>Detailed findings follow. Each includes location, observation, impact, correction, closure test and suggested accountable owner. The evidence package also includes a disposition for every chapter.</w:t>
      </w:r>
    </w:p>
    <w:p>
      <w:r>
        <w:br w:type="page"/>
      </w:r>
    </w:p>
    <w:p>
      <w:pPr>
        <w:pStyle w:val="Heading2"/>
      </w:pPr>
      <w:r>
        <w:t>F01  |  Reference identity does not preserve tenant namespace</w:t>
      </w:r>
    </w:p>
    <w:p>
      <w:pPr>
        <w:pStyle w:val="Metadata"/>
      </w:pPr>
      <w:r>
        <w:t>High priority • Confirmed contract ambiguity and reproduced validation gap</w:t>
        <w:br/>
        <w:t>Location: Chapters 6-9 and 39; Appendix A pp57-61; validate_package.py key() and walk_refs()</w:t>
      </w:r>
    </w:p>
    <w:p>
      <w:r>
        <w:rPr>
          <w:b/>
        </w:rPr>
        <w:t xml:space="preserve">Observed. </w:t>
      </w:r>
      <w:r>
        <w:t>Typed references contain kind, name and version but no namespace or immutable object identity. The validator indexes the same three fields. Moving a referenced FlowIntent or ServiceBinding into tenant-002 leaves the tenant-001 bundle accepted. Conversely, equal local names in different namespaces are treated as duplicate identities.</w:t>
      </w:r>
    </w:p>
    <w:p>
      <w:r>
        <w:rPr>
          <w:b/>
        </w:rPr>
        <w:t xml:space="preserve">Why it matters. </w:t>
      </w:r>
      <w:r>
        <w:t>Administrative namespaces are described as isolation boundaries, but reference resolution cannot unambiguously distinguish local names or enforce every relationship across those boundaries.</w:t>
      </w:r>
    </w:p>
    <w:p>
      <w:r>
        <w:rPr>
          <w:b/>
        </w:rPr>
        <w:t xml:space="preserve">Improve. </w:t>
      </w:r>
      <w:r>
        <w:t>Define reference scope explicitly. Use namespace plus stable UID, and distinguish immutable profile version from resource generation. Validate all ownership edges and authorize provider-shared or cross-tenant references explicitly. A globally unique naming alternative must be declared, not inferred.</w:t>
      </w:r>
    </w:p>
    <w:p>
      <w:r>
        <w:rPr>
          <w:b/>
        </w:rPr>
        <w:t xml:space="preserve">Close when. </w:t>
      </w:r>
      <w:r>
        <w:t>Two tenants can reuse local names without collisions; foreign flows, bindings and objects are denied unless an explicit scoped grant permits them.</w:t>
      </w:r>
    </w:p>
    <w:p>
      <w:pPr>
        <w:pStyle w:val="Metadata"/>
      </w:pPr>
      <w:r>
        <w:t>Owner: Architecture and automation  |  Local probes: M07, M08, M09</w:t>
      </w:r>
    </w:p>
    <w:p>
      <w:pPr>
        <w:pStyle w:val="Heading2"/>
      </w:pPr>
      <w:r>
        <w:t>F02  |  Cross-object consistency checks do not cover the complete graph</w:t>
      </w:r>
    </w:p>
    <w:p>
      <w:pPr>
        <w:pStyle w:val="Metadata"/>
      </w:pPr>
      <w:r>
        <w:t>High priority • Reproduced selected-semantic gaps</w:t>
        <w:br/>
        <w:t>Location: Chapters 11, 17-20 and 40; validate_bundle()</w:t>
      </w:r>
    </w:p>
    <w:p>
      <w:r>
        <w:rPr>
          <w:b/>
        </w:rPr>
        <w:t xml:space="preserve">Observed. </w:t>
      </w:r>
      <w:r>
        <w:t>The supplied validator accepts removal of a mandatory service binding, a public Exposure naming an external domain different from its ZIP endpoint, and an EdgeAttachment whose instance is not on its declared boundary. Referenced objects exist, but the relationships disagree.</w:t>
      </w:r>
    </w:p>
    <w:p>
      <w:r>
        <w:rPr>
          <w:b/>
        </w:rPr>
        <w:t xml:space="preserve">Why it matters. </w:t>
      </w:r>
      <w:r>
        <w:t>Existence checks alone can label an internally contradictory intended topology consistent. Native adapters would have to invent missing interpretations.</w:t>
      </w:r>
    </w:p>
    <w:p>
      <w:r>
        <w:rPr>
          <w:b/>
        </w:rPr>
        <w:t xml:space="preserve">Improve. </w:t>
      </w:r>
      <w:r>
        <w:t>Add graph invariants for WSD-to-flow ownership, required bindings, instance/domain membership, edge-to-ZIP endpoint matching, exposure-to-external-domain matching and shared-resource deletion. Declare which component evaluates each invariant.</w:t>
      </w:r>
    </w:p>
    <w:p>
      <w:r>
        <w:rPr>
          <w:b/>
        </w:rPr>
        <w:t xml:space="preserve">Close when. </w:t>
      </w:r>
      <w:r>
        <w:t>Each inconsistent graph is rejected before reservations or provider actions; a valid cross-zone graph still passes.</w:t>
      </w:r>
    </w:p>
    <w:p>
      <w:pPr>
        <w:pStyle w:val="Metadata"/>
      </w:pPr>
      <w:r>
        <w:t>Owner: Automation and network/security engineering  |  Local probes: M18, M22, M23</w:t>
      </w:r>
    </w:p>
    <w:p>
      <w:r>
        <w:br w:type="page"/>
      </w:r>
    </w:p>
    <w:p>
      <w:pPr>
        <w:pStyle w:val="Heading2"/>
      </w:pPr>
      <w:r>
        <w:t>F03  |  IPv6-only is offered but cannot be represented end to end</w:t>
      </w:r>
    </w:p>
    <w:p>
      <w:pPr>
        <w:pStyle w:val="Metadata"/>
      </w:pPr>
      <w:r>
        <w:t>High priority • Confirmed prose/schema contradiction</w:t>
        <w:br/>
        <w:t>Location: Chapter 16 p16; Appendix A; WorkloadSecurityDomain and Network schemas</w:t>
      </w:r>
    </w:p>
    <w:p>
      <w:r>
        <w:rPr>
          <w:b/>
        </w:rPr>
        <w:t xml:space="preserve">Observed. </w:t>
      </w:r>
      <w:r>
        <w:t>The request model accepts ipv6Mode=ipv6-only but still requires ipv4PrefixSize. The realized Network requires a non-null IPv4 prefix. Omitting that prefix or making it null is rejected.</w:t>
      </w:r>
    </w:p>
    <w:p>
      <w:r>
        <w:rPr>
          <w:b/>
        </w:rPr>
        <w:t xml:space="preserve">Why it matters. </w:t>
      </w:r>
      <w:r>
        <w:t>A genuine IPv6-only deployment needs an invented IPv4 allocation or cannot be represented, contradicting the advertised service mode.</w:t>
      </w:r>
    </w:p>
    <w:p>
      <w:r>
        <w:rPr>
          <w:b/>
        </w:rPr>
        <w:t xml:space="preserve">Improve. </w:t>
      </w:r>
      <w:r>
        <w:t>Use a single address-family mode in intent and realization, with conditional required/forbidden IPv4 and IPv6 allocation fields. Do not hide a fake IPv4 address inside an IPv6-only profile.</w:t>
      </w:r>
    </w:p>
    <w:p>
      <w:r>
        <w:rPr>
          <w:b/>
        </w:rPr>
        <w:t xml:space="preserve">Close when. </w:t>
      </w:r>
      <w:r>
        <w:t>Round-trip valid IPv4-only, IPv6-only and dual-stack request/normalized/realized examples. Reject missing required families and unwanted allocations.</w:t>
      </w:r>
    </w:p>
    <w:p>
      <w:pPr>
        <w:pStyle w:val="Metadata"/>
      </w:pPr>
      <w:r>
        <w:t>Owner: Network and contract engineering  |  Local probes: M10, M11, M12</w:t>
      </w:r>
    </w:p>
    <w:p>
      <w:pPr>
        <w:pStyle w:val="Heading2"/>
      </w:pPr>
      <w:r>
        <w:t>F04  |  Reference DNS service is UDP-only</w:t>
      </w:r>
    </w:p>
    <w:p>
      <w:pPr>
        <w:pStyle w:val="Metadata"/>
      </w:pPr>
      <w:r>
        <w:t>High priority • Confirmed example defect, externally verified protocol requirement</w:t>
        <w:br/>
        <w:t>Location: Chapter 17 p17; examples/reference-bundle.json: dns-flow-reference and dns-reference</w:t>
      </w:r>
    </w:p>
    <w:p>
      <w:r>
        <w:rPr>
          <w:b/>
        </w:rPr>
        <w:t xml:space="preserve">Observed. </w:t>
      </w:r>
      <w:r>
        <w:t>The reference DNS FlowProfile permits UDP port 53 only. ServiceProfile points to one FlowProfile. The example therefore does not describe TCP DNS or a multi-flow service bundle.</w:t>
      </w:r>
    </w:p>
    <w:p>
      <w:r>
        <w:rPr>
          <w:b/>
        </w:rPr>
        <w:t xml:space="preserve">Why it matters. </w:t>
      </w:r>
      <w:r>
        <w:t>RFC 7766 requires TCP support for general-purpose DNS implementations and warns that blocking it can cause resolution failures. A basic successful lookup is an inadequate DNS acceptance test. [W03]</w:t>
      </w:r>
    </w:p>
    <w:p>
      <w:r>
        <w:rPr>
          <w:b/>
        </w:rPr>
        <w:t xml:space="preserve">Improve. </w:t>
      </w:r>
      <w:r>
        <w:t>Model a service as an explicit set of required protocol flows. The ordinary resolver profile should include appropriate UDP and TCP DNS, while encrypted DNS variants remain separately authorized profiles.</w:t>
      </w:r>
    </w:p>
    <w:p>
      <w:r>
        <w:rPr>
          <w:b/>
        </w:rPr>
        <w:t xml:space="preserve">Close when. </w:t>
      </w:r>
      <w:r>
        <w:t>Exercise UDP resolution, TCP resolution, a truncated UDP response requiring TCP retry, and unauthorized resolver denial in both offered address families.</w:t>
      </w:r>
    </w:p>
    <w:p>
      <w:pPr>
        <w:pStyle w:val="Metadata"/>
      </w:pPr>
      <w:r>
        <w:t>Owner: Shared-service and network engineering</w:t>
      </w:r>
    </w:p>
    <w:p>
      <w:r>
        <w:br w:type="page"/>
      </w:r>
    </w:p>
    <w:p>
      <w:pPr>
        <w:pStyle w:val="Heading2"/>
      </w:pPr>
      <w:r>
        <w:t>F05  |  FlowProfile protocol semantics remain incomplete</w:t>
      </w:r>
    </w:p>
    <w:p>
      <w:pPr>
        <w:pStyle w:val="Metadata"/>
      </w:pPr>
      <w:r>
        <w:t>Medium priority • Confirmed underspecification</w:t>
        <w:br/>
        <w:t>Location: Chapter 40 pp35-36; Appendix A p59; FlowProfile schema</w:t>
      </w:r>
    </w:p>
    <w:p>
      <w:r>
        <w:rPr>
          <w:b/>
        </w:rPr>
        <w:t xml:space="preserve">Observed. </w:t>
      </w:r>
      <w:r>
        <w:t>TCP with an empty ports array is accepted without defining whether that means no ports or all ports. protocol=other is accepted without a protocol identifier. There are no structured ICMP type/code fields or a multi-flow service composition contract.</w:t>
      </w:r>
    </w:p>
    <w:p>
      <w:r>
        <w:rPr>
          <w:b/>
        </w:rPr>
        <w:t xml:space="preserve">Why it matters. </w:t>
      </w:r>
      <w:r>
        <w:t>Different adapters could produce different permissions from the same syntactically valid intent.</w:t>
      </w:r>
    </w:p>
    <w:p>
      <w:r>
        <w:rPr>
          <w:b/>
        </w:rPr>
        <w:t xml:space="preserve">Improve. </w:t>
      </w:r>
      <w:r>
        <w:t>Define discriminated protocol variants, explicit port/range semantics and ICMP type/code handling. Reject unsupported variants rather than silently translating them. Reference versioned application/L7 policy separately.</w:t>
      </w:r>
    </w:p>
    <w:p>
      <w:r>
        <w:rPr>
          <w:b/>
        </w:rPr>
        <w:t xml:space="preserve">Close when. </w:t>
      </w:r>
      <w:r>
        <w:t>The same protocol fixture yields equivalent effective policy on each adapter; ambiguous and unsupported variants fail admission.</w:t>
      </w:r>
    </w:p>
    <w:p>
      <w:pPr>
        <w:pStyle w:val="Metadata"/>
      </w:pPr>
      <w:r>
        <w:t>Owner: Contract and security engineering  |  Local probes: M19, M20</w:t>
      </w:r>
    </w:p>
    <w:p>
      <w:pPr>
        <w:pStyle w:val="Heading2"/>
      </w:pPr>
      <w:r>
        <w:t>F06  |  Security-sensitive profile approval is not a consistent contract</w:t>
      </w:r>
    </w:p>
    <w:p>
      <w:pPr>
        <w:pStyle w:val="Metadata"/>
      </w:pPr>
      <w:r>
        <w:t>High priority • Confirmed schema coverage and semantic gaps</w:t>
        <w:br/>
        <w:t>Location: Chapters 4, 25 and 47; Appendix A pp57-60; profile schemas</w:t>
      </w:r>
    </w:p>
    <w:p>
      <w:r>
        <w:rPr>
          <w:b/>
        </w:rPr>
        <w:t xml:space="preserve">Observed. </w:t>
      </w:r>
      <w:r>
        <w:t>Approval fields exist on only some profile types. A Dedicated AssuranceProfile with Approved state and every isolation dimension shared-qualified is accepted. Other profiles use free-text policies without a common approval, applicability, validity or supersession envelope.</w:t>
      </w:r>
    </w:p>
    <w:p>
      <w:r>
        <w:rPr>
          <w:b/>
        </w:rPr>
        <w:t xml:space="preserve">Why it matters. </w:t>
      </w:r>
      <w:r>
        <w:t>A profile name or approval string can be mistaken for an accountable, current security decision; local profile semantics are not consistently checkable.</w:t>
      </w:r>
    </w:p>
    <w:p>
      <w:r>
        <w:rPr>
          <w:b/>
        </w:rPr>
        <w:t xml:space="preserve">Improve. </w:t>
      </w:r>
      <w:r>
        <w:t>Adopt a common governance envelope or a typed approval-record reference. Bind issuer authority, object digest/version, validity, scope and revocation. Define the minimum guarantees for each named assurance level without equating dedication with all hardware being exclusive.</w:t>
      </w:r>
    </w:p>
    <w:p>
      <w:r>
        <w:rPr>
          <w:b/>
        </w:rPr>
        <w:t xml:space="preserve">Close when. </w:t>
      </w:r>
      <w:r>
        <w:t>Reject contradictory assurance vectors, expired or absent mandatory approvals, and approval records for a different profile generation.</w:t>
      </w:r>
    </w:p>
    <w:p>
      <w:pPr>
        <w:pStyle w:val="Metadata"/>
      </w:pPr>
      <w:r>
        <w:t>Owner: Security authority and contract engineering  |  Local probes: M06</w:t>
      </w:r>
    </w:p>
    <w:p>
      <w:r>
        <w:br w:type="page"/>
      </w:r>
    </w:p>
    <w:p>
      <w:pPr>
        <w:pStyle w:val="Heading2"/>
      </w:pPr>
      <w:r>
        <w:t>F07  |  Qualification lifecycle differs between prose and schema</w:t>
      </w:r>
    </w:p>
    <w:p>
      <w:pPr>
        <w:pStyle w:val="Metadata"/>
      </w:pPr>
      <w:r>
        <w:t>Medium priority • Confirmed internal inconsistency</w:t>
        <w:br/>
        <w:t>Location: Chapter 34 pp30-31; Appendix A p60; PlatformProfile</w:t>
      </w:r>
    </w:p>
    <w:p>
      <w:r>
        <w:rPr>
          <w:b/>
        </w:rPr>
        <w:t xml:space="preserve">Observed. </w:t>
      </w:r>
      <w:r>
        <w:t>The prose lifecycle includes Testing, Restricted, and Expired/Revoked. The machine-readable enumeration is Candidate, Qualified, Suspended, Retired. Testing and Revoked objects are rejected.</w:t>
      </w:r>
    </w:p>
    <w:p>
      <w:r>
        <w:rPr>
          <w:b/>
        </w:rPr>
        <w:t xml:space="preserve">Why it matters. </w:t>
      </w:r>
      <w:r>
        <w:t>Operators and automation cannot follow one authoritative state machine or agree how qualification expiry affects placement.</w:t>
      </w:r>
    </w:p>
    <w:p>
      <w:r>
        <w:rPr>
          <w:b/>
        </w:rPr>
        <w:t xml:space="preserve">Improve. </w:t>
      </w:r>
      <w:r>
        <w:t>Choose one lifecycle and generate the prose table, schema enums, API transitions and examples from it. Specify whether expiry is derived from time or an explicit state, and distinguish limited qualification from suspension.</w:t>
      </w:r>
    </w:p>
    <w:p>
      <w:r>
        <w:rPr>
          <w:b/>
        </w:rPr>
        <w:t xml:space="preserve">Close when. </w:t>
      </w:r>
      <w:r>
        <w:t>Every documented state and transition round-trips; expired qualification blocks new placement without deleting historical evidence.</w:t>
      </w:r>
    </w:p>
    <w:p>
      <w:pPr>
        <w:pStyle w:val="Metadata"/>
      </w:pPr>
      <w:r>
        <w:t>Owner: Platform qualification owner  |  Local probes: M13, M14</w:t>
      </w:r>
    </w:p>
    <w:p>
      <w:pPr>
        <w:pStyle w:val="Heading2"/>
      </w:pPr>
      <w:r>
        <w:t>F08  |  Qualification record cannot fully express QUAL-001</w:t>
      </w:r>
    </w:p>
    <w:p>
      <w:pPr>
        <w:pStyle w:val="Metadata"/>
      </w:pPr>
      <w:r>
        <w:t>High priority • Confirmed representation and validation gaps</w:t>
        <w:br/>
        <w:t>Location: Chapter 34 p31; PlatformProfile schema</w:t>
      </w:r>
    </w:p>
    <w:p>
      <w:r>
        <w:rPr>
          <w:b/>
        </w:rPr>
        <w:t xml:space="preserve">Observed. </w:t>
      </w:r>
      <w:r>
        <w:t>QUAL-001 calls for hardware, feature/license and tested-limit context. The closed PlatformProfile has no structured hardware or license/feature tuple, no tested assurance-profile set, and weakly typed numeric limits. A Qualified fixture with empty capabilities and one arbitrary zero-valued limit is accepted.</w:t>
      </w:r>
    </w:p>
    <w:p>
      <w:r>
        <w:rPr>
          <w:b/>
        </w:rPr>
        <w:t xml:space="preserve">Why it matters. </w:t>
      </w:r>
      <w:r>
        <w:t>The record cannot support deterministic eligibility for a particular service, topology, hardware stack or assurance profile without unspecified external interpretation.</w:t>
      </w:r>
    </w:p>
    <w:p>
      <w:r>
        <w:rPr>
          <w:b/>
        </w:rPr>
        <w:t xml:space="preserve">Improve. </w:t>
      </w:r>
      <w:r>
        <w:t>Define a versioned implementation manifest for product components, API/provider, hardware/firmware, enabled features/licenses, topology and qualified service profiles. Give limits names, units, conditions and evidence; qualifications need not support every feature.</w:t>
      </w:r>
    </w:p>
    <w:p>
      <w:r>
        <w:rPr>
          <w:b/>
        </w:rPr>
        <w:t xml:space="preserve">Close when. </w:t>
      </w:r>
      <w:r>
        <w:t>Placement proves the exact requested capabilities/profile under the recorded tuple and rejects missing mandatory tuple or limit evidence.</w:t>
      </w:r>
    </w:p>
    <w:p>
      <w:pPr>
        <w:pStyle w:val="Metadata"/>
      </w:pPr>
      <w:r>
        <w:t>Owner: Platform qualification and automation  |  Local probes: M15, M16</w:t>
      </w:r>
    </w:p>
    <w:p>
      <w:r>
        <w:br w:type="page"/>
      </w:r>
    </w:p>
    <w:p>
      <w:pPr>
        <w:pStyle w:val="Heading2"/>
      </w:pPr>
      <w:r>
        <w:t>F09  |  Evidence validation accepts incomplete readiness assertions</w:t>
      </w:r>
    </w:p>
    <w:p>
      <w:pPr>
        <w:pStyle w:val="Metadata"/>
      </w:pPr>
      <w:r>
        <w:t>High priority • Reproduced validation gaps; not a production authorization bypass</w:t>
        <w:br/>
        <w:t>Location: Chapters 48-49, 60 and 62; EvidenceRecord; validate_object()</w:t>
      </w:r>
    </w:p>
    <w:p>
      <w:r>
        <w:rPr>
          <w:b/>
        </w:rPr>
        <w:t xml:space="preserve">Observed. </w:t>
      </w:r>
      <w:r>
        <w:t>A ready/compliant record containing only one unapproved not-applicable test, a signature-reference string and no realized resources is accepted. CT-999 is accepted despite not existing in the catalogue. Duplicate logical test IDs with different text are accepted. Empty tests are correctly rejected.</w:t>
      </w:r>
    </w:p>
    <w:p>
      <w:r>
        <w:rPr>
          <w:b/>
        </w:rPr>
        <w:t xml:space="preserve">Why it matters. </w:t>
      </w:r>
      <w:r>
        <w:t>The local checks demonstrate structure but not complete applicability, evidence or readiness. The README correctly says the tool is not a production authorization evaluator.</w:t>
      </w:r>
    </w:p>
    <w:p>
      <w:r>
        <w:rPr>
          <w:b/>
        </w:rPr>
        <w:t xml:space="preserve">Improve. </w:t>
      </w:r>
      <w:r>
        <w:t>Derive the required test set from the offered service/profile; resolve unique test IDs; require approved N/A dispositions and typed target/generation/artifact identities. Separate shape validation from completeness and trusted authorization evaluation in output labels.</w:t>
      </w:r>
    </w:p>
    <w:p>
      <w:r>
        <w:rPr>
          <w:b/>
        </w:rPr>
        <w:t xml:space="preserve">Close when. </w:t>
      </w:r>
      <w:r>
        <w:t>Incomplete, unknown, duplicate, stale-generation and unapproved-N/A evidence cannot satisfy the completeness gate. All test pass claims remain tied to actual artifacts.</w:t>
      </w:r>
    </w:p>
    <w:p>
      <w:pPr>
        <w:pStyle w:val="Metadata"/>
      </w:pPr>
      <w:r>
        <w:t>Owner: Assurance and automation engineering  |  Local probes: M02, M03, M04, M05</w:t>
      </w:r>
    </w:p>
    <w:p>
      <w:pPr>
        <w:pStyle w:val="Heading2"/>
      </w:pPr>
      <w:r>
        <w:t>F10  |  Per-control evidence trace is described but not contracted</w:t>
      </w:r>
    </w:p>
    <w:p>
      <w:pPr>
        <w:pStyle w:val="Metadata"/>
      </w:pPr>
      <w:r>
        <w:t>High priority • Confirmed structured-contract omission</w:t>
        <w:br/>
        <w:t>Location: Chapter 49 p44; Appendix E pp91-92; EvidenceRecord schema</w:t>
      </w:r>
    </w:p>
    <w:p>
      <w:r>
        <w:rPr>
          <w:b/>
        </w:rPr>
        <w:t xml:space="preserve">Observed. </w:t>
      </w:r>
      <w:r>
        <w:t>The handbook describes requirement/source/control-to-owner-to-realized-object-to-test traceability. EvidenceRecord has generic artifact/realization strings but no defined per-control result contract. Adding a controlResults structure is rejected. External artifacts may hold detail, but their schema and resolver are unspecified.</w:t>
      </w:r>
    </w:p>
    <w:p>
      <w:r>
        <w:rPr>
          <w:b/>
        </w:rPr>
        <w:t xml:space="preserve">Why it matters. </w:t>
      </w:r>
      <w:r>
        <w:t>An assessor can receive files but cannot rely on a standardized machine-readable chain or completeness query.</w:t>
      </w:r>
    </w:p>
    <w:p>
      <w:r>
        <w:rPr>
          <w:b/>
        </w:rPr>
        <w:t xml:space="preserve">Improve. </w:t>
      </w:r>
      <w:r>
        <w:t>Define a ControlImplementation/ControlResult record or a versioned external evidence schema. Include catalogue edition, selected control/enhancement, parameters, owner, implementation IDs, test executions, artifact digests, inheritance and residual gaps.</w:t>
      </w:r>
    </w:p>
    <w:p>
      <w:r>
        <w:rPr>
          <w:b/>
        </w:rPr>
        <w:t xml:space="preserve">Close when. </w:t>
      </w:r>
      <w:r>
        <w:t>From one requirement or selected control, resolve the exact implementation, applicable tests, actual outcomes and accountable decision without free-text inference.</w:t>
      </w:r>
    </w:p>
    <w:p>
      <w:pPr>
        <w:pStyle w:val="Metadata"/>
      </w:pPr>
      <w:r>
        <w:t>Owner: Assurance architecture  |  Local probes: M17</w:t>
      </w:r>
    </w:p>
    <w:p>
      <w:r>
        <w:br w:type="page"/>
      </w:r>
    </w:p>
    <w:p>
      <w:pPr>
        <w:pStyle w:val="Heading2"/>
      </w:pPr>
      <w:r>
        <w:t>F11  |  PlacementProfile does not express required location distinctions</w:t>
      </w:r>
    </w:p>
    <w:p>
      <w:pPr>
        <w:pStyle w:val="Metadata"/>
      </w:pPr>
      <w:r>
        <w:t>High priority • Confirmed prose/schema coverage gap</w:t>
        <w:br/>
        <w:t>Location: Chapter 29 p26, PLACE-002; Appendix A p58; PlacementProfile</w:t>
      </w:r>
    </w:p>
    <w:p>
      <w:r>
        <w:rPr>
          <w:b/>
        </w:rPr>
        <w:t xml:space="preserve">Observed. </w:t>
      </w:r>
      <w:r>
        <w:t>PLACE-002 separately names data, backup, telemetry, diagnostics, control plane, administrative access and key constraints. The schema exposes only dataLocations and controlLocations, with free-text support/key policies.</w:t>
      </w:r>
    </w:p>
    <w:p>
      <w:r>
        <w:rPr>
          <w:b/>
        </w:rPr>
        <w:t xml:space="preserve">Why it matters. </w:t>
      </w:r>
      <w:r>
        <w:t>The intended placement decision cannot mechanically distinguish a permitted primary-data site from an impermissible backup, diagnostic or administrative location.</w:t>
      </w:r>
    </w:p>
    <w:p>
      <w:r>
        <w:rPr>
          <w:b/>
        </w:rPr>
        <w:t xml:space="preserve">Improve. </w:t>
      </w:r>
      <w:r>
        <w:t>Add a typed constraints map by asset/access category, with enforcement and evidence references. Distinguish location, jurisdiction/control, access path and key custody; do not pretend a location field resolves legal sovereignty.</w:t>
      </w:r>
    </w:p>
    <w:p>
      <w:r>
        <w:rPr>
          <w:b/>
        </w:rPr>
        <w:t xml:space="preserve">Close when. </w:t>
      </w:r>
      <w:r>
        <w:t>Independently reject fixtures violating only backup, telemetry, diagnostics, key or administrative-access constraints while the primary site remains allowed.</w:t>
      </w:r>
    </w:p>
    <w:p>
      <w:pPr>
        <w:pStyle w:val="Metadata"/>
      </w:pPr>
      <w:r>
        <w:t>Owner: Placement, security and data governance</w:t>
      </w:r>
    </w:p>
    <w:p>
      <w:pPr>
        <w:pStyle w:val="Heading2"/>
      </w:pPr>
      <w:r>
        <w:t>F12  |  API lifecycle is not closed over the required object graph</w:t>
      </w:r>
    </w:p>
    <w:p>
      <w:pPr>
        <w:pStyle w:val="Metadata"/>
      </w:pPr>
      <w:r>
        <w:t>High priority • Design-completeness gap</w:t>
        <w:br/>
        <w:t>Location: Chapters 8, 39-41; Appendix A p61; api_surface.json</w:t>
      </w:r>
    </w:p>
    <w:p>
      <w:r>
        <w:rPr>
          <w:b/>
        </w:rPr>
        <w:t xml:space="preserve">Observed. </w:t>
      </w:r>
      <w:r>
        <w:t>The nine proposed routes mainly create/update WSDs and read operations/capabilities/evidence. WSDs reference FlowIntent and ServiceBinding objects that reference the WSD back. The published surface does not define bundle submission, draft references, or creation ordering for this graph.</w:t>
      </w:r>
    </w:p>
    <w:p>
      <w:r>
        <w:rPr>
          <w:b/>
        </w:rPr>
        <w:t xml:space="preserve">Why it matters. </w:t>
      </w:r>
      <w:r>
        <w:t>A fresh consumer cannot determine how to submit a complete new WSD without pre-existing referenced objects or undocumented provisioning steps.</w:t>
      </w:r>
    </w:p>
    <w:p>
      <w:r>
        <w:rPr>
          <w:b/>
        </w:rPr>
        <w:t xml:space="preserve">Improve. </w:t>
      </w:r>
      <w:r>
        <w:t>Choose an atomic desired-graph/bundle request or a staged draft-object workflow. Resolve cycles within the staged graph before any infrastructure effects. Specify typed responses/errors, ownership, concurrency, cancellation and deletion behavior.</w:t>
      </w:r>
    </w:p>
    <w:p>
      <w:r>
        <w:rPr>
          <w:b/>
        </w:rPr>
        <w:t xml:space="preserve">Close when. </w:t>
      </w:r>
      <w:r>
        <w:t>Create, update and retire a new multi-zone WSD from an empty tenant namespace using only the published contract; no manual object insertion or hidden API is needed.</w:t>
      </w:r>
    </w:p>
    <w:p>
      <w:pPr>
        <w:pStyle w:val="Metadata"/>
      </w:pPr>
      <w:r>
        <w:t>Owner: Service API and controller architecture</w:t>
      </w:r>
    </w:p>
    <w:p>
      <w:r>
        <w:br w:type="page"/>
      </w:r>
    </w:p>
    <w:p>
      <w:pPr>
        <w:pStyle w:val="Heading2"/>
      </w:pPr>
      <w:r>
        <w:t>F13  |  Breaking-change policy and API version naming disagree</w:t>
      </w:r>
    </w:p>
    <w:p>
      <w:pPr>
        <w:pStyle w:val="Metadata"/>
      </w:pPr>
      <w:r>
        <w:t>Medium priority • Confirmed policy ambiguity</w:t>
        <w:br/>
        <w:t>Location: Chapter 39 p35; Appendix B p64</w:t>
      </w:r>
    </w:p>
    <w:p>
      <w:r>
        <w:rPr>
          <w:b/>
        </w:rPr>
        <w:t xml:space="preserve">Observed. </w:t>
      </w:r>
      <w:r>
        <w:t>The handbook calls for a major version for breaking semantic changes, but uses hosting.platform/v1.1 for a substantially different envelope and field model from the illustrative v1 request. A migration paragraph acknowledges these changes.</w:t>
      </w:r>
    </w:p>
    <w:p>
      <w:r>
        <w:rPr>
          <w:b/>
        </w:rPr>
        <w:t xml:space="preserve">Why it matters. </w:t>
      </w:r>
      <w:r>
        <w:t>Document release numbering can be mistaken for wire-contract compatibility.</w:t>
      </w:r>
    </w:p>
    <w:p>
      <w:r>
        <w:rPr>
          <w:b/>
        </w:rPr>
        <w:t xml:space="preserve">Improve. </w:t>
      </w:r>
      <w:r>
        <w:t>Separate handbook release, schema dialect, API compatibility major and profile version. Use a new API major for breaking changes, or explicitly declare the original contract pre-stable and document the compatibility boundary.</w:t>
      </w:r>
    </w:p>
    <w:p>
      <w:r>
        <w:rPr>
          <w:b/>
        </w:rPr>
        <w:t xml:space="preserve">Close when. </w:t>
      </w:r>
      <w:r>
        <w:t>Old request fixtures either convert with an explicit reviewed semantic diff or fail with an actionable version error; no silent default expansion.</w:t>
      </w:r>
    </w:p>
    <w:p>
      <w:pPr>
        <w:pStyle w:val="Metadata"/>
      </w:pPr>
      <w:r>
        <w:t>Owner: Contract governance</w:t>
      </w:r>
    </w:p>
    <w:p>
      <w:pPr>
        <w:pStyle w:val="Heading2"/>
      </w:pPr>
      <w:r>
        <w:t>F14  |  Reference validation needs explicit coverage tiers and stronger negatives</w:t>
      </w:r>
    </w:p>
    <w:p>
      <w:pPr>
        <w:pStyle w:val="Metadata"/>
      </w:pPr>
      <w:r>
        <w:t>High priority • Reproduced validation limits and robustness issue</w:t>
        <w:br/>
        <w:t>Location: validate_package.py; README; validation-report.json; Chapter 48</w:t>
      </w:r>
    </w:p>
    <w:p>
      <w:r>
        <w:rPr>
          <w:b/>
        </w:rPr>
        <w:t xml:space="preserve">Observed. </w:t>
      </w:r>
      <w:r>
        <w:t>The supplied 50 self-checks pass, but independent probes find the documented gaps. Empty bundles are accepted; malformed entries can raise KeyError before item validation. Unknown policy-reference strings are not resolved. These observations are consistent with the README limiting the tool to selected semantics.</w:t>
      </w:r>
    </w:p>
    <w:p>
      <w:r>
        <w:rPr>
          <w:b/>
        </w:rPr>
        <w:t xml:space="preserve">Why it matters. </w:t>
      </w:r>
      <w:r>
        <w:t>A single successful validator invocation is too easy to interpret as whole-contract consistency or readiness.</w:t>
      </w:r>
    </w:p>
    <w:p>
      <w:r>
        <w:rPr>
          <w:b/>
        </w:rPr>
        <w:t xml:space="preserve">Improve. </w:t>
      </w:r>
      <w:r>
        <w:t>Return separate results for shape, graph, profile applicability, evidence completeness and authorization-not-evaluated. Validate input before indexing, give object-level diagnostics, and distinguish internal typed references from externally resolved policies. Add boundary/negative/property-based fixtures.</w:t>
      </w:r>
    </w:p>
    <w:p>
      <w:r>
        <w:rPr>
          <w:b/>
        </w:rPr>
        <w:t xml:space="preserve">Close when. </w:t>
      </w:r>
      <w:r>
        <w:t>The reported validation scope lists every evaluated invariant; malformed inputs return diagnostics; every reproduced gap has a regression test or an explicit non-evaluated boundary.</w:t>
      </w:r>
    </w:p>
    <w:p>
      <w:pPr>
        <w:pStyle w:val="Metadata"/>
      </w:pPr>
      <w:r>
        <w:t>Owner: Automation quality assurance  |  Local probes: M21, M24, M25</w:t>
      </w:r>
    </w:p>
    <w:p>
      <w:r>
        <w:br w:type="page"/>
      </w:r>
    </w:p>
    <w:p>
      <w:pPr>
        <w:pStyle w:val="Heading2"/>
      </w:pPr>
      <w:r>
        <w:t>F15  |  Printed control-family crosswalk omits existing catalogue mappings</w:t>
      </w:r>
    </w:p>
    <w:p>
      <w:pPr>
        <w:pStyle w:val="Metadata"/>
      </w:pPr>
      <w:r>
        <w:t>High priority • Confirmed document/package parity defect and scope gap</w:t>
        <w:br/>
        <w:t>Location: Appendix E p91; catalogues/requirements.json</w:t>
      </w:r>
    </w:p>
    <w:p>
      <w:r>
        <w:rPr>
          <w:b/>
        </w:rPr>
        <w:t xml:space="preserve">Observed. </w:t>
      </w:r>
      <w:r>
        <w:t>Appendix E prints 14 families. The JSON requirement catalogue contains 16: PT has one mapping through PLACE-002, and SA has two through PLACE-003 and PORT-003. Both disappear from the printed summary. AT, MA, PE and PS have no family mappings in the catalogue.</w:t>
      </w:r>
    </w:p>
    <w:p>
      <w:r>
        <w:rPr>
          <w:b/>
        </w:rPr>
        <w:t xml:space="preserve">Why it matters. </w:t>
      </w:r>
      <w:r>
        <w:t>Readers of the handbook and machine catalogue see different coverage. Absent organizational/physical families can disappear rather than being deliberately inherited or scoped out.</w:t>
      </w:r>
    </w:p>
    <w:p>
      <w:r>
        <w:rPr>
          <w:b/>
        </w:rPr>
        <w:t xml:space="preserve">Improve. </w:t>
      </w:r>
      <w:r>
        <w:t>Generate the appendix from the complete family map and include a disposition for every applicable family: directly implemented, inherited, tenant-owned, shared, not applicable or gap. Do not invent control selection or require this reference handbook to implement organizational programs. [W04]</w:t>
      </w:r>
    </w:p>
    <w:p>
      <w:r>
        <w:rPr>
          <w:b/>
        </w:rPr>
        <w:t xml:space="preserve">Close when. </w:t>
      </w:r>
      <w:r>
        <w:t>Printed and JSON families/counts are identical; omitted families have a named applicability/inheritance disposition and evidence owner.</w:t>
      </w:r>
    </w:p>
    <w:p>
      <w:pPr>
        <w:pStyle w:val="Metadata"/>
      </w:pPr>
      <w:r>
        <w:t>Owner: Assurance and documentation owners</w:t>
      </w:r>
    </w:p>
    <w:p>
      <w:pPr>
        <w:pStyle w:val="Heading2"/>
      </w:pPr>
      <w:r>
        <w:t>F16  |  Requirement-to-test links do not yet prove assertion-level coverage</w:t>
      </w:r>
    </w:p>
    <w:p>
      <w:pPr>
        <w:pStyle w:val="Metadata"/>
      </w:pPr>
      <w:r>
        <w:t>Medium priority • Assurance-completeness improvement</w:t>
        <w:br/>
        <w:t>Location: Appendices C-D; 194 requirements and 80 procedures</w:t>
      </w:r>
    </w:p>
    <w:p>
      <w:r>
        <w:rPr>
          <w:b/>
        </w:rPr>
        <w:t xml:space="preserve">Observed. </w:t>
      </w:r>
      <w:r>
        <w:t>All requirement-to-test and reverse links resolve. Procedures are broad execution specifications, however, and a single test can be linked to many distinct clauses. Numeric thresholds, individual assertions and evidence targets are not normalized in the test contract.</w:t>
      </w:r>
    </w:p>
    <w:p>
      <w:r>
        <w:rPr>
          <w:b/>
        </w:rPr>
        <w:t xml:space="preserve">Why it matters. </w:t>
      </w:r>
      <w:r>
        <w:t>Counting linked IDs proves traceability presence, not that every SHALL clause has a pass/fail observation.</w:t>
      </w:r>
    </w:p>
    <w:p>
      <w:r>
        <w:rPr>
          <w:b/>
        </w:rPr>
        <w:t xml:space="preserve">Improve. </w:t>
      </w:r>
      <w:r>
        <w:t>Split compound requirements into identifiable assertions without renumbering stable parent IDs. Give tests assertion IDs, profile parameters, vantage points, preconditions, expected observations, failure/cleanup rules and evidence targets. Permit examination/interview where automation is inappropriate.</w:t>
      </w:r>
    </w:p>
    <w:p>
      <w:r>
        <w:rPr>
          <w:b/>
        </w:rPr>
        <w:t xml:space="preserve">Close when. </w:t>
      </w:r>
      <w:r>
        <w:t>Every mandatory assertion has a verification method; each test result identifies which assertions it actually covered and which were blocked or inapplicable.</w:t>
      </w:r>
    </w:p>
    <w:p>
      <w:pPr>
        <w:pStyle w:val="Metadata"/>
      </w:pPr>
      <w:r>
        <w:t>Owner: Assurance engineering</w:t>
      </w:r>
    </w:p>
    <w:p>
      <w:r>
        <w:br w:type="page"/>
      </w:r>
    </w:p>
    <w:p>
      <w:pPr>
        <w:pStyle w:val="Heading2"/>
      </w:pPr>
      <w:r>
        <w:t>F17  |  Qualification and portability need separate test applicability rules</w:t>
      </w:r>
    </w:p>
    <w:p>
      <w:pPr>
        <w:pStyle w:val="Metadata"/>
      </w:pPr>
      <w:r>
        <w:t>Medium priority • Design inconsistency requiring applicability decision</w:t>
        <w:br/>
        <w:t>Location: Chapter 48 p43; Chapter 61 pp54-55; CT-016 pp77-78</w:t>
      </w:r>
    </w:p>
    <w:p>
      <w:r>
        <w:rPr>
          <w:b/>
        </w:rPr>
        <w:t xml:space="preserve">Observed. </w:t>
      </w:r>
      <w:r>
        <w:t>Qualification calls for all applicable tests, while CT-016 requires two independently qualified adapters. The delivery roadmap first qualifies one platform and adds a second later. No machine-readable applicability rule explains when the two-platform test is required.</w:t>
      </w:r>
    </w:p>
    <w:p>
      <w:r>
        <w:rPr>
          <w:b/>
        </w:rPr>
        <w:t xml:space="preserve">Why it matters. </w:t>
      </w:r>
      <w:r>
        <w:t>A literal reading produces a circular prerequisite for first-platform qualification or encourages an undocumented N/A decision.</w:t>
      </w:r>
    </w:p>
    <w:p>
      <w:r>
        <w:rPr>
          <w:b/>
        </w:rPr>
        <w:t xml:space="preserve">Improve. </w:t>
      </w:r>
      <w:r>
        <w:t>Define stage/profile applicability: contract/offline checks, single-platform qualification, per-deployment checks, cross-platform portability qualification and operational exercises. First-platform approval must not imply cross-platform portability.</w:t>
      </w:r>
    </w:p>
    <w:p>
      <w:r>
        <w:rPr>
          <w:b/>
        </w:rPr>
        <w:t xml:space="preserve">Close when. </w:t>
      </w:r>
      <w:r>
        <w:t>The first platform qualifies without circular prerequisites; a portability claim is blocked until the separate two-platform test succeeds.</w:t>
      </w:r>
    </w:p>
    <w:p>
      <w:pPr>
        <w:pStyle w:val="Metadata"/>
      </w:pPr>
      <w:r>
        <w:t>Owner: Qualification and delivery owners</w:t>
      </w:r>
    </w:p>
    <w:p>
      <w:pPr>
        <w:pStyle w:val="Heading2"/>
      </w:pPr>
      <w:r>
        <w:t>F18  |  Cadence and execution-status records need reconciliation</w:t>
      </w:r>
    </w:p>
    <w:p>
      <w:pPr>
        <w:pStyle w:val="Metadata"/>
      </w:pPr>
      <w:r>
        <w:t>Medium priority • Confirmed local-parameter mismatch and classification ambiguity</w:t>
        <w:br/>
        <w:t>Location: CT-055 p85; CT-075 p89; Appendix F p93; release reports</w:t>
      </w:r>
    </w:p>
    <w:p>
      <w:r>
        <w:rPr>
          <w:b/>
        </w:rPr>
        <w:t xml:space="preserve">Observed. </w:t>
      </w:r>
      <w:r>
        <w:t>CT-055 specifies annual bootstrap recovery, while the proposed critical-configuration recovery parameter and example RecoveryProfile use 180 days. CT-075 is a document/package procedure, yet the appendix groups all 80 tests as infrastructure tests marked not-run while a separate 50-check release suite has executed.</w:t>
      </w:r>
    </w:p>
    <w:p>
      <w:r>
        <w:rPr>
          <w:b/>
        </w:rPr>
        <w:t xml:space="preserve">Why it matters. </w:t>
      </w:r>
      <w:r>
        <w:t>Operators cannot derive one unambiguous local schedule, and readers may confuse a specified test with a recorded execution.</w:t>
      </w:r>
    </w:p>
    <w:p>
      <w:r>
        <w:rPr>
          <w:b/>
        </w:rPr>
        <w:t xml:space="preserve">Improve. </w:t>
      </w:r>
      <w:r>
        <w:t>Make test cadence a profile-parameter reference; define precedence for adopted versus proposed values. Separate test definitions from execution records and map the 50 release checks to covered CT-075 assertions without claiming unperformed parts passed.</w:t>
      </w:r>
    </w:p>
    <w:p>
      <w:r>
        <w:rPr>
          <w:b/>
        </w:rPr>
        <w:t xml:space="preserve">Close when. </w:t>
      </w:r>
      <w:r>
        <w:t>No contradictory cadence literals remain; release checks have explicit coverage, date and result while unexecuted infrastructure tests remain not-run.</w:t>
      </w:r>
    </w:p>
    <w:p>
      <w:pPr>
        <w:pStyle w:val="Metadata"/>
      </w:pPr>
      <w:r>
        <w:t>Owner: Recovery, assurance and release owners</w:t>
      </w:r>
    </w:p>
    <w:p>
      <w:r>
        <w:br w:type="page"/>
      </w:r>
    </w:p>
    <w:p>
      <w:pPr>
        <w:pStyle w:val="Heading2"/>
      </w:pPr>
      <w:r>
        <w:t>F19  |  Document fencing and pre/post-activation verification explicitly</w:t>
      </w:r>
    </w:p>
    <w:p>
      <w:pPr>
        <w:pStyle w:val="Metadata"/>
      </w:pPr>
      <w:r>
        <w:t>Medium priority • Proposed engineering strengthening</w:t>
        <w:br/>
        <w:t>Location: Chapters 41, 43 and 46; Figure 4 p37</w:t>
      </w:r>
    </w:p>
    <w:p>
      <w:r>
        <w:rPr>
          <w:b/>
        </w:rPr>
        <w:t xml:space="preserve">Observed. </w:t>
      </w:r>
      <w:r>
        <w:t>The handbook already specifies journals, leases, staged apply and incident precedence. It does not fully define stale-runner fencing after lease loss or the test access needed to verify public ingress before the stage that activates exposure.</w:t>
      </w:r>
    </w:p>
    <w:p>
      <w:r>
        <w:rPr>
          <w:b/>
        </w:rPr>
        <w:t xml:space="preserve">Why it matters. </w:t>
      </w:r>
      <w:r>
        <w:t>Two controllers or a delayed provider task could act on different generations; pre-activation tests could be impossible without an explicit canary path.</w:t>
      </w:r>
    </w:p>
    <w:p>
      <w:r>
        <w:rPr>
          <w:b/>
        </w:rPr>
        <w:t xml:space="preserve">Improve. </w:t>
      </w:r>
      <w:r>
        <w:t>Define fencing tokens or equivalent single-writer guarantees across reservations and actuators, lease-loss behavior and delayed task reconciliation. Separate isolated/canary verification from controlled activation and immediate post-activation checks, with rollback/containment gates.</w:t>
      </w:r>
    </w:p>
    <w:p>
      <w:r>
        <w:rPr>
          <w:b/>
        </w:rPr>
        <w:t xml:space="preserve">Close when. </w:t>
      </w:r>
      <w:r>
        <w:t>In an authorized test environment, a stale runner cannot commit after losing authority; ingress is verified without an unrestricted pre-ready window.</w:t>
      </w:r>
    </w:p>
    <w:p>
      <w:pPr>
        <w:pStyle w:val="Metadata"/>
      </w:pPr>
      <w:r>
        <w:t>Owner: Controller and reliability engineering</w:t>
      </w:r>
    </w:p>
    <w:p>
      <w:pPr>
        <w:pStyle w:val="Heading2"/>
      </w:pPr>
      <w:r>
        <w:t>F20  |  Add one end-to-end service materialization contract</w:t>
      </w:r>
    </w:p>
    <w:p>
      <w:pPr>
        <w:pStyle w:val="Metadata"/>
      </w:pPr>
      <w:r>
        <w:t>Medium priority • Proposed engineering strengthening</w:t>
        <w:br/>
        <w:t>Location: Chapters 8, 22-31 and 61; WSD request examples</w:t>
      </w:r>
    </w:p>
    <w:p>
      <w:r>
        <w:rPr>
          <w:b/>
        </w:rPr>
        <w:t xml:space="preserve">Observed. </w:t>
      </w:r>
      <w:r>
        <w:t>Compute, storage, images, reliability and application responsibilities are now covered. The reference WSD predominantly selects profiles and network/service references; it does not demonstrate a full resource-demand and workload-to-network/storage realization sequence.</w:t>
      </w:r>
    </w:p>
    <w:p>
      <w:r>
        <w:rPr>
          <w:b/>
        </w:rPr>
        <w:t xml:space="preserve">Why it matters. </w:t>
      </w:r>
      <w:r>
        <w:t>Teams still need to decide how quota/reservation inputs, VM or workload counts, attachments and application-readiness evidence connect to WSD lifecycle.</w:t>
      </w:r>
    </w:p>
    <w:p>
      <w:r>
        <w:rPr>
          <w:b/>
        </w:rPr>
        <w:t xml:space="preserve">Improve. </w:t>
      </w:r>
      <w:r>
        <w:t>Add one vertical slice: two workloads, OZ/RZ networks, storage and backup demand, approved identities, reservation result, compiled graph, provider realization mapping, application handover and retirement. Keep provider IDs in status and implementation artifacts.</w:t>
      </w:r>
    </w:p>
    <w:p>
      <w:r>
        <w:rPr>
          <w:b/>
        </w:rPr>
        <w:t xml:space="preserve">Close when. </w:t>
      </w:r>
      <w:r>
        <w:t>Every offered capability is represented in intent or a declared linked service contract and has an owner, realization, capacity basis and evidence.</w:t>
      </w:r>
    </w:p>
    <w:p>
      <w:pPr>
        <w:pStyle w:val="Metadata"/>
      </w:pPr>
      <w:r>
        <w:t>Owner: Hosting service and platform architecture</w:t>
      </w:r>
    </w:p>
    <w:p>
      <w:r>
        <w:br w:type="page"/>
      </w:r>
    </w:p>
    <w:p>
      <w:pPr>
        <w:pStyle w:val="Heading2"/>
      </w:pPr>
      <w:r>
        <w:t>F21  |  Complete protocol-profile and standards-adoption traceability</w:t>
      </w:r>
    </w:p>
    <w:p>
      <w:pPr>
        <w:pStyle w:val="Metadata"/>
      </w:pPr>
      <w:r>
        <w:t>Medium priority • Externally verified improvement; preserve correct 2026 baseline</w:t>
        <w:br/>
        <w:t>Location: Chapter 3; Chapter 25; Appendix H</w:t>
      </w:r>
    </w:p>
    <w:p>
      <w:r>
        <w:rPr>
          <w:b/>
        </w:rPr>
        <w:t xml:space="preserve">Observed. </w:t>
      </w:r>
      <w:r>
        <w:t>The updates to ITSP.10.033 and ITSP.40.111 v5 are correct. The next refinement is protocol configuration, exact source locators and lifecycle/adoption tracking, rather than reverting to old catalogue or algorithm assumptions. ITSP.40.062 covers secure protocol configuration; ITSP.10.033 identifies related lifecycle publications. [W01,W02,W05]</w:t>
      </w:r>
    </w:p>
    <w:p>
      <w:r>
        <w:rPr>
          <w:b/>
        </w:rPr>
        <w:t xml:space="preserve">Why it matters. </w:t>
      </w:r>
      <w:r>
        <w:t>An approved algorithm inventory alone does not specify endpoint authentication, protocol version/ciphers, trust validation and retirement behavior.</w:t>
      </w:r>
    </w:p>
    <w:p>
      <w:r>
        <w:rPr>
          <w:b/>
        </w:rPr>
        <w:t xml:space="preserve">Improve. </w:t>
      </w:r>
      <w:r>
        <w:t>Add versioned TLS/SSH/IPsec and other offered protocol profiles tied to current guidance. Record clause/section, source edition, adoption decision and source-change triggers. Track related lifecycle guidance without asserting that unverified publications supersede every ITSG-33 annex.</w:t>
      </w:r>
    </w:p>
    <w:p>
      <w:r>
        <w:rPr>
          <w:b/>
        </w:rPr>
        <w:t xml:space="preserve">Close when. </w:t>
      </w:r>
      <w:r>
        <w:t>An implementation can resolve its approved protocol configuration and exact guidance basis, and changed sources trigger a scoped reassessment.</w:t>
      </w:r>
    </w:p>
    <w:p>
      <w:pPr>
        <w:pStyle w:val="Metadata"/>
      </w:pPr>
      <w:r>
        <w:t>Owner: Security standards and cryptography owners</w:t>
      </w:r>
    </w:p>
    <w:p>
      <w:pPr>
        <w:pStyle w:val="Heading2"/>
      </w:pPr>
      <w:r>
        <w:t>F22  |  Make the release build and source evidence reproducible</w:t>
      </w:r>
    </w:p>
    <w:p>
      <w:pPr>
        <w:pStyle w:val="Metadata"/>
      </w:pPr>
      <w:r>
        <w:t>Medium priority • Release-engineering improvement</w:t>
        <w:br/>
        <w:t>Location: Companion package, source register and publishing reports</w:t>
      </w:r>
    </w:p>
    <w:p>
      <w:r>
        <w:rPr>
          <w:b/>
        </w:rPr>
        <w:t xml:space="preserve">Observed. </w:t>
      </w:r>
      <w:r>
        <w:t>All 39 listed package hashes match, and the self-tests reproduce. The package includes schema generation source and document content catalogues, but not a complete documented handbook/publishing build. Runtime dependency ranges are broad; review dates are not preserved source snapshots.</w:t>
      </w:r>
    </w:p>
    <w:p>
      <w:r>
        <w:rPr>
          <w:b/>
        </w:rPr>
        <w:t xml:space="preserve">Why it matters. </w:t>
      </w:r>
      <w:r>
        <w:t>Another maintainer cannot independently regenerate every published table, report and page from one locked source release.</w:t>
      </w:r>
    </w:p>
    <w:p>
      <w:r>
        <w:rPr>
          <w:b/>
        </w:rPr>
        <w:t xml:space="preserve">Improve. </w:t>
      </w:r>
      <w:r>
        <w:t>Provide build entry points, a locked validation/render environment, source snapshots or hashes with exact locators, generated-artifact parity tests and a provenance manifest. Preserve source availability/licensing constraints; a hash is integrity evidence, not authority approval.</w:t>
      </w:r>
    </w:p>
    <w:p>
      <w:r>
        <w:rPr>
          <w:b/>
        </w:rPr>
        <w:t xml:space="preserve">Close when. </w:t>
      </w:r>
      <w:r>
        <w:t>A clean build reproduces schema/catalogue content and publishing checks, with documented rendering tolerances and no manually stale crosswalk.</w:t>
      </w:r>
    </w:p>
    <w:p>
      <w:pPr>
        <w:pStyle w:val="Metadata"/>
      </w:pPr>
      <w:r>
        <w:t>Owner: Release and documentation engineering</w:t>
      </w:r>
    </w:p>
    <w:p>
      <w:r>
        <w:br w:type="page"/>
      </w:r>
    </w:p>
    <w:p>
      <w:pPr>
        <w:pStyle w:val="Heading2"/>
      </w:pPr>
      <w:r>
        <w:t>F23  |  Improve reader navigation and verification evidence, not page count</w:t>
      </w:r>
    </w:p>
    <w:p>
      <w:pPr>
        <w:pStyle w:val="Metadata"/>
      </w:pPr>
      <w:r>
        <w:t>Low priority • Publishing/readability improvement</w:t>
        <w:br/>
        <w:t>Location: Whole DOCX/PDF; five figures; Appendix A and Appendix E</w:t>
      </w:r>
    </w:p>
    <w:p>
      <w:r>
        <w:rPr>
          <w:b/>
        </w:rPr>
        <w:t xml:space="preserve">Observed. </w:t>
      </w:r>
      <w:r>
        <w:t>Word bookmarks are unique and all internal hyperlinks resolve; the PDF is tagged and has an outline. All-page contact-sheet inspection and detailed review of all five figures showed no gross layout defect. These checks are not a screen-reader or full accessibility conformance certification.</w:t>
      </w:r>
    </w:p>
    <w:p>
      <w:r>
        <w:rPr>
          <w:b/>
        </w:rPr>
        <w:t xml:space="preserve">Why it matters. </w:t>
      </w:r>
      <w:r>
        <w:t>The remaining usability work is a quicker path from a requirement to its schema, enforcement owner and evidence, rather than another large expansion.</w:t>
      </w:r>
    </w:p>
    <w:p>
      <w:r>
        <w:rPr>
          <w:b/>
        </w:rPr>
        <w:t xml:space="preserve">Improve. </w:t>
      </w:r>
      <w:r>
        <w:t>Add a compact implementation index and legend distinguishing normative requirements, proposals, examples and live qualification artifacts. Supplement conceptual diagrams with one sequence/path example where needed. Test reading order and keyboard/screen-reader navigation in the intended clients.</w:t>
      </w:r>
    </w:p>
    <w:p>
      <w:r>
        <w:rPr>
          <w:b/>
        </w:rPr>
        <w:t xml:space="preserve">Close when. </w:t>
      </w:r>
      <w:r>
        <w:t>A reader can trace a requirement to the current contract/test without searching multiple appendices; manual accessibility checks are recorded separately from automated scans.</w:t>
      </w:r>
    </w:p>
    <w:p>
      <w:pPr>
        <w:pStyle w:val="Metadata"/>
      </w:pPr>
      <w:r>
        <w:t>Owner: Documentation owner</w:t>
      </w:r>
    </w:p>
    <w:p>
      <w:pPr>
        <w:pStyle w:val="Heading2"/>
      </w:pPr>
      <w:r>
        <w:t>F24  |  Define completion independently for each delivered layer</w:t>
      </w:r>
    </w:p>
    <w:p>
      <w:pPr>
        <w:pStyle w:val="Metadata"/>
      </w:pPr>
      <w:r>
        <w:t>Medium priority • Audit-closure and release-claim improvement</w:t>
        <w:br/>
        <w:t>Location: Chapter 1; Chapter 62; Appendix J pp102-105</w:t>
      </w:r>
    </w:p>
    <w:p>
      <w:r>
        <w:rPr>
          <w:b/>
        </w:rPr>
        <w:t xml:space="preserve">Observed. </w:t>
      </w:r>
      <w:r>
        <w:t>The handbook appropriately distinguishes specification from live qualification. Several prior audit items marked addressed nevertheless have residual prose/schema/evidence gaps, notably reference identity, flow semantics, qualification fields, assurance constraints and evidence traceability.</w:t>
      </w:r>
    </w:p>
    <w:p>
      <w:r>
        <w:rPr>
          <w:b/>
        </w:rPr>
        <w:t xml:space="preserve">Why it matters. </w:t>
      </w:r>
      <w:r>
        <w:t>A single addressed label can conceal that the prose was updated while the exact contract or checks remain incomplete.</w:t>
      </w:r>
    </w:p>
    <w:p>
      <w:r>
        <w:rPr>
          <w:b/>
        </w:rPr>
        <w:t xml:space="preserve">Improve. </w:t>
      </w:r>
      <w:r>
        <w:t>Track prose complete, schema complete, example complete, invariant tested, native implementation qualified and authority approved as separate states. Reopen only the affected prior audit closures and link these findings, rather than discarding the useful v1.1 work.</w:t>
      </w:r>
    </w:p>
    <w:p>
      <w:r>
        <w:rPr>
          <w:b/>
        </w:rPr>
        <w:t xml:space="preserve">Close when. </w:t>
      </w:r>
      <w:r>
        <w:t>No completion statement exceeds its evidence. Close high-priority contract defects before declaring an internally complete machine-readable baseline; keep live qualification and formal authorization separate.</w:t>
      </w:r>
    </w:p>
    <w:p>
      <w:pPr>
        <w:pStyle w:val="Metadata"/>
      </w:pPr>
      <w:r>
        <w:t>Owner: Architecture, assurance and release owners</w:t>
      </w:r>
    </w:p>
    <w:p>
      <w:r>
        <w:br w:type="page"/>
      </w:r>
    </w:p>
    <w:p>
      <w:pPr>
        <w:pStyle w:val="Heading1"/>
      </w:pPr>
      <w:r>
        <w:t>Evidence inventory and external checks</w:t>
      </w:r>
    </w:p>
    <w:p>
      <w:r>
        <w:t>Handbook locations in findings refer to the delivered 105-page v1.1 edition. Companion paths are relative to Portable_Secure_Hosting_v1_1_Companion/. Probe IDs M01-M25 resolve to the independent script and JSON observations in the audit evidence package. Original files were not modified.</w:t>
      </w:r>
    </w:p>
    <w:tbl>
      <w:tblPr>
        <w:tblStyle w:val="LightShading-Accent1"/>
        <w:tblW w:type="auto" w:w="0"/>
        <w:jc w:val="center"/>
        <w:tblLayout w:type="fixed"/>
        <w:tblLook w:firstColumn="1" w:firstRow="1" w:lastColumn="0" w:lastRow="0" w:noHBand="0" w:noVBand="1" w:val="04A0"/>
      </w:tblPr>
      <w:tblGrid>
        <w:gridCol w:w="5083"/>
        <w:gridCol w:w="5083"/>
      </w:tblGrid>
      <w:tr>
        <w:trPr>
          <w:tblHeader/>
          <w:cantSplit/>
        </w:trPr>
        <w:tc>
          <w:tcPr>
            <w:tcW w:type="dxa" w:w="3816"/>
          </w:tcPr>
          <w:p>
            <w:pPr>
              <w:spacing w:after="60" w:before="60"/>
            </w:pPr>
            <w:r>
              <w:rPr>
                <w:sz w:val="18"/>
              </w:rPr>
              <w:t>Audit artifact</w:t>
            </w:r>
          </w:p>
        </w:tc>
        <w:tc>
          <w:tcPr>
            <w:tcW w:type="dxa" w:w="6048"/>
          </w:tcPr>
          <w:p>
            <w:pPr>
              <w:spacing w:after="60" w:before="60"/>
            </w:pPr>
            <w:r>
              <w:rPr>
                <w:sz w:val="18"/>
              </w:rPr>
              <w:t>Purpose</w:t>
            </w:r>
          </w:p>
        </w:tc>
      </w:tr>
      <w:tr>
        <w:trPr>
          <w:cantSplit/>
        </w:trPr>
        <w:tc>
          <w:tcPr>
            <w:tcW w:type="dxa" w:w="3816"/>
            <w:vAlign w:val="center"/>
          </w:tcPr>
          <w:p>
            <w:pPr>
              <w:spacing w:after="60" w:before="60"/>
            </w:pPr>
            <w:r>
              <w:rPr>
                <w:sz w:val="18"/>
              </w:rPr>
              <w:t>findings.json</w:t>
            </w:r>
          </w:p>
        </w:tc>
        <w:tc>
          <w:tcPr>
            <w:tcW w:type="dxa" w:w="6048"/>
            <w:vAlign w:val="center"/>
          </w:tcPr>
          <w:p>
            <w:pPr>
              <w:spacing w:after="60" w:before="60"/>
            </w:pPr>
            <w:r>
              <w:rPr>
                <w:sz w:val="18"/>
              </w:rPr>
              <w:t>24 prioritized observations, recommendations, owners and closure tests.</w:t>
            </w:r>
          </w:p>
        </w:tc>
      </w:tr>
      <w:tr>
        <w:trPr>
          <w:cantSplit/>
        </w:trPr>
        <w:tc>
          <w:tcPr>
            <w:tcW w:type="dxa" w:w="3816"/>
            <w:vAlign w:val="center"/>
          </w:tcPr>
          <w:p>
            <w:pPr>
              <w:spacing w:after="60" w:before="60"/>
            </w:pPr>
            <w:r>
              <w:rPr>
                <w:sz w:val="18"/>
              </w:rPr>
              <w:t>chapter-coverage.json</w:t>
            </w:r>
          </w:p>
        </w:tc>
        <w:tc>
          <w:tcPr>
            <w:tcW w:type="dxa" w:w="6048"/>
            <w:vAlign w:val="center"/>
          </w:tcPr>
          <w:p>
            <w:pPr>
              <w:spacing w:after="60" w:before="60"/>
            </w:pPr>
            <w:r>
              <w:rPr>
                <w:sz w:val="18"/>
              </w:rPr>
              <w:t>Review disposition for all 62 chapters.</w:t>
            </w:r>
          </w:p>
        </w:tc>
      </w:tr>
      <w:tr>
        <w:trPr>
          <w:cantSplit/>
        </w:trPr>
        <w:tc>
          <w:tcPr>
            <w:tcW w:type="dxa" w:w="3816"/>
            <w:vAlign w:val="center"/>
          </w:tcPr>
          <w:p>
            <w:pPr>
              <w:spacing w:after="60" w:before="60"/>
            </w:pPr>
            <w:r>
              <w:rPr>
                <w:sz w:val="18"/>
              </w:rPr>
              <w:t>independent_contract_audit.py / independent-contract-audit.json</w:t>
            </w:r>
          </w:p>
        </w:tc>
        <w:tc>
          <w:tcPr>
            <w:tcW w:type="dxa" w:w="6048"/>
            <w:vAlign w:val="center"/>
          </w:tcPr>
          <w:p>
            <w:pPr>
              <w:spacing w:after="60" w:before="60"/>
            </w:pPr>
            <w:r>
              <w:rPr>
                <w:sz w:val="18"/>
              </w:rPr>
              <w:t>Reproducible 25-probe local audit and observed decisions.</w:t>
            </w:r>
          </w:p>
        </w:tc>
      </w:tr>
      <w:tr>
        <w:trPr>
          <w:cantSplit/>
        </w:trPr>
        <w:tc>
          <w:tcPr>
            <w:tcW w:type="dxa" w:w="3816"/>
            <w:vAlign w:val="center"/>
          </w:tcPr>
          <w:p>
            <w:pPr>
              <w:spacing w:after="60" w:before="60"/>
            </w:pPr>
            <w:r>
              <w:rPr>
                <w:sz w:val="18"/>
              </w:rPr>
              <w:t>rerun-validation.json</w:t>
            </w:r>
          </w:p>
        </w:tc>
        <w:tc>
          <w:tcPr>
            <w:tcW w:type="dxa" w:w="6048"/>
            <w:vAlign w:val="center"/>
          </w:tcPr>
          <w:p>
            <w:pPr>
              <w:spacing w:after="60" w:before="60"/>
            </w:pPr>
            <w:r>
              <w:rPr>
                <w:sz w:val="18"/>
              </w:rPr>
              <w:t>Fresh execution of the supplied 50-check suite.</w:t>
            </w:r>
          </w:p>
        </w:tc>
      </w:tr>
      <w:tr>
        <w:trPr>
          <w:cantSplit/>
        </w:trPr>
        <w:tc>
          <w:tcPr>
            <w:tcW w:type="dxa" w:w="3816"/>
            <w:vAlign w:val="center"/>
          </w:tcPr>
          <w:p>
            <w:pPr>
              <w:spacing w:after="60" w:before="60"/>
            </w:pPr>
            <w:r>
              <w:rPr>
                <w:sz w:val="18"/>
              </w:rPr>
              <w:t>artifact-verification.json / manifest-check.json</w:t>
            </w:r>
          </w:p>
        </w:tc>
        <w:tc>
          <w:tcPr>
            <w:tcW w:type="dxa" w:w="6048"/>
            <w:vAlign w:val="center"/>
          </w:tcPr>
          <w:p>
            <w:pPr>
              <w:spacing w:after="60" w:before="60"/>
            </w:pPr>
            <w:r>
              <w:rPr>
                <w:sz w:val="18"/>
              </w:rPr>
              <w:t>Actual input hashes, content/identity checks and all 39 listed package hashes.</w:t>
            </w:r>
          </w:p>
        </w:tc>
      </w:tr>
      <w:tr>
        <w:trPr>
          <w:cantSplit/>
        </w:trPr>
        <w:tc>
          <w:tcPr>
            <w:tcW w:type="dxa" w:w="3816"/>
            <w:vAlign w:val="center"/>
          </w:tcPr>
          <w:p>
            <w:pPr>
              <w:spacing w:after="60" w:before="60"/>
            </w:pPr>
            <w:r>
              <w:rPr>
                <w:sz w:val="18"/>
              </w:rPr>
              <w:t>independent-a11y.json</w:t>
            </w:r>
          </w:p>
        </w:tc>
        <w:tc>
          <w:tcPr>
            <w:tcW w:type="dxa" w:w="6048"/>
            <w:vAlign w:val="center"/>
          </w:tcPr>
          <w:p>
            <w:pPr>
              <w:spacing w:after="60" w:before="60"/>
            </w:pPr>
            <w:r>
              <w:rPr>
                <w:sz w:val="18"/>
              </w:rPr>
              <w:t>Fresh automated DOCX accessibility scan; not formal certification.</w:t>
            </w:r>
          </w:p>
        </w:tc>
      </w:tr>
      <w:tr>
        <w:trPr>
          <w:cantSplit/>
        </w:trPr>
        <w:tc>
          <w:tcPr>
            <w:tcW w:type="dxa" w:w="3816"/>
            <w:vAlign w:val="center"/>
          </w:tcPr>
          <w:p>
            <w:pPr>
              <w:spacing w:after="60" w:before="60"/>
            </w:pPr>
            <w:r>
              <w:rPr>
                <w:sz w:val="18"/>
              </w:rPr>
              <w:t>external-sources.json</w:t>
            </w:r>
          </w:p>
        </w:tc>
        <w:tc>
          <w:tcPr>
            <w:tcW w:type="dxa" w:w="6048"/>
            <w:vAlign w:val="center"/>
          </w:tcPr>
          <w:p>
            <w:pPr>
              <w:spacing w:after="60" w:before="60"/>
            </w:pPr>
            <w:r>
              <w:rPr>
                <w:sz w:val="18"/>
              </w:rPr>
              <w:t>Primary-source research used in this audit; reviewed 16 September 2026.</w:t>
            </w:r>
          </w:p>
        </w:tc>
      </w:tr>
    </w:tbl>
    <w:p>
      <w:pPr>
        <w:pStyle w:val="Heading2"/>
      </w:pPr>
      <w:r>
        <w:t>Primary-source checks</w:t>
      </w:r>
    </w:p>
    <w:p>
      <w:hyperlink r:id="rId11">
        <w:r>
          <w:rPr>
            <w:color w:val="176F78"/>
          </w:rPr>
          <w:t>W01 — Cyber Centre: ITSP.10.033 foreword, overview and introduction</w:t>
        </w:r>
      </w:hyperlink>
    </w:p>
    <w:p>
      <w:pPr>
        <w:pStyle w:val="Metadata"/>
      </w:pPr>
      <w:r>
        <w:t>Confirms 31 March 2026 effective date, supersession of ITSG-33 Annex 3A, and related lifecycle-publication names.</w:t>
      </w:r>
    </w:p>
    <w:p>
      <w:hyperlink r:id="rId12">
        <w:r>
          <w:rPr>
            <w:color w:val="176F78"/>
          </w:rPr>
          <w:t>W02 — Cyber Centre: ITSP.40.111 cryptographic algorithms, version 5</w:t>
        </w:r>
      </w:hyperlink>
    </w:p>
    <w:p>
      <w:pPr>
        <w:pStyle w:val="Metadata"/>
      </w:pPr>
      <w:r>
        <w:t>Confirms version 5 effective 29 May 2026.</w:t>
      </w:r>
    </w:p>
    <w:p>
      <w:hyperlink r:id="rId13">
        <w:r>
          <w:rPr>
            <w:color w:val="176F78"/>
          </w:rPr>
          <w:t>W03 — IETF RFC 7766: DNS Transport over TCP - Implementation Requirements</w:t>
        </w:r>
      </w:hyperlink>
    </w:p>
    <w:p>
      <w:pPr>
        <w:pStyle w:val="Metadata"/>
      </w:pPr>
      <w:r>
        <w:t>Sections 1 and 5 establish TCP transport support and explain the operational consequence of blocking it.</w:t>
      </w:r>
    </w:p>
    <w:p>
      <w:hyperlink r:id="rId14">
        <w:r>
          <w:rPr>
            <w:color w:val="176F78"/>
          </w:rPr>
          <w:t>W04 — Cyber Centre: ITSP.10.033 controls and assurance activities families</w:t>
        </w:r>
      </w:hyperlink>
    </w:p>
    <w:p>
      <w:pPr>
        <w:pStyle w:val="Metadata"/>
      </w:pPr>
      <w:r>
        <w:t>Authoritative control-family vocabulary used for proposed applicability/inheritance review.</w:t>
      </w:r>
    </w:p>
    <w:p>
      <w:hyperlink r:id="rId15">
        <w:r>
          <w:rPr>
            <w:color w:val="176F78"/>
          </w:rPr>
          <w:t>W05 — Cyber Centre: ITSP.40.062 secure protocol configuration</w:t>
        </w:r>
      </w:hyperlink>
    </w:p>
    <w:p>
      <w:pPr>
        <w:pStyle w:val="Metadata"/>
      </w:pPr>
      <w:r>
        <w:t>Protocol-configuration companion for cryptographic-profile work; version 3 effective January 2025.</w:t>
      </w:r>
    </w:p>
    <w:p>
      <w:pPr>
        <w:pStyle w:val="Metadata"/>
      </w:pPr>
      <w:r>
        <w:t>The audit confirmed the handbook’s 2026 catalogue and cryptographic updates rather than assuming older references remained current. References to related lifecycle publications are not treated as proof that all of those documents are published, adopted, or supersede unspecified annexes. Organizational applicability, control selection and formal authorization remain decisions for the designated authorities.</w:t>
      </w:r>
    </w:p>
    <w:sectPr w:rsidR="00FC693F" w:rsidRPr="0006063C" w:rsidSect="00034616">
      <w:headerReference w:type="default" r:id="rId9"/>
      <w:footerReference w:type="default" r:id="rId10"/>
      <w:pgSz w:w="12240" w:h="15840"/>
      <w:pgMar w:top="893" w:right="1037" w:bottom="893" w:left="1037" w:header="331"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16 September 2026  |  Audit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data"/>
    </w:pPr>
    <w:r>
      <w:t>PORTABLE SECURE HOSTING  /  INDEPENDENT v1.1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ptos" w:hAnsi="Aptos"/>
      <w:b/>
      <w:bCs/>
      <w:color w:val="17394B"/>
      <w:sz w:val="3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ptos" w:hAnsi="Aptos"/>
      <w:b/>
      <w:bCs/>
      <w:color w:val="17394B"/>
      <w:sz w:val="26"/>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Aptos" w:hAnsi="Aptos"/>
      <w:b/>
      <w:bCs/>
      <w:color w:val="173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80"/>
      <w:contextualSpacing/>
    </w:pPr>
    <w:rPr>
      <w:rFonts w:asciiTheme="majorHAnsi" w:eastAsiaTheme="majorEastAsia" w:hAnsiTheme="majorHAnsi" w:cstheme="majorBidi" w:ascii="Aptos" w:hAnsi="Aptos"/>
      <w:color w:val="17394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180"/>
    </w:pPr>
    <w:rPr>
      <w:rFonts w:asciiTheme="majorHAnsi" w:eastAsiaTheme="majorEastAsia" w:hAnsiTheme="majorHAnsi" w:cstheme="majorBidi" w:ascii="Aptos" w:hAnsi="Aptos"/>
      <w:i/>
      <w:iCs/>
      <w:color w:val="17394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ptos" w:hAnsi="Aptos"/>
      <w:b/>
      <w:bCs/>
      <w:color w:val="526672"/>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0"/>
    </w:pPr>
    <w:rPr>
      <w:rFonts w:ascii="Aptos" w:hAnsi="Aptos"/>
      <w:color w:val="52667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yber.gc.ca/en/guidance/cyber-security-privacy-risk-management/itsp10033/foreword-overview-introduction" TargetMode="External"/><Relationship Id="rId12" Type="http://schemas.openxmlformats.org/officeDocument/2006/relationships/hyperlink" Target="https://www.cyber.gc.ca/en/guidance/cryptographic-algorithms-unclassified-protected-protected-b-information-itsp40111" TargetMode="External"/><Relationship Id="rId13" Type="http://schemas.openxmlformats.org/officeDocument/2006/relationships/hyperlink" Target="https://www.rfc-editor.org/rfc/rfc7766" TargetMode="External"/><Relationship Id="rId14" Type="http://schemas.openxmlformats.org/officeDocument/2006/relationships/hyperlink" Target="https://www.cyber.gc.ca/en/guidance/cyber-security-privacy-risk-management/itsp10033/controls-assurance-activities-families" TargetMode="External"/><Relationship Id="rId15" Type="http://schemas.openxmlformats.org/officeDocument/2006/relationships/hyperlink" Target="https://www.cyber.gc.ca/en/guidance/guidance-securely-configuring-network-protocols-itsp400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Portable Multi-Tenant Secure Hosting v1.1 - Independent Audit</dc:title>
  <dc:subject>Document, reference-contract, assurance and completeness audit</dc:subject>
  <dc:creator/>
  <cp:keywords>v1.1, audit, reference architecture, semantic validation, hosting</cp:keywords>
  <dc:description>generated by python-docx</dc:description>
  <cp:lastModifiedBy/>
  <cp:revision>1</cp:revision>
  <dcterms:created xsi:type="dcterms:W3CDTF">2013-12-23T23:15:00Z</dcterms:created>
  <dcterms:modified xsi:type="dcterms:W3CDTF">2013-12-23T23:15:00Z</dcterms:modified>
  <cp:category/>
</cp:coreProperties>
</file>