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11827"/>
          <w:sz w:val="32"/>
          <w:szCs w:val="32"/>
        </w:rPr>
        <w:t xml:space="preserve">BUILDER &amp; TRADE ACCOUNT CREDIT TERMS</w:t>
      </w:r>
    </w:p>
    <w:p>
      <w:pPr>
        <w:spacing w:after="160"/>
      </w:pPr>
      <w:r>
        <w:rPr>
          <w:rFonts w:ascii="Calibri" w:cs="Calibri" w:eastAsia="Calibri" w:hAnsi="Calibri"/>
          <w:color w:val="6B7280"/>
          <w:sz w:val="18"/>
          <w:szCs w:val="18"/>
        </w:rPr>
        <w:t xml:space="preserve">Version 2026.8</w:t>
      </w:r>
    </w:p>
    <w:p>
      <w:pPr>
        <w:spacing w:after="110" w:line="264"/>
      </w:pPr>
      <w:r>
        <w:rPr>
          <w:rFonts w:ascii="Calibri" w:cs="Calibri" w:eastAsia="Calibri" w:hAnsi="Calibri"/>
          <w:sz w:val="21"/>
          <w:szCs w:val="21"/>
        </w:rPr>
        <w:t xml:space="preserve">WACA, Inc. dba Wilson AC &amp; Appliance (“Wilson AC &amp; Appliance”) extends credit terms to qualified builders, contractors, and trade account holders (hereafter referred to collectively as “Builder”) subject to the following policies and conditions.</w:t>
      </w:r>
    </w:p>
    <w:p>
      <w:pPr>
        <w:spacing w:after="90" w:before="260"/>
      </w:pPr>
      <w:r>
        <w:rPr>
          <w:rFonts w:ascii="Calibri" w:cs="Calibri" w:eastAsia="Calibri" w:hAnsi="Calibri"/>
          <w:b/>
          <w:bCs/>
          <w:color w:val="1F2937"/>
          <w:sz w:val="24"/>
          <w:szCs w:val="24"/>
        </w:rPr>
        <w:t xml:space="preserve">Payment Terms &amp; Credit Limits</w:t>
      </w:r>
    </w:p>
    <w:p>
      <w:pPr>
        <w:spacing w:after="110" w:line="264"/>
      </w:pPr>
      <w:r>
        <w:rPr>
          <w:rFonts w:ascii="Calibri" w:cs="Calibri" w:eastAsia="Calibri" w:hAnsi="Calibri"/>
          <w:sz w:val="21"/>
          <w:szCs w:val="21"/>
        </w:rPr>
        <w:t xml:space="preserve">Approved accounts are extended Net 30 payment terms and a specific credit limit, which will be communicated in writing at the time of account approval. Payment is due thirty (30) days from the invoice date. Balances outstanding beyond forty-five (45) days from the invoice date are subject to a service charge of one and one-half percent (1.5%) per month (18% annually), or the maximum rate permitted by Texas law, whichever is less.</w:t>
      </w:r>
    </w:p>
    <w:p>
      <w:pPr>
        <w:spacing w:after="110" w:line="264"/>
      </w:pPr>
      <w:r>
        <w:rPr>
          <w:rFonts w:ascii="Calibri" w:cs="Calibri" w:eastAsia="Calibri" w:hAnsi="Calibri"/>
          <w:sz w:val="21"/>
          <w:szCs w:val="21"/>
        </w:rPr>
        <w:t xml:space="preserve">Credit limits are subject to periodic review and may be adjusted based on payment history, purchase volume, and updated financial information. Total outstanding balances, including open orders and pending invoices, may not exceed the established credit limit without prior written authorization.</w:t>
      </w:r>
    </w:p>
    <w:p>
      <w:pPr>
        <w:spacing w:after="110" w:line="264"/>
      </w:pPr>
      <w:r>
        <w:rPr>
          <w:rFonts w:ascii="Calibri" w:cs="Calibri" w:eastAsia="Calibri" w:hAnsi="Calibri"/>
          <w:sz w:val="21"/>
          <w:szCs w:val="21"/>
        </w:rPr>
        <w:t xml:space="preserve">Invoices are typically issued within three (3) business days following appliance delivery and/or installation services. Invoices are generated for all completed line items and become subject to applicable credit terms upon completion.</w:t>
      </w:r>
    </w:p>
    <w:p>
      <w:pPr>
        <w:spacing w:after="110" w:line="264"/>
      </w:pPr>
      <w:r>
        <w:rPr>
          <w:rFonts w:ascii="Calibri" w:cs="Calibri" w:eastAsia="Calibri" w:hAnsi="Calibri"/>
          <w:sz w:val="21"/>
          <w:szCs w:val="21"/>
        </w:rPr>
        <w:t xml:space="preserve">Past due balances or exceeding established credit limits may result in suspension of deliveries, installations, service work, scheduling, and/or future credit privileges until the account is brought current and within limit.</w:t>
      </w:r>
    </w:p>
    <w:p>
      <w:pPr>
        <w:spacing w:after="110" w:line="264"/>
      </w:pPr>
      <w:r>
        <w:rPr>
          <w:rFonts w:ascii="Calibri" w:cs="Calibri" w:eastAsia="Calibri" w:hAnsi="Calibri"/>
          <w:sz w:val="21"/>
          <w:szCs w:val="21"/>
        </w:rPr>
        <w:t xml:space="preserve">Builder agrees to pay all costs of collection, including reasonable attorney fees and court costs, and agrees that venue for any action arising under these terms lies in Hays County, Texas.</w:t>
      </w:r>
    </w:p>
    <w:p>
      <w:pPr>
        <w:spacing w:after="90" w:before="260"/>
      </w:pPr>
      <w:r>
        <w:rPr>
          <w:rFonts w:ascii="Calibri" w:cs="Calibri" w:eastAsia="Calibri" w:hAnsi="Calibri"/>
          <w:b/>
          <w:bCs/>
          <w:color w:val="1F2937"/>
          <w:sz w:val="24"/>
          <w:szCs w:val="24"/>
        </w:rPr>
        <w:t xml:space="preserve">Deposits &amp; Special Order Requirements</w:t>
      </w:r>
    </w:p>
    <w:p>
      <w:pPr>
        <w:spacing w:after="110" w:line="264"/>
      </w:pPr>
      <w:r>
        <w:rPr>
          <w:rFonts w:ascii="Calibri" w:cs="Calibri" w:eastAsia="Calibri" w:hAnsi="Calibri"/>
          <w:sz w:val="21"/>
          <w:szCs w:val="21"/>
        </w:rPr>
        <w:t xml:space="preserve">Certain projects may require deposits prior to product procurement, scheduling, or installation. This is especially applicable for:</w:t>
      </w:r>
    </w:p>
    <w:p>
      <w:pPr>
        <w:pStyle w:val="ListParagraph"/>
        <w:numPr>
          <w:ilvl w:val="0"/>
          <w:numId w:val="2"/>
        </w:numPr>
        <w:spacing w:after="40" w:line="264"/>
      </w:pPr>
      <w:r>
        <w:rPr>
          <w:rFonts w:ascii="Calibri" w:cs="Calibri" w:eastAsia="Calibri" w:hAnsi="Calibri"/>
          <w:sz w:val="21"/>
          <w:szCs w:val="21"/>
        </w:rPr>
        <w:t xml:space="preserve">Custom or build-to-order products</w:t>
      </w:r>
    </w:p>
    <w:p>
      <w:pPr>
        <w:pStyle w:val="ListParagraph"/>
        <w:numPr>
          <w:ilvl w:val="0"/>
          <w:numId w:val="2"/>
        </w:numPr>
        <w:spacing w:after="40" w:line="264"/>
      </w:pPr>
      <w:r>
        <w:rPr>
          <w:rFonts w:ascii="Calibri" w:cs="Calibri" w:eastAsia="Calibri" w:hAnsi="Calibri"/>
          <w:sz w:val="21"/>
          <w:szCs w:val="21"/>
        </w:rPr>
        <w:t xml:space="preserve">Special-order or non-stock items</w:t>
      </w:r>
    </w:p>
    <w:p>
      <w:pPr>
        <w:pStyle w:val="ListParagraph"/>
        <w:numPr>
          <w:ilvl w:val="0"/>
          <w:numId w:val="2"/>
        </w:numPr>
        <w:spacing w:after="40" w:line="264"/>
      </w:pPr>
      <w:r>
        <w:rPr>
          <w:rFonts w:ascii="Calibri" w:cs="Calibri" w:eastAsia="Calibri" w:hAnsi="Calibri"/>
          <w:sz w:val="21"/>
          <w:szCs w:val="21"/>
        </w:rPr>
        <w:t xml:space="preserve">Large-scale projects</w:t>
      </w:r>
    </w:p>
    <w:p>
      <w:pPr>
        <w:pStyle w:val="ListParagraph"/>
        <w:numPr>
          <w:ilvl w:val="0"/>
          <w:numId w:val="2"/>
        </w:numPr>
        <w:spacing w:after="40" w:line="264"/>
      </w:pPr>
      <w:r>
        <w:rPr>
          <w:rFonts w:ascii="Calibri" w:cs="Calibri" w:eastAsia="Calibri" w:hAnsi="Calibri"/>
          <w:sz w:val="21"/>
          <w:szCs w:val="21"/>
        </w:rPr>
        <w:t xml:space="preserve">Projects with extended construction timelines</w:t>
      </w:r>
    </w:p>
    <w:p>
      <w:pPr>
        <w:pStyle w:val="ListParagraph"/>
        <w:numPr>
          <w:ilvl w:val="0"/>
          <w:numId w:val="2"/>
        </w:numPr>
        <w:spacing w:after="40" w:line="264"/>
      </w:pPr>
      <w:r>
        <w:rPr>
          <w:rFonts w:ascii="Calibri" w:cs="Calibri" w:eastAsia="Calibri" w:hAnsi="Calibri"/>
          <w:sz w:val="21"/>
          <w:szCs w:val="21"/>
        </w:rPr>
        <w:t xml:space="preserve">Early procurement requests intended to secure current pricing and product availability</w:t>
      </w:r>
    </w:p>
    <w:p>
      <w:pPr>
        <w:spacing w:after="110" w:before="110" w:line="264"/>
      </w:pPr>
      <w:r>
        <w:rPr>
          <w:rFonts w:ascii="Calibri" w:cs="Calibri" w:eastAsia="Calibri" w:hAnsi="Calibri"/>
          <w:sz w:val="21"/>
          <w:szCs w:val="21"/>
        </w:rPr>
        <w:t xml:space="preserve">For projects with extended timelines, Wilson AC &amp; Appliance may purchase and warehouse product in advance to help protect the project from manufacturer price increases, allocation issues, or product discontinuations. In these cases, deposits are generally required to cover committed supplier costs and reserved inventory.</w:t>
      </w:r>
    </w:p>
    <w:p>
      <w:pPr>
        <w:spacing w:after="110" w:line="264"/>
      </w:pPr>
      <w:r>
        <w:rPr>
          <w:rFonts w:ascii="Calibri" w:cs="Calibri" w:eastAsia="Calibri" w:hAnsi="Calibri"/>
          <w:sz w:val="21"/>
          <w:szCs w:val="21"/>
        </w:rPr>
        <w:t xml:space="preserve">Deposit requirements may vary based on project scope, product mix, lead times, and manufacturer policies.</w:t>
      </w:r>
    </w:p>
    <w:p>
      <w:pPr>
        <w:spacing w:after="90" w:before="260"/>
      </w:pPr>
      <w:r>
        <w:rPr>
          <w:rFonts w:ascii="Calibri" w:cs="Calibri" w:eastAsia="Calibri" w:hAnsi="Calibri"/>
          <w:b/>
          <w:bCs/>
          <w:color w:val="1F2937"/>
          <w:sz w:val="24"/>
          <w:szCs w:val="24"/>
        </w:rPr>
        <w:t xml:space="preserve">Pricing &amp; Order Approval</w:t>
      </w:r>
    </w:p>
    <w:p>
      <w:pPr>
        <w:spacing w:after="110" w:line="264"/>
      </w:pPr>
      <w:r>
        <w:rPr>
          <w:rFonts w:ascii="Calibri" w:cs="Calibri" w:eastAsia="Calibri" w:hAnsi="Calibri"/>
          <w:sz w:val="21"/>
          <w:szCs w:val="21"/>
        </w:rPr>
        <w:t xml:space="preserve">All quotations are based on manufacturer pricing, tariffs, freight conditions, availability, and market conditions at the time issued. Quotes are subject to repricing or withdrawal at any time prior to approval by the Builder or issuance of a purchase order.</w:t>
      </w:r>
    </w:p>
    <w:p>
      <w:pPr>
        <w:spacing w:after="110" w:line="264"/>
      </w:pPr>
      <w:r>
        <w:rPr>
          <w:rFonts w:ascii="Calibri" w:cs="Calibri" w:eastAsia="Calibri" w:hAnsi="Calibri"/>
          <w:sz w:val="21"/>
          <w:szCs w:val="21"/>
        </w:rPr>
        <w:t xml:space="preserve">Once an order has been approved by the Builder, pricing for the approved order will not be revised for a period of six (6) months from the date of approval.</w:t>
      </w:r>
    </w:p>
    <w:p>
      <w:pPr>
        <w:spacing w:after="110" w:line="264"/>
      </w:pPr>
      <w:r>
        <w:rPr>
          <w:rFonts w:ascii="Calibri" w:cs="Calibri" w:eastAsia="Calibri" w:hAnsi="Calibri"/>
          <w:sz w:val="21"/>
          <w:szCs w:val="21"/>
        </w:rPr>
        <w:t xml:space="preserve">Approved orders that extend beyond six (6) months without deposit or product payment may be subject to price adjustments resulting from manufacturer price increases, tariffs, freight changes, discontinued products, or other supplier-related cost changes.</w:t>
      </w:r>
    </w:p>
    <w:p>
      <w:pPr>
        <w:spacing w:after="110" w:line="264"/>
      </w:pPr>
      <w:r>
        <w:rPr>
          <w:rFonts w:ascii="Calibri" w:cs="Calibri" w:eastAsia="Calibri" w:hAnsi="Calibri"/>
          <w:sz w:val="21"/>
          <w:szCs w:val="21"/>
        </w:rPr>
        <w:t xml:space="preserve">For projects with extended construction timelines, payment for product may be required in advance to secure pricing, inventory allocation, and product availability. Product payment secures appliance pricing only and does not include installation, delivery, storage, service, or other project-related charges unless specifically stated otherwise.</w:t>
      </w:r>
    </w:p>
    <w:p>
      <w:pPr>
        <w:spacing w:after="110" w:line="264"/>
      </w:pPr>
      <w:r>
        <w:rPr>
          <w:rFonts w:ascii="Calibri" w:cs="Calibri" w:eastAsia="Calibri" w:hAnsi="Calibri"/>
          <w:sz w:val="21"/>
          <w:szCs w:val="21"/>
        </w:rPr>
        <w:t xml:space="preserve">Approved delivery and installation charges will not be revised after order approval except in cases of scope changes, site condition changes, schedule delays that materially impact labor requirements, Builder-requested changes, or additional work outside the original proposal scope.</w:t>
      </w:r>
    </w:p>
    <w:p>
      <w:pPr>
        <w:spacing w:after="110" w:line="264"/>
      </w:pPr>
      <w:r>
        <w:rPr>
          <w:rFonts w:ascii="Calibri" w:cs="Calibri" w:eastAsia="Calibri" w:hAnsi="Calibri"/>
          <w:sz w:val="21"/>
          <w:szCs w:val="21"/>
        </w:rPr>
        <w:t xml:space="preserve">Wilson AC &amp; Appliance will make reasonable efforts to communicate known manufacturer price changes in advance whenever possible for both outstanding quotations and approved orders exceeding six (6) months from approval. Builders will have thirty (30) days from notification to approve revised pricing, submit required deposits or product payment, modify the order, or cancel affected products.</w:t>
      </w:r>
    </w:p>
    <w:p>
      <w:pPr>
        <w:spacing w:after="90" w:before="260"/>
      </w:pPr>
      <w:r>
        <w:rPr>
          <w:rFonts w:ascii="Calibri" w:cs="Calibri" w:eastAsia="Calibri" w:hAnsi="Calibri"/>
          <w:b/>
          <w:bCs/>
          <w:color w:val="1F2937"/>
          <w:sz w:val="24"/>
          <w:szCs w:val="24"/>
        </w:rPr>
        <w:t xml:space="preserve">Returns &amp; Cancellations</w:t>
      </w:r>
    </w:p>
    <w:p>
      <w:pPr>
        <w:spacing w:after="110" w:line="264"/>
      </w:pPr>
      <w:r>
        <w:rPr>
          <w:rFonts w:ascii="Calibri" w:cs="Calibri" w:eastAsia="Calibri" w:hAnsi="Calibri"/>
          <w:sz w:val="21"/>
          <w:szCs w:val="21"/>
        </w:rPr>
        <w:t xml:space="preserve">Returns and cancellations for special-order, custom, or build-to-order products are subject to manufacturer approval and may be denied or subject to restocking fees.</w:t>
      </w:r>
    </w:p>
    <w:p>
      <w:pPr>
        <w:spacing w:after="110" w:line="264"/>
      </w:pPr>
      <w:r>
        <w:rPr>
          <w:rFonts w:ascii="Calibri" w:cs="Calibri" w:eastAsia="Calibri" w:hAnsi="Calibri"/>
          <w:sz w:val="21"/>
          <w:szCs w:val="21"/>
        </w:rPr>
        <w:t xml:space="preserve">Authorized returns of standard assortment merchandise are subject to a twenty-five percent (25%) restocking fee.</w:t>
      </w:r>
    </w:p>
    <w:p>
      <w:pPr>
        <w:spacing w:after="110" w:line="264"/>
      </w:pPr>
      <w:r>
        <w:rPr>
          <w:rFonts w:ascii="Calibri" w:cs="Calibri" w:eastAsia="Calibri" w:hAnsi="Calibri"/>
          <w:sz w:val="21"/>
          <w:szCs w:val="21"/>
        </w:rPr>
        <w:t xml:space="preserve">Claims for damage, shortage, or product defect must be submitted in writing within three (3) business days of delivery.</w:t>
      </w:r>
    </w:p>
    <w:p>
      <w:pPr>
        <w:spacing w:after="110" w:line="264"/>
      </w:pPr>
      <w:r>
        <w:rPr>
          <w:rFonts w:ascii="Calibri" w:cs="Calibri" w:eastAsia="Calibri" w:hAnsi="Calibri"/>
          <w:sz w:val="21"/>
          <w:szCs w:val="21"/>
        </w:rPr>
        <w:t xml:space="preserve">Stored or reserved inventory associated with delayed projects may also be subject to storage fees, revised pricing, or additional terms if project timelines materially change.</w:t>
      </w:r>
    </w:p>
    <w:p>
      <w:pPr>
        <w:spacing w:after="110" w:before="200" w:line="264"/>
      </w:pPr>
      <w:r>
        <w:rPr>
          <w:rFonts w:ascii="Calibri" w:cs="Calibri" w:eastAsia="Calibri" w:hAnsi="Calibri"/>
          <w:b/>
          <w:bCs/>
          <w:sz w:val="21"/>
          <w:szCs w:val="21"/>
        </w:rPr>
        <w:t xml:space="preserve">Acceptance of Terms: </w:t>
      </w:r>
      <w:r>
        <w:rPr>
          <w:rFonts w:ascii="Calibri" w:cs="Calibri" w:eastAsia="Calibri" w:hAnsi="Calibri"/>
          <w:sz w:val="21"/>
          <w:szCs w:val="21"/>
        </w:rPr>
        <w:t xml:space="preserve">Placement of orders and/or acceptance of delivery constitutes acceptance of these credit and payment terms unless otherwise agreed in writing. These terms, together with the signed Trade Partner Credit Application, constitute the complete credit agreement between Wilson AC &amp; Appliance and the Builder. In the event of any conflict, this document controls.</w:t>
      </w:r>
    </w:p>
    <w:p>
      <w:pPr>
        <w:spacing w:before="240"/>
        <w:jc w:val="center"/>
      </w:pPr>
      <w:r>
        <w:rPr>
          <w:rFonts w:ascii="Calibri" w:cs="Calibri" w:eastAsia="Calibri" w:hAnsi="Calibri"/>
          <w:color w:val="6B7280"/>
          <w:sz w:val="18"/>
          <w:szCs w:val="18"/>
        </w:rPr>
        <w:t xml:space="preserve">Wilson AC &amp; Appliance • Austin | Dripping Springs | San Antonio</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2026-08-05T18:35:57.687Z</dcterms:created>
  <dcterms:modified xsi:type="dcterms:W3CDTF">2026-08-05T18:35:57.702Z</dcterms:modified>
</cp:coreProperties>
</file>

<file path=docProps/custom.xml><?xml version="1.0" encoding="utf-8"?>
<Properties xmlns="http://schemas.openxmlformats.org/officeDocument/2006/custom-properties" xmlns:vt="http://schemas.openxmlformats.org/officeDocument/2006/docPropsVTypes"/>
</file>