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126" w:firstLine="709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2126" w:firstLine="709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Drzewo decyzyjne autentyczno</w:t>
      </w: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ści banknotu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Marcin 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ława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Uniwersytet Ekonomiczny w Katowicach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Informatyki i Komunikacji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Kierunek: Informatyka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Opracowanie teoretyczne </w:t>
      </w:r>
    </w:p>
    <w:p>
      <w:pPr>
        <w:spacing w:before="0" w:after="200" w:line="276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Wst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ęp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 napisano w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ęzyku Python z wykorzystaniem narzędzia Jupyter Notebook. Kod został opisany z metodami, klasami, zmiennymi w języku angielskim. Do kodu dołączone komentarze w języku polskim. Program krok po kroku pokazuje wykonanie Drzewa decyzyjnego autentyczności banknotu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Drzewo decyzyjne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na czym polega ?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Drzewo decyzyjne jest graficzn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metodą,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óra pomaga w procesach decyzyjnych,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ędąca jedną z najczęstszych technik używanych analizy danych. Drzewa decyzyjne składają się z korzenia oraz gałęzi prowadzące z korzenia do następnych wierzchołk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Wierzcho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łki,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órych wychodzi co najmniej jedna kraw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ędź, są nazywane węzłami, a pozostałe wierzchołki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śćmi.</w:t>
      </w:r>
    </w:p>
    <w:p>
      <w:pPr>
        <w:spacing w:before="0" w:after="200" w:line="276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Drzewo decyzyjne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zastosowanie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Drzewa decyzyjne znajduj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praktyczne zastosowanie w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żnego rodzaju problemach decyzyjnych, szczeg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ólnie takich gdzie wyst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ępuje dużo rozgałęziających się wariant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a tak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w warunkach ryzyka.  Drzewa decyzyjne znalazły zastosowanie m.in. w takich dziedzinach jak medycyna czy  botanika, ekonomii.</w:t>
      </w:r>
    </w:p>
    <w:p>
      <w:pPr>
        <w:spacing w:before="0" w:after="200" w:line="276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Drzewo decyzyjne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zalety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Istnieje kilka zalet korzystania z drzew decyzyjnych do analizy predykcyjnej: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Drzewa decyzyjne mog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być używane do przewidywania zar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ówno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ciągłych, jak i dyskretnych, czyli działają dobrze zar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ówno dla zada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regresji, jak i klasyfikacji.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Wymagaj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one stosunkowo mniej wysiłku do szkolenia algorytmu.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one służyć do klasyfikowania nieliniowo rozdzielnych danych.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bardzo szybkie i wydajne w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ównaniu do KNN i innych algorytmów klasyfikacji.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3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żnymi  pojęciami w projekcie są: wariancja, skośność, entropia, kurtoza, macierz błęd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i wynik F1. </w:t>
      </w:r>
    </w:p>
    <w:p>
      <w:pPr>
        <w:spacing w:before="0" w:after="200" w:line="276"/>
        <w:ind w:right="0" w:left="0" w:firstLine="3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Wariancja informuje o tym, w jak 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żym stopniu jest  zr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żnicowanie wynik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w danym zbiorze wyników (zmiennej), czyli czy wyniki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bardziej skoncentrowane wok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średniej, czy są małe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żnice pomiędzy średnią a poszczeg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ólnymi wynikami czy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rozproszenie wynik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jest 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że, duża jest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żnica poszczeg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ólnych wyników od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średniej.</w:t>
      </w:r>
    </w:p>
    <w:p>
      <w:pPr>
        <w:spacing w:before="0" w:after="200" w:line="276"/>
        <w:ind w:right="0" w:left="0" w:firstLine="3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śność informuje o tym jak wyniki dla danej zmiennej kształtują się wok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średniej. Czy większość zaobserwowanych wynik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jest z lewej strony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średniej, blisko wartości średniej czy z prawej strony średniej? Innymi słowy, czy w naszym zbiorze obserwacji więcej jest wynik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które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niższe niż średnia dla całej grupy, wyższe czy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średniej.</w:t>
      </w:r>
    </w:p>
    <w:p>
      <w:pPr>
        <w:spacing w:before="0" w:after="200" w:line="276"/>
        <w:ind w:right="0" w:left="0" w:firstLine="3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Entropia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termodynamiczna funkcja stanu, okre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ślająca kierunek przebiegu proces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spontanicznych (samorzutnych) w odosobnionym uk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ładzie termodynamicznym. Entropia jest miarą stopnia nieuporządkowania układu i rozproszenia energii oraz jest wielkością ekstensywną. Zgodnie z drugą zasadą termodynamiki, jeżeli układ termodynamiczny przechodzi od jednego stanu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ównowagi do drugiego, bez udzia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łu czynnik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zewn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ętrznych, to jego entropia zawsze rośnie.</w:t>
      </w:r>
    </w:p>
    <w:p>
      <w:pPr>
        <w:spacing w:before="0" w:after="200" w:line="276"/>
        <w:ind w:right="0" w:left="0" w:firstLine="3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Kurtoza jest to wzgl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ędna miara koncentracji i spłaszczenia rozkładu. Określa rozmieszczenie i koncentrację wartości (zbiorowości) w pobliżu średniej. Występuje on </w:t>
        <w:br/>
        <w:t xml:space="preserve">w postaci stosującej moment centralny czwartego rzędu.</w:t>
      </w:r>
    </w:p>
    <w:p>
      <w:pPr>
        <w:spacing w:before="0" w:after="200" w:line="276"/>
        <w:ind w:right="0" w:left="354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831" w:dyaOrig="1112">
          <v:rect xmlns:o="urn:schemas-microsoft-com:office:office" xmlns:v="urn:schemas-microsoft-com:vml" id="rectole0000000000" style="width:91.550000pt;height:5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Gdzie: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m4 oznacza moment centralny 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ędu czwartego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s2 jest odchyleniem standardowym podniesionym do czwartej pot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ęgi.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Tablica pomy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łek (macierz błęd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swoje zastosowanie ma  przy ocenie jako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klasyfikacji binarnej (na dwie klasy). Dane oznaczone etykietami: pozytywną i negatywną poddawane są klasyfikacji,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óra przypisuje im predykowan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klasę pozytywną albo predykowaną klasę negatywną. Możliwa jest sytuacja, że dana oryginalnie oznaczona jako pozytywna zostanie omyłkowo zaklasyfikowana jako negatywną. Wszystkie takie sytuacje przedstawia tablica pomyłek.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804" w:dyaOrig="2657">
          <v:rect xmlns:o="urn:schemas-microsoft-com:office:office" xmlns:v="urn:schemas-microsoft-com:vml" id="rectole0000000001" style="width:340.200000pt;height:13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Wynik F1 jest harmoniczn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średnią precyzji i przypomnień, gdzie wynik F1 jest najlepszy, gdy wynosi 1 (doskonała precyzja i przypomnieć). Bierze pod uwagę zar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ówno dok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ładność p, jak i wycofanie r testu w celu obliczenia wyniku: p jest liczbą prawidłowych pozytywnych wynik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podzielon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przez liczbę wszystkich pozytywnych wynik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zwróconych przez klasyfikator, natomiast r jest liczb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prawidłowych pozytywnych wynik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podzielon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przez liczbę wszystkich odpowiednich pr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óbek (wszystkie próbki, które powinny zosta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zidentyfikowane jako pozytywne).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Spis bibliotek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żywanych w projekcie: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Pandas - bibliotek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oprogramowania napisaną dla języka programowania Python do manipulowania i analizy danych. W szczeg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oferuje struktury danych i operacje do manipulowania tabelami numerycznymi i szeregami czasowymi. Jest to wolne oprogramowanie wydane na podstawie trzypunktowej licencji BSD.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Numpy - jest bibliotek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dla języka programowania Pythona, dodając obsługę dużych, wielowymiarowych tablic i macierzy, wraz z dużą kolekcją funkcji matematycznych wysokiego poziomu do pracy na tych tablicach.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Matplotlib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biblioteka do tworzenia wykres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dla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ęzyka programowania Python </w:t>
        <w:br/>
        <w:t xml:space="preserve">i jego rozszerzenia numerycznego NumPy. Zawiera ona API "pylab" zaprojektowane tak aby było jak najbardziej podobne do MATLAB’a, przez co jest łatwy do nauczenia przez jego użytkownik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Opracowanie praktyczne</w:t>
      </w:r>
    </w:p>
    <w:p>
      <w:pPr>
        <w:spacing w:before="0" w:after="200" w:line="276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ma za zadanie sprawdzi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ć, czy banknot jest autentyczny czy może fałszywy </w:t>
        <w:br/>
        <w:t xml:space="preserve">w zależności od następujących atrybut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ów: wariancja, sko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śność, kurtoza, entropia oraz klasa. Dane,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óre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wykorzystywane w projekcie zostaną dodane do załącznika projektu. 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Kroki jakie zosta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ły wykonane w projekcie to import bibliotek i zestawu danych, analiza danych, podział danych na zestawy szkoleniowe i testowe, wyszkolenie algorytmu oraz ocena wydajności algorytmu w zestawie danych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Importowanie bibliotek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 zrzut ekranu zaimportowanych bibliotek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709" w:dyaOrig="1371">
          <v:rect xmlns:o="urn:schemas-microsoft-com:office:office" xmlns:v="urn:schemas-microsoft-com:vml" id="rectole0000000002" style="width:435.450000pt;height:6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Importowanie zestawu danych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 racji,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plik jest w formacie CSV, musimy użyć metody pandas do odczytu pliku z zestawem danych. Skrypt wygląda następująco: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89" w:dyaOrig="610">
          <v:rect xmlns:o="urn:schemas-microsoft-com:office:office" xmlns:v="urn:schemas-microsoft-com:vml" id="rectole0000000003" style="width:399.450000pt;height:3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Analiza danych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391" w:dyaOrig="987">
          <v:rect xmlns:o="urn:schemas-microsoft-com:office:office" xmlns:v="urn:schemas-microsoft-com:vml" id="rectole0000000004" style="width:319.550000pt;height:49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Wykonanie powy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ższego polecenia wyświetla liczbę wierszy oraz kolumn z naszego zestawu danych. Otrzymane dane pokazują 1372 rekordy oraz 5 atrybut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086" w:dyaOrig="3518">
          <v:rect xmlns:o="urn:schemas-microsoft-com:office:office" xmlns:v="urn:schemas-microsoft-com:vml" id="rectole0000000005" style="width:404.300000pt;height:175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ższe polecenia pokazuje dane dla pierwszych dziesięciu rekord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zestawu danych.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Przygotowanie danych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709" w:dyaOrig="1481">
          <v:rect xmlns:o="urn:schemas-microsoft-com:office:office" xmlns:v="urn:schemas-microsoft-com:vml" id="rectole0000000006" style="width:435.450000pt;height:74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ępnie otrzymane dane trzeba podzielić na atrybuty  i etykiety. Zmienna X zawiera wszystkie kolumny, natomiast zmienna Y zawiera etykiety, w tym przypadku tylko Class. Metodę Axis= 1 stosuje  się w każdym wierszu lub do etykiet kolumn.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 danych na zestawy szkoleniowe i testowe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biblioteki Scikit-Learn importujemy metod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train_test_split.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9" w:dyaOrig="1290">
          <v:rect xmlns:o="urn:schemas-microsoft-com:office:office" xmlns:v="urn:schemas-microsoft-com:vml" id="rectole0000000007" style="width:435.450000pt;height:64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Nast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ępnie jak w kodzie powyżej parameter test_size określa stosunek zestawu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który jest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żywany do podzielenia 20% do testu i 80% do szkolenia.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  <w:t xml:space="preserve">Szkolenia i przewidywanie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Po podzieleniu zestawu danych na szkoleniowe i testowe mo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żna dokonać szkolenia algorytmu drzewa decyzyjnego przy użyciu posiadanych danych oraz można dokonać prognozy.  Biblioteka Scikit-Learn zawiera bibliotekę, kt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óra posiada wbudowane metody oraz klasy dla ro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żnych algorytm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ów drzewa decyzyjnego. 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  <w:r>
        <w:object w:dxaOrig="7134" w:dyaOrig="3823">
          <v:rect xmlns:o="urn:schemas-microsoft-com:office:office" xmlns:v="urn:schemas-microsoft-com:vml" id="rectole0000000008" style="width:356.700000pt;height:191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Powy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ższa metoda klasy jest wywoływana do szkolenia algorytmu na dane szkoleniowe, kt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óry przekazywany jest metodzie jako parametr.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Nast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ępnie, gdy klasyfikator został przeszkolony następnym krokiem jest zrobienie prognozy na danych testowych. Poniższy kod pokazuje jej składnie.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  <w:r>
        <w:object w:dxaOrig="8709" w:dyaOrig="646">
          <v:rect xmlns:o="urn:schemas-microsoft-com:office:office" xmlns:v="urn:schemas-microsoft-com:vml" id="rectole0000000009" style="width:435.450000pt;height:32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03030"/>
          <w:spacing w:val="0"/>
          <w:position w:val="0"/>
          <w:sz w:val="24"/>
          <w:shd w:fill="auto" w:val="clear"/>
        </w:rPr>
        <w:t xml:space="preserve">Ocena algorytmu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Dotychczas w naszym projekcie zosta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ł przeszkolony algorytm oraz zostały dokonana prognoza. Następnie zostanie sprawdzony jak dokładny jest algorytm. W przypadku wykonania zadania klasyfikacyjnego często używanymi metrykami są m.in. macierz błęd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ów, dok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ładność, odwołanie oraz wynik F1. W tym przypadku wraz z  biblioteką Scikit-Learn użyjemy metod. classification_report oraz confusion_matrix </w:t>
      </w: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  <w:r>
        <w:object w:dxaOrig="7487" w:dyaOrig="2208">
          <v:rect xmlns:o="urn:schemas-microsoft-com:office:office" xmlns:v="urn:schemas-microsoft-com:vml" id="rectole0000000010" style="width:374.350000pt;height:110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ab/>
        <w:t xml:space="preserve">Wywo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łanie powyższego kodu daje następujący wynik: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  <w:r>
        <w:object w:dxaOrig="6821" w:dyaOrig="2800">
          <v:rect xmlns:o="urn:schemas-microsoft-com:office:office" xmlns:v="urn:schemas-microsoft-com:vml" id="rectole0000000011" style="width:341.050000pt;height:140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ab/>
        <w:t xml:space="preserve">Z macierzy mo</w:t>
      </w:r>
      <w:r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  <w:t xml:space="preserve">żna zauważyć, że z 275 wystąpień testowych stworzony algorytm błędnie przyjął tylko 4 wartości. Dokładność wynosi 98,5%, co daje bardzo dobry wynik.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30303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łączniki: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Anaconda- Jupyter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https://www.anaconda.com/products/individual#windows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Zestaw danych wykorzystanych w projekcie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autentyczno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 bankota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https://archive.ics.uci.edu/ml/datasets/banknote+authentication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Bibliografia: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http://home.agh.edu.pl/~pmarynow/pliki/iwmet/drzewa.pdf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https://mfiles.pl/pl/index.php/Drzewo_decyzyjne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https://www.naukowiec.org/wiedza/statystyka/wariancja_719.html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https://pl.wikipedia.org/wiki/Entropia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https://www.naukowiec.org/wiedza/statystyka/skosnosc_714.html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https://mfiles.pl/pl/index.php/Kurtoza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https://pl.wikipedia.org/wiki/Tablica_pomy%C5%82ek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https://en.wikipedia.org/wiki/F1_score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3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3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Mode="External" Target="https://pl.wikipedia.org/wiki/Entropia" Id="docRId29" Type="http://schemas.openxmlformats.org/officeDocument/2006/relationships/hyperlink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Mode="External" Target="https://www.naukowiec.org/wiedza/statystyka/wariancja_719.html" Id="docRId28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mfiles.pl/pl/index.php/Drzewo_decyzyjne" Id="docRId27" Type="http://schemas.openxmlformats.org/officeDocument/2006/relationships/hyperlink" /><Relationship TargetMode="External" Target="https://www.naukowiec.org/wiedza/statystyka/skosnosc_714.html" Id="docRId30" Type="http://schemas.openxmlformats.org/officeDocument/2006/relationships/hyperlink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Mode="External" Target="http://home.agh.edu.pl/~pmarynow/pliki/iwmet/drzewa.pdf" Id="docRId26" Type="http://schemas.openxmlformats.org/officeDocument/2006/relationships/hyperlink" /><Relationship TargetMode="External" Target="https://mfiles.pl/pl/index.php/Kurtoza" Id="docRId31" Type="http://schemas.openxmlformats.org/officeDocument/2006/relationships/hyperlink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Mode="External" Target="https://archive.ics.uci.edu/ml/datasets/banknote+authentication" Id="docRId25" Type="http://schemas.openxmlformats.org/officeDocument/2006/relationships/hyperlink" /><Relationship TargetMode="External" Target="https://pl.wikipedia.org/wiki/Tablica_pomy%C5%82ek" Id="docRId32" Type="http://schemas.openxmlformats.org/officeDocument/2006/relationships/hyperlink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Mode="External" Target="https://www.anaconda.com/products/individual" Id="docRId24" Type="http://schemas.openxmlformats.org/officeDocument/2006/relationships/hyperlink" /><Relationship TargetMode="External" Target="https://en.wikipedia.org/wiki/F1_score" Id="docRId33" Type="http://schemas.openxmlformats.org/officeDocument/2006/relationships/hyperlink" /></Relationships>
</file>