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Proposal: Application, Business Plan, Financials &amp; Pitch Video Review Services | 2027 Tony Elumelu Foundation Entrepreneurship Programme</w:t>
      </w:r>
    </w:p>
    <w:p>
      <w:pPr>
        <w:pStyle w:val="Heading2"/>
      </w:pPr>
      <w:r>
        <w:t xml:space="preserve">Cover letter</w:t>
      </w:r>
    </w:p>
    <w:p>
      <w:pPr/>
      <w:r>
        <w:t xml:space="preserve">To: The Tony Elumelu Foundation (tender@tonyelumelufoundation.org)</w:t>
      </w:r>
    </w:p>
    <w:p>
      <w:pPr/>
      <w:r>
        <w:t xml:space="preserve">Re: Request for Proposals, Provision of Application, Business Plan, Financials &amp; Pitch Video Review Services for the 2027 Tony Elumelu Foundation Entrepreneurship Programme, issued 21 September 2026</w:t>
      </w:r>
    </w:p>
    <w:p>
      <w:pPr/>
      <w:r>
        <w:t xml:space="preserve">Smart Investment, in core partnership with Smart Impact Consult (SIC), submits this proposal for the single consolidated engagement described in Section 3 of the RFP.</w:t>
      </w:r>
    </w:p>
    <w:p>
      <w:pPr/>
      <w:r>
        <w:t xml:space="preserve">We confirm our understanding of the scope. Component 1 is a two-stage application review on TEFConnect. We train the enumerators TEF recruits to apply the rubric TEF supplies; they score every eligible application (Stage 1). We then provide expert reviewers who review the shortlisted applications, quality-assure the Stage 1 scoring and recommend entrepreneurs to TEF for selection (Stage 2). Component 2 applies only to entrepreneurs already selected. We design a standardised framework and guidelines for business plans and financial statements, submit it for TEF’s approval, train the selected entrepreneurs to use it, and review their submissions with structured feedback and re-review where necessary.</w:t>
      </w:r>
    </w:p>
    <w:p>
      <w:pPr/>
      <w:r>
        <w:t xml:space="preserve">We confirm our ability to deliver across all four languages: English, French, Portuguese and Arabic. English, French and Arabic are covered directly by our team. Portuguese is covered through a documented partnership arrangement with [partner name], as Section 8 of the RFP permits.</w:t>
      </w:r>
    </w:p>
    <w:p>
      <w:pPr/>
      <w:r>
        <w:t xml:space="preserve">We confirm that all review work will be conducted on TEFConnect, that no applicant data will be reviewed, stored or processed outside it, and that we accept the Foundation’s intellectual property and confidentiality terms. This proposal remains valid for 120 days from the submission deadline.</w:t>
      </w:r>
    </w:p>
    <w:p>
      <w:pPr/>
      <w:r>
        <w:t xml:space="preserve">Regina Love Clarkson</w:t>
      </w:r>
    </w:p>
    <w:p>
      <w:pPr/>
      <w:r>
        <w:t xml:space="preserve">Team Lead, Smart Impact Consult</w:t>
      </w:r>
    </w:p>
    <w:p>
      <w:pPr/>
      <w:r>
        <w:t xml:space="preserve">1 October 2026</w:t>
      </w:r>
    </w:p>
    <w:p>
      <w:pPr>
        <w:pStyle w:val="Heading2"/>
      </w:pPr>
      <w:r>
        <w:t xml:space="preserve">Technical proposal</w:t>
      </w:r>
    </w:p>
    <w:p>
      <w:pPr>
        <w:pStyle w:val="Heading3"/>
      </w:pPr>
      <w:r>
        <w:t xml:space="preserve">1 Understanding of the assignment</w:t>
      </w:r>
    </w:p>
    <w:p>
      <w:pPr/>
      <w:r>
        <w:t xml:space="preserve">The Foundation asks for one consultant to run the expert side of a two-stage application review and then, for the entrepreneurs selected, a structured review of business plans, financials and pitch videos. Everything happens on TEFConnect, in four languages.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 of the assignment</w:t>
            </w:r>
          </w:p>
        </w:tc>
        <w:tc>
          <w:tcPr>
            <w:tcW w:w="2340" w:type="dxa"/>
            <w:shd w:val="clear" w:color="auto" w:fill="F2F2F2"/>
          </w:tcPr>
          <w:p>
            <w:pPr/>
            <w:r>
              <w:t xml:space="preserve">Who does what</w:t>
            </w:r>
          </w:p>
        </w:tc>
        <w:tc>
          <w:tcPr>
            <w:tcW w:w="2340" w:type="dxa"/>
            <w:shd w:val="clear" w:color="auto" w:fill="F2F2F2"/>
          </w:tcPr>
          <w:p>
            <w:pPr/>
            <w:r>
              <w:t xml:space="preserve">Our responsibility</w:t>
            </w:r>
          </w:p>
        </w:tc>
        <w:tc>
          <w:tcPr>
            <w:tcW w:w="2340" w:type="dxa"/>
            <w:shd w:val="clear" w:color="auto" w:fill="F2F2F2"/>
          </w:tcPr>
          <w:p>
            <w:pPr/>
            <w:r>
              <w:t xml:space="preserve">Output</w:t>
            </w:r>
          </w:p>
        </w:tc>
      </w:tr>
      <w:tr>
        <w:tc>
          <w:tcPr>
            <w:tcW w:w="2340" w:type="dxa"/>
          </w:tcPr>
          <w:p>
            <w:pPr/>
            <w:r>
              <w:t xml:space="preserve">Component 1, Stage 1</w:t>
            </w:r>
          </w:p>
        </w:tc>
        <w:tc>
          <w:tcPr>
            <w:tcW w:w="2340" w:type="dxa"/>
          </w:tcPr>
          <w:p>
            <w:pPr/>
            <w:r>
              <w:t xml:space="preserve">TEF-recruited enumerators score every eligible application against TEF’s rubric</w:t>
            </w:r>
          </w:p>
        </w:tc>
        <w:tc>
          <w:tcPr>
            <w:tcW w:w="2340" w:type="dxa"/>
          </w:tcPr>
          <w:p>
            <w:pPr/>
            <w:r>
              <w:t xml:space="preserve">Train the enumerators so that they apply the rubric consistently</w:t>
            </w:r>
          </w:p>
        </w:tc>
        <w:tc>
          <w:tcPr>
            <w:tcW w:w="2340" w:type="dxa"/>
          </w:tcPr>
          <w:p>
            <w:pPr/>
            <w:r>
              <w:t xml:space="preserve">Trained enumerators; Stage 1 scores used to shortlist</w:t>
            </w:r>
          </w:p>
        </w:tc>
      </w:tr>
      <w:tr>
        <w:tc>
          <w:tcPr>
            <w:tcW w:w="2340" w:type="dxa"/>
          </w:tcPr>
          <w:p>
            <w:pPr/>
            <w:r>
              <w:t xml:space="preserve">Component 1, Stage 2</w:t>
            </w:r>
          </w:p>
        </w:tc>
        <w:tc>
          <w:tcPr>
            <w:tcW w:w="2340" w:type="dxa"/>
          </w:tcPr>
          <w:p>
            <w:pPr/>
            <w:r>
              <w:t xml:space="preserve">Our expert reviewers review the shortlisted applications</w:t>
            </w:r>
          </w:p>
        </w:tc>
        <w:tc>
          <w:tcPr>
            <w:tcW w:w="2340" w:type="dxa"/>
          </w:tcPr>
          <w:p>
            <w:pPr/>
            <w:r>
              <w:t xml:space="preserve">Expert review, quality assurance of Stage 1 scoring, recommendation of entrepreneurs</w:t>
            </w:r>
          </w:p>
        </w:tc>
        <w:tc>
          <w:tcPr>
            <w:tcW w:w="2340" w:type="dxa"/>
          </w:tcPr>
          <w:p>
            <w:pPr/>
            <w:r>
              <w:t xml:space="preserve">Recommendation to TEF for selection</w:t>
            </w:r>
          </w:p>
        </w:tc>
      </w:tr>
      <w:tr>
        <w:tc>
          <w:tcPr>
            <w:tcW w:w="2340" w:type="dxa"/>
          </w:tcPr>
          <w:p>
            <w:pPr/>
            <w:r>
              <w:t xml:space="preserve">Component 2</w:t>
            </w:r>
          </w:p>
        </w:tc>
        <w:tc>
          <w:tcPr>
            <w:tcW w:w="2340" w:type="dxa"/>
          </w:tcPr>
          <w:p>
            <w:pPr/>
            <w:r>
              <w:t xml:space="preserve">Selected entrepreneurs submit business plans, financials and pitch videos</w:t>
            </w:r>
          </w:p>
        </w:tc>
        <w:tc>
          <w:tcPr>
            <w:tcW w:w="2340" w:type="dxa"/>
          </w:tcPr>
          <w:p>
            <w:pPr/>
            <w:r>
              <w:t xml:space="preserve">Design the submission framework and guidelines, train entrepreneurs, review in four languages, re-review where needed</w:t>
            </w:r>
          </w:p>
        </w:tc>
        <w:tc>
          <w:tcPr>
            <w:tcW w:w="2340" w:type="dxa"/>
          </w:tcPr>
          <w:p>
            <w:pPr/>
            <w:r>
              <w:t xml:space="preserve">TEF-approved framework; trained entrepreneurs; reviews with feedback</w:t>
            </w:r>
          </w:p>
        </w:tc>
      </w:tr>
    </w:tbl>
    <w:p>
      <w:pPr/>
      <w:r>
        <w:t xml:space="preserve">For planning, the RFP indicates about 100,000 applications reaching Stage 1 and about 10,000 shortlisted to Stage 2 in a typical cycle. It also says actual volumes will vary, so we price per review (Section 8 of this proposal) and size our team from the volumes confirmed at award.</w:t>
      </w:r>
    </w:p>
    <w:p>
      <w:pPr/>
      <w:r>
        <w:t xml:space="preserve">We draw four consequences from the RFP:</w:t>
      </w:r>
    </w:p>
    <w:p>
      <w:pPr>
        <w:pStyle w:val="ListParagraph"/>
        <w:numPr>
          <w:ilvl w:val="0"/>
          <w:numId w:val="2"/>
        </w:numPr>
      </w:pPr>
      <w:r>
        <w:rPr>
          <w:b/>
        </w:rPr>
        <w:t xml:space="preserve">Stage 1 consistency decides the quality of everything after it.</w:t>
      </w:r>
      <w:r>
        <w:t xml:space="preserve"> Enumerators produce the scores that create the shortlist. If their scoring drifts, strong applicants are lost before an expert sees them. Our job is to make Stage 1 scores trustworthy, through training before they start and quality assurance while they work.</w:t>
      </w:r>
    </w:p>
    <w:p>
      <w:pPr>
        <w:pStyle w:val="ListParagraph"/>
        <w:numPr>
          <w:ilvl w:val="0"/>
          <w:numId w:val="2"/>
        </w:numPr>
      </w:pPr>
      <w:r>
        <w:rPr>
          <w:b/>
        </w:rPr>
        <w:t xml:space="preserve">The two roles are different and must stay different.</w:t>
      </w:r>
      <w:r>
        <w:t xml:space="preserve"> Enumerators apply TEF’s rubric at volume; expert reviewers exercise judgement on the shortlist and check the enumerators’ work. We train for the first and staff for the second.</w:t>
      </w:r>
    </w:p>
    <w:p>
      <w:pPr>
        <w:pStyle w:val="ListParagraph"/>
        <w:numPr>
          <w:ilvl w:val="0"/>
          <w:numId w:val="2"/>
        </w:numPr>
      </w:pPr>
      <w:r>
        <w:rPr>
          <w:b/>
        </w:rPr>
        <w:t xml:space="preserve">Component 2 is a post-selection review.</w:t>
      </w:r>
      <w:r>
        <w:t xml:space="preserve"> The entrepreneurs are already in the Programme, so the review is as much about helping them improve as about assessing them. This is why feedback and re-review are part of the scope, and why we start by giving non-technical entrepreneurs a framework they can follow.</w:t>
      </w:r>
    </w:p>
    <w:p>
      <w:pPr>
        <w:pStyle w:val="ListParagraph"/>
        <w:numPr>
          <w:ilvl w:val="0"/>
          <w:numId w:val="2"/>
        </w:numPr>
      </w:pPr>
      <w:r>
        <w:rPr>
          <w:b/>
        </w:rPr>
        <w:t xml:space="preserve">The calendar is tight and the data is sensitive.</w:t>
      </w:r>
      <w:r>
        <w:t xml:space="preserve"> Component 1 must finish between 1 January and 10 March 2027, about ten weeks, and no applicant data may leave TEFConnect.</w:t>
      </w:r>
    </w:p>
    <w:p>
      <w:pPr>
        <w:pStyle w:val="Heading3"/>
      </w:pPr>
      <w:r>
        <w:t xml:space="preserve">2 Proposed methodology</w:t>
      </w:r>
    </w:p>
    <w:p>
      <w:pPr/>
      <w:r>
        <w:t xml:space="preserve">We propose to treat the engagement as one scoring system run in two stages and then applied again, with feedback, to the selected entrepreneurs. The same three controls run through all of it: a rubric that every reviewer must pass a calibration test on, a quality assurance check on a sample of every reviewer’s work, and a written reason behind every score.</w:t>
      </w:r>
    </w:p>
    <w:p>
      <w:pPr/>
      <w:r>
        <w:drawing>
          <wp:inline distT="0" distB="0" distL="0" distR="0">
            <wp:extent cx="5486400" cy="2261507"/>
            <wp:docPr id="1" name="image1" descr="end-to-end flow · two components, 8 steps"/>
            <a:graphic xmlns:a="http://schemas.openxmlformats.org/drawingml/2006/main">
              <a:graphicData uri="http://schemas.openxmlformats.org/drawingml/2006/picture">
                <pic:pic xmlns:pic="http://schemas.openxmlformats.org/drawingml/2006/picture">
                  <pic:nvPicPr>
                    <pic:cNvPr id="1" name="image1" descr="end-to-end flow · two components, 8 steps"/>
                    <pic:cNvPicPr/>
                  </pic:nvPicPr>
                  <pic:blipFill>
                    <a:blip r:embed="rId3"/>
                    <a:stretch>
                      <a:fillRect/>
                    </a:stretch>
                  </pic:blipFill>
                  <pic:spPr>
                    <a:xfrm>
                      <a:off x="0" y="0"/>
                      <a:ext cx="5486400" cy="2261507"/>
                    </a:xfrm>
                    <a:prstGeom prst="rect">
                      <a:avLst/>
                    </a:prstGeom>
                  </pic:spPr>
                </pic:pic>
              </a:graphicData>
            </a:graphic>
          </wp:inline>
        </w:drawing>
      </w:r>
    </w:p>
    <w:p>
      <w:pPr/>
      <w:r>
        <w:t xml:space="preserve">end-to-end flow · two components, 8 steps</w:t>
      </w:r>
    </w:p>
    <w:p>
      <w:pPr>
        <w:pStyle w:val="Heading4"/>
      </w:pPr>
      <w:r>
        <w:t xml:space="preserve">2.1 Stage 1: training the enumerators</w:t>
      </w:r>
    </w:p>
    <w:p>
      <w:pPr>
        <w:pStyle w:val="ListParagraph"/>
        <w:numPr>
          <w:ilvl w:val="0"/>
          <w:numId w:val="3"/>
        </w:numPr>
      </w:pPr>
      <w:r>
        <w:rPr>
          <w:b/>
        </w:rPr>
        <w:t xml:space="preserve">Training plan.</w:t>
      </w:r>
      <w:r>
        <w:t xml:space="preserve"> We design a training programme in four language tracks around the rubric and metrics TEF supplies, and we agree it with TEF before any enumerator starts.</w:t>
      </w:r>
    </w:p>
    <w:p>
      <w:pPr>
        <w:pStyle w:val="ListParagraph"/>
        <w:numPr>
          <w:ilvl w:val="0"/>
          <w:numId w:val="3"/>
        </w:numPr>
      </w:pPr>
      <w:r>
        <w:rPr>
          <w:b/>
        </w:rPr>
        <w:t xml:space="preserve">Worked examples.</w:t>
      </w:r>
      <w:r>
        <w:t xml:space="preserve"> Each rubric question is taught with examples of applications that earn each score and applications that do not, drawn from TEF’s own anonymised material on TEFConnect.</w:t>
      </w:r>
    </w:p>
    <w:p>
      <w:pPr>
        <w:pStyle w:val="ListParagraph"/>
        <w:numPr>
          <w:ilvl w:val="0"/>
          <w:numId w:val="3"/>
        </w:numPr>
      </w:pPr>
      <w:r>
        <w:rPr>
          <w:b/>
        </w:rPr>
        <w:t xml:space="preserve">Calibration gate.</w:t>
      </w:r>
      <w:r>
        <w:t xml:space="preserve"> Each enumerator scores a calibration set of 20 applications already scored by our experts, and must agree within one score band on at least 80% of them before receiving live applications. Those who do not are retrained and re-tested.</w:t>
      </w:r>
    </w:p>
    <w:p>
      <w:pPr>
        <w:pStyle w:val="ListParagraph"/>
        <w:numPr>
          <w:ilvl w:val="0"/>
          <w:numId w:val="3"/>
        </w:numPr>
      </w:pPr>
      <w:r>
        <w:rPr>
          <w:b/>
        </w:rPr>
        <w:t xml:space="preserve">Refreshers.</w:t>
      </w:r>
      <w:r>
        <w:t xml:space="preserve"> Weekly refreshers on the questions where enumerators diverge most, using the drift reports described in Section 4.</w:t>
      </w:r>
    </w:p>
    <w:p>
      <w:pPr>
        <w:pStyle w:val="Heading4"/>
      </w:pPr>
      <w:r>
        <w:t xml:space="preserve">2.2 Stage 2: expert review and recommendation</w:t>
      </w:r>
    </w:p>
    <w:p>
      <w:pPr/>
      <w:r>
        <w:t xml:space="preserve">Expert reviewers review the applications shortlisted from Stage 1, each in the language it was submitted in. Every expert review includes a check of the Stage 1 score on the same application, which gives a continuous measure of enumerator accuracy. A second expert reviews 10% of applications, chosen at random, and every application close to the selection cut-off. Where two experts differ by more than one band on any question, the Team Lead scores it and records the reason. The output is a ranked recommendation to TEF with a written reason for each entrepreneur.</w:t>
      </w:r>
    </w:p>
    <w:p>
      <w:pPr>
        <w:pStyle w:val="Heading4"/>
      </w:pPr>
      <w:r>
        <w:t xml:space="preserve">2.3 Component 2: framework, training and review</w:t>
      </w:r>
    </w:p>
    <w:p>
      <w:pPr>
        <w:pStyle w:val="ListParagraph"/>
        <w:numPr>
          <w:ilvl w:val="0"/>
          <w:numId w:val="4"/>
        </w:numPr>
      </w:pPr>
      <w:r>
        <w:rPr>
          <w:b/>
        </w:rPr>
        <w:t xml:space="preserve">Framework and guidelines.</w:t>
      </w:r>
      <w:r>
        <w:t xml:space="preserve"> We design a standardised business plan template, a financial statement template with built-in consistency checks and a short guide to the pitch video, aligned with TEF’s review metrics and written for non-technical entrepreneurs. TEF approves it before use.</w:t>
      </w:r>
    </w:p>
    <w:p>
      <w:pPr>
        <w:pStyle w:val="ListParagraph"/>
        <w:numPr>
          <w:ilvl w:val="0"/>
          <w:numId w:val="4"/>
        </w:numPr>
      </w:pPr>
      <w:r>
        <w:rPr>
          <w:b/>
        </w:rPr>
        <w:t xml:space="preserve">Training.</w:t>
      </w:r>
      <w:r>
        <w:t xml:space="preserve"> We train selected entrepreneurs on the framework through live sessions in each of the four languages, recorded for later viewing, with a plain-language guide.</w:t>
      </w:r>
    </w:p>
    <w:p>
      <w:pPr>
        <w:pStyle w:val="ListParagraph"/>
        <w:numPr>
          <w:ilvl w:val="0"/>
          <w:numId w:val="4"/>
        </w:numPr>
      </w:pPr>
      <w:r>
        <w:rPr>
          <w:b/>
        </w:rPr>
        <w:t xml:space="preserve">Review.</w:t>
      </w:r>
      <w:r>
        <w:t xml:space="preserve"> Expert reviewers review each business plan, financial statement and pitch video on TEFConnect in the language of submission, using the framework in 2.4.</w:t>
      </w:r>
    </w:p>
    <w:p>
      <w:pPr>
        <w:pStyle w:val="ListParagraph"/>
        <w:numPr>
          <w:ilvl w:val="0"/>
          <w:numId w:val="4"/>
        </w:numPr>
      </w:pPr>
      <w:r>
        <w:rPr>
          <w:b/>
        </w:rPr>
        <w:t xml:space="preserve">Feedback and re-review.</w:t>
      </w:r>
      <w:r>
        <w:t xml:space="preserve"> Each entrepreneur receives structured feedback naming strengths and the priority improvements. Where a submission needs it, we re-review the revised version.</w:t>
      </w:r>
    </w:p>
    <w:p>
      <w:pPr>
        <w:pStyle w:val="Heading4"/>
      </w:pPr>
      <w:r>
        <w:t xml:space="preserve">2.4 Review framework for business plans, financials and pitch videos</w:t>
      </w:r>
    </w:p>
    <w:p>
      <w:pPr/>
      <w:r>
        <w:t xml:space="preserve">For Component 2 we propose six dimensions, scored 1–5 against written anchors so that a 2 and a 4 mean the same thing to every reviewer. A 1 means the element is missing or contradicted by the plan; a 3 means present but unevidenced; a 5 means evidenced and internally consistent. Weights are our proposal and will be aligned to TEF’s review metrics when TEF approves the framework.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What we test</w:t>
            </w:r>
          </w:p>
        </w:tc>
        <w:tc>
          <w:tcPr>
            <w:tcW w:w="3120" w:type="dxa"/>
            <w:shd w:val="clear" w:color="auto" w:fill="F2F2F2"/>
          </w:tcPr>
          <w:p>
            <w:pPr/>
            <w:r>
              <w:t xml:space="preserve">Proposed weight</w:t>
            </w:r>
          </w:p>
        </w:tc>
      </w:tr>
      <w:tr>
        <w:tc>
          <w:tcPr>
            <w:tcW w:w="3120" w:type="dxa"/>
          </w:tcPr>
          <w:p>
            <w:pPr/>
            <w:r>
              <w:t xml:space="preserve">Financial viability</w:t>
            </w:r>
          </w:p>
        </w:tc>
        <w:tc>
          <w:tcPr>
            <w:tcW w:w="3120" w:type="dxa"/>
          </w:tcPr>
          <w:p>
            <w:pPr/>
            <w:r>
              <w:t xml:space="preserve">Assumptions stated and sourced; arithmetic correct; cash flow, break-even and use of seed capital shown</w:t>
            </w:r>
          </w:p>
        </w:tc>
        <w:tc>
          <w:tcPr>
            <w:tcW w:w="3120" w:type="dxa"/>
          </w:tcPr>
          <w:p>
            <w:pPr/>
            <w:r>
              <w:t xml:space="preserve">25%</w:t>
            </w:r>
          </w:p>
        </w:tc>
      </w:tr>
      <w:tr>
        <w:tc>
          <w:tcPr>
            <w:tcW w:w="3120" w:type="dxa"/>
          </w:tcPr>
          <w:p>
            <w:pPr/>
            <w:r>
              <w:t xml:space="preserve">Demand</w:t>
            </w:r>
          </w:p>
        </w:tc>
        <w:tc>
          <w:tcPr>
            <w:tcW w:w="3120" w:type="dxa"/>
          </w:tcPr>
          <w:p>
            <w:pPr/>
            <w:r>
              <w:t xml:space="preserve">Named customer; evidence of willingness to pay (sales, pre-orders, interviews); size of the reachable market</w:t>
            </w:r>
          </w:p>
        </w:tc>
        <w:tc>
          <w:tcPr>
            <w:tcW w:w="3120" w:type="dxa"/>
          </w:tcPr>
          <w:p>
            <w:pPr/>
            <w:r>
              <w:t xml:space="preserve">20%</w:t>
            </w:r>
          </w:p>
        </w:tc>
      </w:tr>
      <w:tr>
        <w:tc>
          <w:tcPr>
            <w:tcW w:w="3120" w:type="dxa"/>
          </w:tcPr>
          <w:p>
            <w:pPr/>
            <w:r>
              <w:t xml:space="preserve">Feasibility</w:t>
            </w:r>
          </w:p>
        </w:tc>
        <w:tc>
          <w:tcPr>
            <w:tcW w:w="3120" w:type="dxa"/>
          </w:tcPr>
          <w:p>
            <w:pPr/>
            <w:r>
              <w:t xml:space="preserve">Operations, suppliers, licences, timeline and a team able to deliver what the plan promises</w:t>
            </w:r>
          </w:p>
        </w:tc>
        <w:tc>
          <w:tcPr>
            <w:tcW w:w="3120" w:type="dxa"/>
          </w:tcPr>
          <w:p>
            <w:pPr/>
            <w:r>
              <w:t xml:space="preserve">20%</w:t>
            </w:r>
          </w:p>
        </w:tc>
      </w:tr>
      <w:tr>
        <w:tc>
          <w:tcPr>
            <w:tcW w:w="3120" w:type="dxa"/>
          </w:tcPr>
          <w:p>
            <w:pPr/>
            <w:r>
              <w:t xml:space="preserve">Scalability</w:t>
            </w:r>
          </w:p>
        </w:tc>
        <w:tc>
          <w:tcPr>
            <w:tcW w:w="3120" w:type="dxa"/>
          </w:tcPr>
          <w:p>
            <w:pPr/>
            <w:r>
              <w:t xml:space="preserve">Path from first customers to ten times as many; how cost and delivery change as the business grows</w:t>
            </w:r>
          </w:p>
        </w:tc>
        <w:tc>
          <w:tcPr>
            <w:tcW w:w="3120" w:type="dxa"/>
          </w:tcPr>
          <w:p>
            <w:pPr/>
            <w:r>
              <w:t xml:space="preserve">15%</w:t>
            </w:r>
          </w:p>
        </w:tc>
      </w:tr>
      <w:tr>
        <w:tc>
          <w:tcPr>
            <w:tcW w:w="3120" w:type="dxa"/>
          </w:tcPr>
          <w:p>
            <w:pPr/>
            <w:r>
              <w:t xml:space="preserve">Entrepreneur</w:t>
            </w:r>
          </w:p>
        </w:tc>
        <w:tc>
          <w:tcPr>
            <w:tcW w:w="3120" w:type="dxa"/>
          </w:tcPr>
          <w:p>
            <w:pPr/>
            <w:r>
              <w:t xml:space="preserve">Evidence of action taken, learning from setbacks, ownership of the numbers</w:t>
            </w:r>
          </w:p>
        </w:tc>
        <w:tc>
          <w:tcPr>
            <w:tcW w:w="3120" w:type="dxa"/>
          </w:tcPr>
          <w:p>
            <w:pPr/>
            <w:r>
              <w:t xml:space="preserve">10%</w:t>
            </w:r>
          </w:p>
        </w:tc>
      </w:tr>
      <w:tr>
        <w:tc>
          <w:tcPr>
            <w:tcW w:w="3120" w:type="dxa"/>
          </w:tcPr>
          <w:p>
            <w:pPr/>
            <w:r>
              <w:t xml:space="preserve">Pitch video</w:t>
            </w:r>
          </w:p>
        </w:tc>
        <w:tc>
          <w:tcPr>
            <w:tcW w:w="3120" w:type="dxa"/>
          </w:tcPr>
          <w:p>
            <w:pPr/>
            <w:r>
              <w:t xml:space="preserve">Problem, customer, solution and numbers stated clearly; delivery, audio, framing and structure</w:t>
            </w:r>
          </w:p>
        </w:tc>
        <w:tc>
          <w:tcPr>
            <w:tcW w:w="3120" w:type="dxa"/>
          </w:tcPr>
          <w:p>
            <w:pPr/>
            <w:r>
              <w:t xml:space="preserve">10%</w:t>
            </w:r>
          </w:p>
        </w:tc>
      </w:tr>
    </w:tbl>
    <w:p>
      <w:pPr/>
      <w:r>
        <w:rPr>
          <w:b/>
        </w:rPr>
        <w:t xml:space="preserve">Financial model checks.</w:t>
      </w:r>
      <w:r>
        <w:t xml:space="preserve"> Every model passes the same checks: totals reconcile; revenue follows from stated volume and price; costs include the founder’s own time and the cost of winning customers; month-by-month cash does not go negative without a stated source of funds; seed capital is allocated to specific items. We report failures by cell reference so that the entrepreneur can fix them.</w:t>
      </w:r>
    </w:p>
    <w:p>
      <w:pPr/>
      <w:r>
        <w:rPr>
          <w:b/>
        </w:rPr>
        <w:t xml:space="preserve">Pitch video.</w:t>
      </w:r>
      <w:r>
        <w:t xml:space="preserve"> We give editing-level feedback: whether the first ten seconds state the problem, whether the numbers on screen match the plan, and whether audio, lighting and captions let a reviewer follow without effort. Our Team Lead has video editing experience, and our Lead Impact Design Consultant, Damilare Jegede, advises on visual and production feedback.</w:t>
      </w:r>
    </w:p>
    <w:p>
      <w:pPr/>
      <w:r>
        <w:rPr>
          <w:b/>
        </w:rPr>
        <w:t xml:space="preserve">Using TEF’s own scoresheet.</w:t>
      </w:r>
      <w:r>
        <w:t xml:space="preserve"> TEF scores applications with weighted yes/no questions under each criterion. For Stage 1 and Stage 2 we will use TEF’s rubric exactly as supplied. For Component 2, if TEF prefers its own format, we will build our rubric into it so that every score sits on one scale that TEF’s team can audit question by question.</w:t>
      </w:r>
    </w:p>
    <w:p>
      <w:pPr/>
      <w:r>
        <w:rPr>
          <w:b/>
        </w:rPr>
        <w:t xml:space="preserve">How the framework compares with industry practice.</w:t>
      </w:r>
      <w:r>
        <w:t xml:space="preserve"> Investor-readiness screens in common use test the same ground. We adopt their common dimensions and adapt them to seed-stage ventures reviewed at volume.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Reference practice</w:t>
            </w:r>
          </w:p>
        </w:tc>
        <w:tc>
          <w:tcPr>
            <w:tcW w:w="3120" w:type="dxa"/>
            <w:shd w:val="clear" w:color="auto" w:fill="F2F2F2"/>
          </w:tcPr>
          <w:p>
            <w:pPr/>
            <w:r>
              <w:t xml:space="preserve">Dimensions it covers</w:t>
            </w:r>
          </w:p>
        </w:tc>
        <w:tc>
          <w:tcPr>
            <w:tcW w:w="3120" w:type="dxa"/>
            <w:shd w:val="clear" w:color="auto" w:fill="F2F2F2"/>
          </w:tcPr>
          <w:p>
            <w:pPr/>
            <w:r>
              <w:t xml:space="preserve">What we adopt or change</w:t>
            </w:r>
          </w:p>
        </w:tc>
      </w:tr>
      <w:tr>
        <w:tc>
          <w:tcPr>
            <w:tcW w:w="3120" w:type="dxa"/>
          </w:tcPr>
          <w:p>
            <w:pPr/>
            <w:r>
              <w:t xml:space="preserve">Applyifi investor assessment</w:t>
            </w:r>
          </w:p>
        </w:tc>
        <w:tc>
          <w:tcPr>
            <w:tcW w:w="3120" w:type="dxa"/>
          </w:tcPr>
          <w:p>
            <w:pPr/>
            <w:r>
              <w:t xml:space="preserve">36-point scorecard with a written report for startups</w:t>
            </w:r>
          </w:p>
        </w:tc>
        <w:tc>
          <w:tcPr>
            <w:tcW w:w="3120" w:type="dxa"/>
          </w:tcPr>
          <w:p>
            <w:pPr/>
            <w:r>
              <w:t xml:space="preserve">A written report per venture; fewer points so that volume remains reviewable</w:t>
            </w:r>
          </w:p>
        </w:tc>
      </w:tr>
      <w:tr>
        <w:tc>
          <w:tcPr>
            <w:tcW w:w="3120" w:type="dxa"/>
          </w:tcPr>
          <w:p>
            <w:pPr/>
            <w:r>
              <w:t xml:space="preserve">European Investment Readiness Scorecard (EEN2EIC project)</w:t>
            </w:r>
          </w:p>
        </w:tc>
        <w:tc>
          <w:tcPr>
            <w:tcW w:w="3120" w:type="dxa"/>
          </w:tcPr>
          <w:p>
            <w:pPr/>
            <w:r>
              <w:t xml:space="preserve">Team, technology, market, business model, financial planning, sales, scaling</w:t>
            </w:r>
          </w:p>
        </w:tc>
        <w:tc>
          <w:tcPr>
            <w:tcW w:w="3120" w:type="dxa"/>
          </w:tcPr>
          <w:p>
            <w:pPr/>
            <w:r>
              <w:t xml:space="preserve">The same ground, regrouped under TEF’s criteria</w:t>
            </w:r>
          </w:p>
        </w:tc>
      </w:tr>
      <w:tr>
        <w:tc>
          <w:tcPr>
            <w:tcW w:w="3120" w:type="dxa"/>
          </w:tcPr>
          <w:p>
            <w:pPr/>
            <w:r>
              <w:t xml:space="preserve">Investment Readiness Level (Steve Blank)</w:t>
            </w:r>
          </w:p>
        </w:tc>
        <w:tc>
          <w:tcPr>
            <w:tcW w:w="3120" w:type="dxa"/>
          </w:tcPr>
          <w:p>
            <w:pPr/>
            <w:r>
              <w:t xml:space="preserve">Evidence from customers tested against business-model hypotheses</w:t>
            </w:r>
          </w:p>
        </w:tc>
        <w:tc>
          <w:tcPr>
            <w:tcW w:w="3120" w:type="dxa"/>
          </w:tcPr>
          <w:p>
            <w:pPr/>
            <w:r>
              <w:t xml:space="preserve">Demand scored on evidence from real customers, not on assertion</w:t>
            </w:r>
          </w:p>
        </w:tc>
      </w:tr>
    </w:tbl>
    <w:p>
      <w:pPr>
        <w:pStyle w:val="Heading3"/>
      </w:pPr>
      <w:r>
        <w:t xml:space="preserve">3 Staffing, training and language coverage</w:t>
      </w:r>
    </w:p>
    <w:p>
      <w:pPr/>
      <w:r>
        <w:t xml:space="preserve">The team has three layers: a named core team that leads each workstream, a pool of expert reviewers recruited and calibrated for the engagement, and partners for languages we do not cover directly. The core team is women-led, with members across Sierra Leone, Kenya, the United Kingdom and the United States.</w:t>
      </w:r>
    </w:p>
    <w:p>
      <w:pPr/>
      <w:r>
        <w:rPr>
          <w:b/>
        </w:rPr>
        <w:t xml:space="preserve">Core team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Consultant</w:t>
            </w:r>
          </w:p>
        </w:tc>
        <w:tc>
          <w:tcPr>
            <w:tcW w:w="3120" w:type="dxa"/>
            <w:shd w:val="clear" w:color="auto" w:fill="F2F2F2"/>
          </w:tcPr>
          <w:p>
            <w:pPr/>
            <w:r>
              <w:t xml:space="preserve">Role on this assignment</w:t>
            </w:r>
          </w:p>
        </w:tc>
        <w:tc>
          <w:tcPr>
            <w:tcW w:w="3120" w:type="dxa"/>
            <w:shd w:val="clear" w:color="auto" w:fill="F2F2F2"/>
          </w:tcPr>
          <w:p>
            <w:pPr/>
            <w:r>
              <w:t xml:space="preserve">Relevant experience</w:t>
            </w:r>
          </w:p>
        </w:tc>
      </w:tr>
      <w:tr>
        <w:tc>
          <w:tcPr>
            <w:tcW w:w="3120" w:type="dxa"/>
          </w:tcPr>
          <w:p>
            <w:pPr/>
            <w:r>
              <w:t xml:space="preserve">Regina Love Clarkson</w:t>
            </w:r>
          </w:p>
        </w:tc>
        <w:tc>
          <w:tcPr>
            <w:tcW w:w="3120" w:type="dxa"/>
          </w:tcPr>
          <w:p>
            <w:pPr/>
            <w:r>
              <w:t xml:space="preserve">Team Lead; Component 2 framework; final escalation on scoring; pitch video review</w:t>
            </w:r>
          </w:p>
        </w:tc>
        <w:tc>
          <w:tcPr>
            <w:tcW w:w="3120" w:type="dxa"/>
          </w:tcPr>
          <w:p>
            <w:pPr/>
            <w:r>
              <w:t xml:space="preserve">Founder and Head of Impact Investments, Smart Impact Consult. Fund and Transaction Advisor to the Ministry of Communications, Technology and Innovation, Sierra Leone, for the Sierra Leone Innovation and Investment Fund. African Cohort Fellow, Included VC, serving on three investment committees reviewing more than 150 ventures and chairing the February 2026 committee. Assessed 64+ impact investment propositions from fourteen African markets seeking USD 344m. Has video editing experience. BSc, Business Information Technology.</w:t>
            </w:r>
          </w:p>
        </w:tc>
      </w:tr>
      <w:tr>
        <w:tc>
          <w:tcPr>
            <w:tcW w:w="3120" w:type="dxa"/>
          </w:tcPr>
          <w:p>
            <w:pPr/>
            <w:r>
              <w:t xml:space="preserve">Caroline McCoy</w:t>
            </w:r>
          </w:p>
        </w:tc>
        <w:tc>
          <w:tcPr>
            <w:tcW w:w="3120" w:type="dxa"/>
          </w:tcPr>
          <w:p>
            <w:pPr/>
            <w:r>
              <w:t xml:space="preserve">Scoring framework and calibration; enumerator training lead</w:t>
            </w:r>
          </w:p>
        </w:tc>
        <w:tc>
          <w:tcPr>
            <w:tcW w:w="3120" w:type="dxa"/>
          </w:tcPr>
          <w:p>
            <w:pPr/>
            <w:r>
              <w:t xml:space="preserve">Approximately two decades across institutional capital allocation, grantmaking systems and integrated capital strategy, working between Chicago and Nairobi. As Vice President Programs at Woods Fund Chicago, directed a USD 6m annual portfolio across 80+ organisations and led the redesign of portfolio systems to standardise allocation data across heterogeneous reporting entities. Founder, Red Soil Strategies.</w:t>
            </w:r>
          </w:p>
        </w:tc>
      </w:tr>
      <w:tr>
        <w:tc>
          <w:tcPr>
            <w:tcW w:w="3120" w:type="dxa"/>
          </w:tcPr>
          <w:p>
            <w:pPr/>
            <w:r>
              <w:t xml:space="preserve">Caroline N. Ndegwa</w:t>
            </w:r>
          </w:p>
        </w:tc>
        <w:tc>
          <w:tcPr>
            <w:tcW w:w="3120" w:type="dxa"/>
          </w:tcPr>
          <w:p>
            <w:pPr/>
            <w:r>
              <w:t xml:space="preserve">Financial statement review lead; financial template design</w:t>
            </w:r>
          </w:p>
        </w:tc>
        <w:tc>
          <w:tcPr>
            <w:tcW w:w="3120" w:type="dxa"/>
          </w:tcPr>
          <w:p>
            <w:pPr/>
            <w:r>
              <w:t xml:space="preserve">Former ESG and Sustainability Consultant at Ernst &amp; Young, Nairobi. Her diligence findings supported four completed early-stage investments and informed eight acquisitions. Designed seven ESAP/ESMS frameworks, led eleven sustainability reports and built portfolio dashboards in Power BI, Excel and SQL. MSc, Circular Economy and Sustainability.</w:t>
            </w:r>
          </w:p>
        </w:tc>
      </w:tr>
      <w:tr>
        <w:tc>
          <w:tcPr>
            <w:tcW w:w="3120" w:type="dxa"/>
          </w:tcPr>
          <w:p>
            <w:pPr/>
            <w:r>
              <w:t xml:space="preserve">Dr. Perihan Abdelghaly</w:t>
            </w:r>
          </w:p>
        </w:tc>
        <w:tc>
          <w:tcPr>
            <w:tcW w:w="3120" w:type="dxa"/>
          </w:tcPr>
          <w:p>
            <w:pPr/>
            <w:r>
              <w:t xml:space="preserve">Arabic track lead; second review on financial viability</w:t>
            </w:r>
          </w:p>
        </w:tc>
        <w:tc>
          <w:tcPr>
            <w:tcW w:w="3120" w:type="dxa"/>
          </w:tcPr>
          <w:p>
            <w:pPr/>
            <w:r>
              <w:t xml:space="preserve">Eighteen years in ESG and sustainable finance across the Middle East and the United Kingdom. Launched and managed MOSTADAM, the first sustainable finance platform in the MENA region; advised 30+ banks and DFIs. PhD, Business Management, Middlesex University. Native Arabic speaker.</w:t>
            </w:r>
          </w:p>
        </w:tc>
      </w:tr>
      <w:tr>
        <w:tc>
          <w:tcPr>
            <w:tcW w:w="3120" w:type="dxa"/>
          </w:tcPr>
          <w:p>
            <w:pPr/>
            <w:r>
              <w:t xml:space="preserve">Boisy V.A. Williams</w:t>
            </w:r>
          </w:p>
        </w:tc>
        <w:tc>
          <w:tcPr>
            <w:tcW w:w="3120" w:type="dxa"/>
          </w:tcPr>
          <w:p>
            <w:pPr/>
            <w:r>
              <w:t xml:space="preserve">French track lead; delivery assurance</w:t>
            </w:r>
          </w:p>
        </w:tc>
        <w:tc>
          <w:tcPr>
            <w:tcW w:w="3120" w:type="dxa"/>
          </w:tcPr>
          <w:p>
            <w:pPr/>
            <w:r>
              <w:t xml:space="preserve">Twenty-six years of multi-country programme leadership with the Norwegian Refugee Council, Danish Refugee Council and CARE International, with direct experience of donor reporting to UNHCR, UNICEF, USAID, NORAD, ECHO and WFP. Master of Studies (Social Enterprise &amp; Community Development), University of Cambridge; MBA, Sheffield Hallam. Fluent English, French and Krio.</w:t>
            </w:r>
          </w:p>
        </w:tc>
      </w:tr>
      <w:tr>
        <w:tc>
          <w:tcPr>
            <w:tcW w:w="3120" w:type="dxa"/>
          </w:tcPr>
          <w:p>
            <w:pPr/>
            <w:r>
              <w:t xml:space="preserve">Damilare Jegede</w:t>
            </w:r>
          </w:p>
        </w:tc>
        <w:tc>
          <w:tcPr>
            <w:tcW w:w="3120" w:type="dxa"/>
          </w:tcPr>
          <w:p>
            <w:pPr/>
            <w:r>
              <w:t xml:space="preserve">Training materials, entrepreneur guides and report design; pitch video production feedback</w:t>
            </w:r>
          </w:p>
        </w:tc>
        <w:tc>
          <w:tcPr>
            <w:tcW w:w="3120" w:type="dxa"/>
          </w:tcPr>
          <w:p>
            <w:pPr/>
            <w:r>
              <w:t xml:space="preserve">Lead Impact Design Consultant, Smart Impact Consult. Leads brand identity, visual design and creative direction across client-facing deliverables, including a full website redesign for AfriGas Sierra Leone.</w:t>
            </w:r>
          </w:p>
        </w:tc>
      </w:tr>
      <w:tr>
        <w:tc>
          <w:tcPr>
            <w:tcW w:w="3120" w:type="dxa"/>
          </w:tcPr>
          <w:p>
            <w:pPr/>
            <w:r>
              <w:t xml:space="preserve">Anastasia Muthoni</w:t>
            </w:r>
          </w:p>
        </w:tc>
        <w:tc>
          <w:tcPr>
            <w:tcW w:w="3120" w:type="dxa"/>
          </w:tcPr>
          <w:p>
            <w:pPr/>
            <w:r>
              <w:t xml:space="preserve">Operations: account provisioning and deactivation, progress tracker, reporting to TEF</w:t>
            </w:r>
          </w:p>
        </w:tc>
        <w:tc>
          <w:tcPr>
            <w:tcW w:w="3120" w:type="dxa"/>
          </w:tcPr>
          <w:p>
            <w:pPr/>
            <w:r>
              <w:t xml:space="preserve">Investment Operations Lead, Smart Impact Consult. BSc, MBA. Creates dashboards for SIC clients and projects; research and writing for SIC reports and articles.</w:t>
            </w:r>
          </w:p>
        </w:tc>
      </w:tr>
    </w:tbl>
    <w:p>
      <w:pPr/>
      <w:r>
        <w:rPr>
          <w:b/>
        </w:rPr>
        <w:t xml:space="preserve">Expert reviewer pool.</w:t>
      </w:r>
      <w:r>
        <w:t xml:space="preserve"> Stage 2 is the volume-critical step. On our planning rate of 15 expert reviews per reviewer-day, 10,000 Stage 2 reviews need about 670 reviewer-days; adding a 15% allowance for second reviews makes about 770. Delivered in a four-week window, that is about 40 expert reviewers at peak. We would recruit a pool of about 50, so that reviewers who fail calibration or drop out can be replaced without delay. Component 2 needs a smaller pool, sized from the number of entrepreneurs TEF selects. Every expert reviewer must hold [three] or more years of experience in business advisory, finance or enterprise support, pass the calibration test, sign the non-disclosure agreement and clear the vetting in Section 5 before gaining access.</w:t>
      </w:r>
    </w:p>
    <w:p>
      <w:pPr/>
      <w:r>
        <w:rPr>
          <w:b/>
        </w:rPr>
        <w:t xml:space="preserve">Language coverage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Language</w:t>
            </w:r>
          </w:p>
        </w:tc>
        <w:tc>
          <w:tcPr>
            <w:tcW w:w="2340" w:type="dxa"/>
            <w:shd w:val="clear" w:color="auto" w:fill="F2F2F2"/>
          </w:tcPr>
          <w:p>
            <w:pPr/>
            <w:r>
              <w:t xml:space="preserve">Track lead</w:t>
            </w:r>
          </w:p>
        </w:tc>
        <w:tc>
          <w:tcPr>
            <w:tcW w:w="2340" w:type="dxa"/>
            <w:shd w:val="clear" w:color="auto" w:fill="F2F2F2"/>
          </w:tcPr>
          <w:p>
            <w:pPr/>
            <w:r>
              <w:t xml:space="preserve">Expert reviewers</w:t>
            </w:r>
          </w:p>
        </w:tc>
        <w:tc>
          <w:tcPr>
            <w:tcW w:w="2340" w:type="dxa"/>
            <w:shd w:val="clear" w:color="auto" w:fill="F2F2F2"/>
          </w:tcPr>
          <w:p>
            <w:pPr/>
            <w:r>
              <w:t xml:space="preserve">Arrangement</w:t>
            </w:r>
          </w:p>
        </w:tc>
      </w:tr>
      <w:tr>
        <w:tc>
          <w:tcPr>
            <w:tcW w:w="2340" w:type="dxa"/>
          </w:tcPr>
          <w:p>
            <w:pPr/>
            <w:r>
              <w:t xml:space="preserve">English</w:t>
            </w:r>
          </w:p>
        </w:tc>
        <w:tc>
          <w:tcPr>
            <w:tcW w:w="2340" w:type="dxa"/>
          </w:tcPr>
          <w:p>
            <w:pPr/>
            <w:r>
              <w:t xml:space="preserve">Caroline McCoy</w:t>
            </w:r>
          </w:p>
        </w:tc>
        <w:tc>
          <w:tcPr>
            <w:tcW w:w="2340" w:type="dxa"/>
          </w:tcPr>
          <w:p>
            <w:pPr/>
            <w:r>
              <w:t xml:space="preserve">Pool, recruited across Africa</w:t>
            </w:r>
          </w:p>
        </w:tc>
        <w:tc>
          <w:tcPr>
            <w:tcW w:w="2340" w:type="dxa"/>
          </w:tcPr>
          <w:p>
            <w:pPr/>
            <w:r>
              <w:t xml:space="preserve">Direct</w:t>
            </w:r>
          </w:p>
        </w:tc>
      </w:tr>
      <w:tr>
        <w:tc>
          <w:tcPr>
            <w:tcW w:w="2340" w:type="dxa"/>
          </w:tcPr>
          <w:p>
            <w:pPr/>
            <w:r>
              <w:t xml:space="preserve">French</w:t>
            </w:r>
          </w:p>
        </w:tc>
        <w:tc>
          <w:tcPr>
            <w:tcW w:w="2340" w:type="dxa"/>
          </w:tcPr>
          <w:p>
            <w:pPr/>
            <w:r>
              <w:t xml:space="preserve">Boisy V.A. Williams</w:t>
            </w:r>
          </w:p>
        </w:tc>
        <w:tc>
          <w:tcPr>
            <w:tcW w:w="2340" w:type="dxa"/>
          </w:tcPr>
          <w:p>
            <w:pPr/>
            <w:r>
              <w:t xml:space="preserve">Pool, recruited in Francophone Africa</w:t>
            </w:r>
          </w:p>
        </w:tc>
        <w:tc>
          <w:tcPr>
            <w:tcW w:w="2340" w:type="dxa"/>
          </w:tcPr>
          <w:p>
            <w:pPr/>
            <w:r>
              <w:t xml:space="preserve">Direct</w:t>
            </w:r>
          </w:p>
        </w:tc>
      </w:tr>
      <w:tr>
        <w:tc>
          <w:tcPr>
            <w:tcW w:w="2340" w:type="dxa"/>
          </w:tcPr>
          <w:p>
            <w:pPr/>
            <w:r>
              <w:t xml:space="preserve">Arabic</w:t>
            </w:r>
          </w:p>
        </w:tc>
        <w:tc>
          <w:tcPr>
            <w:tcW w:w="2340" w:type="dxa"/>
          </w:tcPr>
          <w:p>
            <w:pPr/>
            <w:r>
              <w:t xml:space="preserve">Dr. Perihan Abdelghaly</w:t>
            </w:r>
          </w:p>
        </w:tc>
        <w:tc>
          <w:tcPr>
            <w:tcW w:w="2340" w:type="dxa"/>
          </w:tcPr>
          <w:p>
            <w:pPr/>
            <w:r>
              <w:t xml:space="preserve">Pool, recruited in North Africa and the Middle East</w:t>
            </w:r>
          </w:p>
        </w:tc>
        <w:tc>
          <w:tcPr>
            <w:tcW w:w="2340" w:type="dxa"/>
          </w:tcPr>
          <w:p>
            <w:pPr/>
            <w:r>
              <w:t xml:space="preserve">Direct</w:t>
            </w:r>
          </w:p>
        </w:tc>
      </w:tr>
      <w:tr>
        <w:tc>
          <w:tcPr>
            <w:tcW w:w="2340" w:type="dxa"/>
          </w:tcPr>
          <w:p>
            <w:pPr/>
            <w:r>
              <w:t xml:space="preserve">Portuguese</w:t>
            </w:r>
          </w:p>
        </w:tc>
        <w:tc>
          <w:tcPr>
            <w:tcW w:w="2340" w:type="dxa"/>
          </w:tcPr>
          <w:p>
            <w:pPr/>
            <w:r>
              <w:t xml:space="preserve">[Track lead, to be named]</w:t>
            </w:r>
          </w:p>
        </w:tc>
        <w:tc>
          <w:tcPr>
            <w:tcW w:w="2340" w:type="dxa"/>
          </w:tcPr>
          <w:p>
            <w:pPr/>
            <w:r>
              <w:t xml:space="preserve">[Partner’s reviewers]</w:t>
            </w:r>
          </w:p>
        </w:tc>
        <w:tc>
          <w:tcPr>
            <w:tcW w:w="2340" w:type="dxa"/>
          </w:tcPr>
          <w:p>
            <w:pPr/>
            <w:r>
              <w:t xml:space="preserve">Documented partnership with [partner name]</w:t>
            </w:r>
          </w:p>
        </w:tc>
      </w:tr>
    </w:tbl>
    <w:p>
      <w:pPr/>
      <w:r>
        <w:rPr>
          <w:b/>
        </w:rPr>
        <w:t xml:space="preserve">Training team.</w:t>
      </w:r>
      <w:r>
        <w:t xml:space="preserve"> Caroline McCoy leads enumerator training with one trainer per language track. Regina Love Clarkson and Caroline N. Ndegwa lead the entrepreneur training in Component 2. Damilare Jegede produces the training materials and guides. Anastasia Muthoni runs the training schedule and attendance records.</w:t>
      </w:r>
    </w:p>
    <w:p>
      <w:pPr>
        <w:pStyle w:val="Heading3"/>
      </w:pPr>
      <w:r>
        <w:t xml:space="preserve">4 Quality assurance approach</w:t>
      </w:r>
    </w:p>
    <w:p>
      <w:pPr/>
      <w:r>
        <w:t xml:space="preserve">The RFP requires expert review to include a quality assurance function over Stage 1 scoring. We build it in as five layers, so that no score reaches TEF without at least one check.</w:t>
      </w:r>
    </w:p>
    <w:p>
      <w:pPr>
        <w:pStyle w:val="ListParagraph"/>
        <w:numPr>
          <w:ilvl w:val="0"/>
          <w:numId w:val="5"/>
        </w:numPr>
      </w:pPr>
      <w:r>
        <w:rPr>
          <w:b/>
        </w:rPr>
        <w:t xml:space="preserve">Calibration gate.</w:t>
      </w:r>
      <w:r>
        <w:t xml:space="preserve"> No enumerator or expert reviewer sees live applications until they pass the calibration test in Section 2.1.</w:t>
      </w:r>
    </w:p>
    <w:p>
      <w:pPr>
        <w:pStyle w:val="ListParagraph"/>
        <w:numPr>
          <w:ilvl w:val="0"/>
          <w:numId w:val="5"/>
        </w:numPr>
      </w:pPr>
      <w:r>
        <w:rPr>
          <w:b/>
        </w:rPr>
        <w:t xml:space="preserve">Stage 1 sampling.</w:t>
      </w:r>
      <w:r>
        <w:t xml:space="preserve"> Experts re-score a random 5% of each enumerator’s work in the first week, then a sample sized by risk: more for enumerators whose scores differ from the experts’, fewer for those who agree. Enumerators outside tolerance are retrained, and their scores on the affected applications are redone.</w:t>
      </w:r>
    </w:p>
    <w:p>
      <w:pPr>
        <w:pStyle w:val="ListParagraph"/>
        <w:numPr>
          <w:ilvl w:val="0"/>
          <w:numId w:val="5"/>
        </w:numPr>
      </w:pPr>
      <w:r>
        <w:rPr>
          <w:b/>
        </w:rPr>
        <w:t xml:space="preserve">Drift reports.</w:t>
      </w:r>
      <w:r>
        <w:t xml:space="preserve"> Each day we compare every enumerator’s score distribution with the panel’s, by question and by language, and flag outliers for the weekly refresher.</w:t>
      </w:r>
    </w:p>
    <w:p>
      <w:pPr>
        <w:pStyle w:val="ListParagraph"/>
        <w:numPr>
          <w:ilvl w:val="0"/>
          <w:numId w:val="5"/>
        </w:numPr>
      </w:pPr>
      <w:r>
        <w:rPr>
          <w:b/>
        </w:rPr>
        <w:t xml:space="preserve">Stage 2 second review.</w:t>
      </w:r>
      <w:r>
        <w:t xml:space="preserve"> A second expert reviews 10% of applications at random and every application near the selection cut-off, so that the decisions that matter most are checked twice. Differences of more than one band go to the Team Lead, who scores the application and records the reason.</w:t>
      </w:r>
    </w:p>
    <w:p>
      <w:pPr>
        <w:pStyle w:val="ListParagraph"/>
        <w:numPr>
          <w:ilvl w:val="0"/>
          <w:numId w:val="5"/>
        </w:numPr>
      </w:pPr>
      <w:r>
        <w:rPr>
          <w:b/>
        </w:rPr>
        <w:t xml:space="preserve">Cross-language check.</w:t>
      </w:r>
      <w:r>
        <w:t xml:space="preserve"> Before each stage, reviewers in all four languages score the same set of ten applications, translated, so that we can see whether a 4 in French means the same as a 4 in English.</w:t>
      </w:r>
    </w:p>
    <w:p>
      <w:pPr/>
      <w:r>
        <w:t xml:space="preserve">Every score carries a written reason, and the log of reasons is shared with TEF, so that the rubric can be tightened between stages.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Enumerators score differently from one another</w:t>
            </w:r>
          </w:p>
        </w:tc>
        <w:tc>
          <w:tcPr>
            <w:tcW w:w="4680" w:type="dxa"/>
          </w:tcPr>
          <w:p>
            <w:pPr/>
            <w:r>
              <w:t xml:space="preserve">Calibration gate; Stage 1 sampling; daily drift reports; retraining and re-scoring</w:t>
            </w:r>
          </w:p>
        </w:tc>
      </w:tr>
      <w:tr>
        <w:tc>
          <w:tcPr>
            <w:tcW w:w="4680" w:type="dxa"/>
          </w:tcPr>
          <w:p>
            <w:pPr/>
            <w:r>
              <w:t xml:space="preserve">Reviewers differ between languages</w:t>
            </w:r>
          </w:p>
        </w:tc>
        <w:tc>
          <w:tcPr>
            <w:tcW w:w="4680" w:type="dxa"/>
          </w:tcPr>
          <w:p>
            <w:pPr/>
            <w:r>
              <w:t xml:space="preserve">Cross-language check; one rubric; track leads reviewed by the Team Lead</w:t>
            </w:r>
          </w:p>
        </w:tc>
      </w:tr>
      <w:tr>
        <w:tc>
          <w:tcPr>
            <w:tcW w:w="4680" w:type="dxa"/>
          </w:tcPr>
          <w:p>
            <w:pPr/>
            <w:r>
              <w:t xml:space="preserve">Stage 2 volume exceeds the plan</w:t>
            </w:r>
          </w:p>
        </w:tc>
        <w:tc>
          <w:tcPr>
            <w:tcW w:w="4680" w:type="dxa"/>
          </w:tcPr>
          <w:p>
            <w:pPr/>
            <w:r>
              <w:t xml:space="preserve">Reviewer pool sized with a 25% reserve; extra reviewers pass calibration before scoring live applications</w:t>
            </w:r>
          </w:p>
        </w:tc>
      </w:tr>
      <w:tr>
        <w:tc>
          <w:tcPr>
            <w:tcW w:w="4680" w:type="dxa"/>
          </w:tcPr>
          <w:p>
            <w:pPr/>
            <w:r>
              <w:t xml:space="preserve">Reviewers leave mid-assignment</w:t>
            </w:r>
          </w:p>
        </w:tc>
        <w:tc>
          <w:tcPr>
            <w:tcW w:w="4680" w:type="dxa"/>
          </w:tcPr>
          <w:p>
            <w:pPr/>
            <w:r>
              <w:t xml:space="preserve">Reserve pool; account deactivated within one working day and work reassigned</w:t>
            </w:r>
          </w:p>
        </w:tc>
      </w:tr>
      <w:tr>
        <w:tc>
          <w:tcPr>
            <w:tcW w:w="4680" w:type="dxa"/>
          </w:tcPr>
          <w:p>
            <w:pPr/>
            <w:r>
              <w:t xml:space="preserve">Plans or applications copied from templates</w:t>
            </w:r>
          </w:p>
        </w:tc>
        <w:tc>
          <w:tcPr>
            <w:tcW w:w="4680" w:type="dxa"/>
          </w:tcPr>
          <w:p>
            <w:pPr/>
            <w:r>
              <w:t xml:space="preserve">Flagged to TEF with the evidence, without penalty by default</w:t>
            </w:r>
          </w:p>
        </w:tc>
      </w:tr>
      <w:tr>
        <w:tc>
          <w:tcPr>
            <w:tcW w:w="4680" w:type="dxa"/>
          </w:tcPr>
          <w:p>
            <w:pPr/>
            <w:r>
              <w:t xml:space="preserve">Presenter in a video does not match the applicant</w:t>
            </w:r>
          </w:p>
        </w:tc>
        <w:tc>
          <w:tcPr>
            <w:tcW w:w="4680" w:type="dxa"/>
          </w:tcPr>
          <w:p>
            <w:pPr/>
            <w:r>
              <w:t xml:space="preserve">Flagged to TEF for its own verification; we do not decide eligibility</w:t>
            </w:r>
          </w:p>
        </w:tc>
      </w:tr>
      <w:tr>
        <w:tc>
          <w:tcPr>
            <w:tcW w:w="4680" w:type="dxa"/>
          </w:tcPr>
          <w:p>
            <w:pPr/>
            <w:r>
              <w:t xml:space="preserve">Use of AI tools</w:t>
            </w:r>
          </w:p>
        </w:tc>
        <w:tc>
          <w:tcPr>
            <w:tcW w:w="4680" w:type="dxa"/>
          </w:tcPr>
          <w:p>
            <w:pPr/>
            <w:r>
              <w:t xml:space="preserve">No application, plan or video is scored by an AI tool, and none leaves TEFConnect; a named reviewer makes every judgement</w:t>
            </w:r>
          </w:p>
        </w:tc>
      </w:tr>
    </w:tbl>
    <w:p>
      <w:pPr>
        <w:pStyle w:val="Heading3"/>
      </w:pPr>
      <w:r>
        <w:t xml:space="preserve">5 Data confidentiality and security</w:t>
      </w:r>
    </w:p>
    <w:p>
      <w:pPr/>
      <w:r>
        <w:t xml:space="preserve">Applications and business plans hold personal and financial information about entrepreneurs across Africa. We answer each requirement in Section 9 of the RFP directly.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RFP requirement</w:t>
            </w:r>
          </w:p>
        </w:tc>
        <w:tc>
          <w:tcPr>
            <w:tcW w:w="4680" w:type="dxa"/>
            <w:shd w:val="clear" w:color="auto" w:fill="F2F2F2"/>
          </w:tcPr>
          <w:p>
            <w:pPr/>
            <w:r>
              <w:t xml:space="preserve">Our commitment</w:t>
            </w:r>
          </w:p>
        </w:tc>
      </w:tr>
      <w:tr>
        <w:tc>
          <w:tcPr>
            <w:tcW w:w="4680" w:type="dxa"/>
          </w:tcPr>
          <w:p>
            <w:pPr/>
            <w:r>
              <w:t xml:space="preserve">Signed confidentiality undertaking covering all enumerators, expert reviewers and subcontracted staff</w:t>
            </w:r>
          </w:p>
        </w:tc>
        <w:tc>
          <w:tcPr>
            <w:tcW w:w="4680" w:type="dxa"/>
          </w:tcPr>
          <w:p>
            <w:pPr/>
            <w:r>
              <w:t xml:space="preserve">Every expert reviewer, trainer, operations staff member and subcontracted or partner reviewer signs a non-disclosure agreement before receiving access. We keep the signed copies and give TEF the register on request</w:t>
            </w:r>
          </w:p>
        </w:tc>
      </w:tr>
      <w:tr>
        <w:tc>
          <w:tcPr>
            <w:tcW w:w="4680" w:type="dxa"/>
          </w:tcPr>
          <w:p>
            <w:pPr/>
            <w:r>
              <w:t xml:space="preserve">All applicant data accessed and reviewed solely within TEFConnect</w:t>
            </w:r>
          </w:p>
        </w:tc>
        <w:tc>
          <w:tcPr>
            <w:tcW w:w="4680" w:type="dxa"/>
          </w:tcPr>
          <w:p>
            <w:pPr/>
            <w:r>
              <w:t xml:space="preserve">Reviewers work only in their TEFConnect sessions. We do not request exports. Downloading, copying, printing, photographing or storing applicant data outside the platform is prohibited in the NDA and in reviewer training, and breach is grounds for immediate removal</w:t>
            </w:r>
          </w:p>
        </w:tc>
      </w:tr>
      <w:tr>
        <w:tc>
          <w:tcPr>
            <w:tcW w:w="4680" w:type="dxa"/>
          </w:tcPr>
          <w:p>
            <w:pPr/>
            <w:r>
              <w:t xml:space="preserve">Access control measures, including provisioning, monitoring and deactivation</w:t>
            </w:r>
          </w:p>
        </w:tc>
        <w:tc>
          <w:tcPr>
            <w:tcW w:w="4680" w:type="dxa"/>
          </w:tcPr>
          <w:p>
            <w:pPr/>
            <w:r>
              <w:t xml:space="preserve">Our operations lead requests each account from TEF by name and role; access is limited to the language and stage assigned. We review the list of active accounts every week, deactivate any account within one working day of a reviewer leaving or finishing, and deactivate all accounts at the end of the assignment, confirming to TEF in writing</w:t>
            </w:r>
          </w:p>
        </w:tc>
      </w:tr>
      <w:tr>
        <w:tc>
          <w:tcPr>
            <w:tcW w:w="4680" w:type="dxa"/>
          </w:tcPr>
          <w:p>
            <w:pPr/>
            <w:r>
              <w:t xml:space="preserve">Vetting or background checks for personnel with access</w:t>
            </w:r>
          </w:p>
        </w:tc>
        <w:tc>
          <w:tcPr>
            <w:tcW w:w="4680" w:type="dxa"/>
          </w:tcPr>
          <w:p>
            <w:pPr/>
            <w:r>
              <w:t xml:space="preserve">Before access: identity verification, two professional references and, where the law of the reviewer’s country permits, a criminal record check</w:t>
            </w:r>
          </w:p>
        </w:tc>
      </w:tr>
      <w:tr>
        <w:tc>
          <w:tcPr>
            <w:tcW w:w="4680" w:type="dxa"/>
          </w:tcPr>
          <w:p>
            <w:pPr/>
            <w:r>
              <w:t xml:space="preserve">Compliance with data protection laws where reviewers are based and with TEF’s requirements</w:t>
            </w:r>
          </w:p>
        </w:tc>
        <w:tc>
          <w:tcPr>
            <w:tcW w:w="4680" w:type="dxa"/>
          </w:tcPr>
          <w:p>
            <w:pPr/>
            <w:r>
              <w:t xml:space="preserve">We comply with the data protection law of every jurisdiction where our reviewers work and with TEF’s own requirements, and where they differ we apply the stricter standard. Nigeria’s Data Protection Act 2023 and Kenya’s Data Protection Act 2019 are our floor</w:t>
            </w:r>
          </w:p>
        </w:tc>
      </w:tr>
      <w:tr>
        <w:tc>
          <w:tcPr>
            <w:tcW w:w="4680" w:type="dxa"/>
          </w:tcPr>
          <w:p>
            <w:pPr/>
            <w:r>
              <w:t xml:space="preserve">A defined procedure for reporting any breach or unauthorised access to TEF without delay</w:t>
            </w:r>
          </w:p>
        </w:tc>
        <w:tc>
          <w:tcPr>
            <w:tcW w:w="4680" w:type="dxa"/>
          </w:tcPr>
          <w:p>
            <w:pPr/>
            <w:r>
              <w:t xml:space="preserve">Anyone who suspects a breach tells our operations lead immediately; we notify TEF within 24 hours of discovery with what happened, which data may be affected and what we have done, and we cooperate with TEF’s investigation</w:t>
            </w:r>
          </w:p>
        </w:tc>
      </w:tr>
      <w:tr>
        <w:tc>
          <w:tcPr>
            <w:tcW w:w="4680" w:type="dxa"/>
          </w:tcPr>
          <w:p>
            <w:pPr/>
            <w:r>
              <w:t xml:space="preserve">Access revoked and any residual local records securely destroyed on completion or termination</w:t>
            </w:r>
          </w:p>
        </w:tc>
        <w:tc>
          <w:tcPr>
            <w:tcW w:w="4680" w:type="dxa"/>
          </w:tcPr>
          <w:p>
            <w:pPr/>
            <w:r>
              <w:t xml:space="preserve">All access is revoked on completion or termination. We hold no applicant data locally; if any residual record exists, such as a reviewer’s notes, it is securely destroyed and destruction is confirmed to TEF in writing</w:t>
            </w:r>
          </w:p>
        </w:tc>
      </w:tr>
    </w:tbl>
    <w:p>
      <w:pPr/>
      <w:r>
        <w:t xml:space="preserve">We accept the Foundation’s intellectual property terms in Section 12 of the RFP: all information belonging to TEF that we come into contact with remains its property, is used only for this assignment, and is not disclosed without TEF’s written permission. We also treat the evaluation rubrics and applicant data structures TEF shares with us as confidential, as Section 13 requires.</w:t>
      </w:r>
    </w:p>
    <w:p>
      <w:pPr>
        <w:pStyle w:val="Heading3"/>
      </w:pPr>
      <w:r>
        <w:t xml:space="preserve">6 Reporting, governance and timeline</w:t>
      </w:r>
    </w:p>
    <w:p>
      <w:pPr/>
      <w:r>
        <w:rPr>
          <w:b/>
        </w:rPr>
        <w:t xml:space="preserve">Reporting and governance.</w:t>
      </w:r>
      <w:r>
        <w:t xml:space="preserve"> We will hold weekly meetings with TEF’s team throughout the assignment to review progress, numbers and insights. We will give TEF a standing tracker showing, by language and by stage, how many applications are received, scored, quality-checked, shortlisted and recommended, and how many Component 2 submissions are received, reviewed and returned. Progress and results will be reported disaggregated by contributory partner, in a format and at a frequency agreed with TEF. Anastasia Muthoni runs the tracker and the meeting notes; Regina Love Clarkson attends every weekly meeting.</w:t>
      </w:r>
    </w:p>
    <w:p>
      <w:pPr/>
      <w:r>
        <w:rPr>
          <w:b/>
        </w:rPr>
        <w:t xml:space="preserve">Timeline.</w:t>
      </w:r>
      <w:r>
        <w:t xml:space="preserve"> The dates below follow the RFP: Component 1 must finish between 1 January and 10 March 2027, and the contract runs from 1 January to 31 December 2027. The week allocations are our proposal and TEF may adjust them.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Period</w:t>
            </w:r>
          </w:p>
        </w:tc>
        <w:tc>
          <w:tcPr>
            <w:tcW w:w="4680" w:type="dxa"/>
            <w:shd w:val="clear" w:color="auto" w:fill="F2F2F2"/>
          </w:tcPr>
          <w:p>
            <w:pPr/>
            <w:r>
              <w:t xml:space="preserve">Activity</w:t>
            </w:r>
          </w:p>
        </w:tc>
      </w:tr>
      <w:tr>
        <w:tc>
          <w:tcPr>
            <w:tcW w:w="4680" w:type="dxa"/>
          </w:tcPr>
          <w:p>
            <w:pPr/>
            <w:r>
              <w:t xml:space="preserve">October to December 2026</w:t>
            </w:r>
          </w:p>
        </w:tc>
        <w:tc>
          <w:tcPr>
            <w:tcW w:w="4680" w:type="dxa"/>
          </w:tcPr>
          <w:p>
            <w:pPr/>
            <w:r>
              <w:t xml:space="preserve">Contract signed; reviewer pool recruited, vetted and bound by NDA; training plan agreed with TEF; calibration sets prepared in four languages</w:t>
            </w:r>
          </w:p>
        </w:tc>
      </w:tr>
      <w:tr>
        <w:tc>
          <w:tcPr>
            <w:tcW w:w="4680" w:type="dxa"/>
          </w:tcPr>
          <w:p>
            <w:pPr/>
            <w:r>
              <w:t xml:space="preserve">Week 1 from 1 January 2027</w:t>
            </w:r>
          </w:p>
        </w:tc>
        <w:tc>
          <w:tcPr>
            <w:tcW w:w="4680" w:type="dxa"/>
          </w:tcPr>
          <w:p>
            <w:pPr/>
            <w:r>
              <w:t xml:space="preserve">Enumerator training and calibration gate; Stage 1 opens as enumerators pass</w:t>
            </w:r>
          </w:p>
        </w:tc>
      </w:tr>
      <w:tr>
        <w:tc>
          <w:tcPr>
            <w:tcW w:w="4680" w:type="dxa"/>
          </w:tcPr>
          <w:p>
            <w:pPr/>
            <w:r>
              <w:t xml:space="preserve">Weeks 1 to 6</w:t>
            </w:r>
          </w:p>
        </w:tc>
        <w:tc>
          <w:tcPr>
            <w:tcW w:w="4680" w:type="dxa"/>
          </w:tcPr>
          <w:p>
            <w:pPr/>
            <w:r>
              <w:t xml:space="preserve">Stage 1 scoring with expert sampling, daily drift reports and weekly refreshers</w:t>
            </w:r>
          </w:p>
        </w:tc>
      </w:tr>
      <w:tr>
        <w:tc>
          <w:tcPr>
            <w:tcW w:w="4680" w:type="dxa"/>
          </w:tcPr>
          <w:p>
            <w:pPr/>
            <w:r>
              <w:t xml:space="preserve">Weeks 5 to 9</w:t>
            </w:r>
          </w:p>
        </w:tc>
        <w:tc>
          <w:tcPr>
            <w:tcW w:w="4680" w:type="dxa"/>
          </w:tcPr>
          <w:p>
            <w:pPr/>
            <w:r>
              <w:t xml:space="preserve">Stage 2 expert review begins as shortlists form; second reviews and cut-off checks</w:t>
            </w:r>
          </w:p>
        </w:tc>
      </w:tr>
      <w:tr>
        <w:tc>
          <w:tcPr>
            <w:tcW w:w="4680" w:type="dxa"/>
          </w:tcPr>
          <w:p>
            <w:pPr/>
            <w:r>
              <w:t xml:space="preserve">Week 10, by 10 March 2027</w:t>
            </w:r>
          </w:p>
        </w:tc>
        <w:tc>
          <w:tcPr>
            <w:tcW w:w="4680" w:type="dxa"/>
          </w:tcPr>
          <w:p>
            <w:pPr/>
            <w:r>
              <w:t xml:space="preserve">Recommendation of entrepreneurs to TEF; Component 1 report and handover of scoring logs</w:t>
            </w:r>
          </w:p>
        </w:tc>
      </w:tr>
      <w:tr>
        <w:tc>
          <w:tcPr>
            <w:tcW w:w="4680" w:type="dxa"/>
          </w:tcPr>
          <w:p>
            <w:pPr/>
            <w:r>
              <w:t xml:space="preserve">After selection, dates set by TEF</w:t>
            </w:r>
          </w:p>
        </w:tc>
        <w:tc>
          <w:tcPr>
            <w:tcW w:w="4680" w:type="dxa"/>
          </w:tcPr>
          <w:p>
            <w:pPr/>
            <w:r>
              <w:t xml:space="preserve">Component 2: framework approved; entrepreneurs trained; business plans, financials and videos reviewed; feedback and re-review</w:t>
            </w:r>
          </w:p>
        </w:tc>
      </w:tr>
      <w:tr>
        <w:tc>
          <w:tcPr>
            <w:tcW w:w="4680" w:type="dxa"/>
          </w:tcPr>
          <w:p>
            <w:pPr/>
            <w:r>
              <w:t xml:space="preserve">By 31 December 2027</w:t>
            </w:r>
          </w:p>
        </w:tc>
        <w:tc>
          <w:tcPr>
            <w:tcW w:w="4680" w:type="dxa"/>
          </w:tcPr>
          <w:p>
            <w:pPr/>
            <w:r>
              <w:t xml:space="preserve">Contract term ends; renewal for 2028 at TEF’s discretion</w:t>
            </w:r>
          </w:p>
        </w:tc>
      </w:tr>
    </w:tbl>
    <w:p>
      <w:pPr>
        <w:pStyle w:val="Heading2"/>
      </w:pPr>
      <w:r>
        <w:t xml:space="preserve">Financial proposal</w:t>
      </w:r>
    </w:p>
    <w:p>
      <w:pPr/>
      <w:r>
        <w:t xml:space="preserve">This section follows Section 7 of the RFP. We give a lump sum for the full scope, and a per-review breakdown with English applications priced separately from non-English applications (French, Portuguese and Arabic combined), for the expert reviewers only. All amounts are in US dollars.</w:t>
      </w:r>
    </w:p>
    <w:p>
      <w:pPr/>
      <w:r>
        <w:rPr>
          <w:b/>
        </w:rPr>
        <w:t xml:space="preserve">Planning volumes.</w:t>
      </w:r>
      <w:r>
        <w:t xml:space="preserve"> We use the RFP’s indicative 10,000 Stage 2 reviews and assume 3,200 entrepreneurs selected into Component 2, the size of the 2026 cohort, with 70% of work in English and 30% in other languages. TEF will confirm actual volumes; the lump sum below moves with them, and the per-review rates do not.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Item</w:t>
            </w:r>
          </w:p>
        </w:tc>
        <w:tc>
          <w:tcPr>
            <w:tcW w:w="1872" w:type="dxa"/>
            <w:shd w:val="clear" w:color="auto" w:fill="F2F2F2"/>
          </w:tcPr>
          <w:p>
            <w:pPr/>
            <w:r>
              <w:t xml:space="preserve">Basis</w:t>
            </w:r>
          </w:p>
        </w:tc>
        <w:tc>
          <w:tcPr>
            <w:tcW w:w="1872" w:type="dxa"/>
            <w:shd w:val="clear" w:color="auto" w:fill="F2F2F2"/>
          </w:tcPr>
          <w:p>
            <w:pPr/>
            <w:r>
              <w:t xml:space="preserve">Planning volume</w:t>
            </w:r>
          </w:p>
        </w:tc>
        <w:tc>
          <w:tcPr>
            <w:tcW w:w="1872" w:type="dxa"/>
            <w:shd w:val="clear" w:color="auto" w:fill="F2F2F2"/>
          </w:tcPr>
          <w:p>
            <w:pPr/>
            <w:r>
              <w:t xml:space="preserve">Rate (USD)</w:t>
            </w:r>
          </w:p>
        </w:tc>
        <w:tc>
          <w:tcPr>
            <w:tcW w:w="1872" w:type="dxa"/>
            <w:shd w:val="clear" w:color="auto" w:fill="F2F2F2"/>
          </w:tcPr>
          <w:p>
            <w:pPr/>
            <w:r>
              <w:t xml:space="preserve">Amount (USD)</w:t>
            </w:r>
          </w:p>
        </w:tc>
      </w:tr>
      <w:tr>
        <w:tc>
          <w:tcPr>
            <w:tcW w:w="1872" w:type="dxa"/>
          </w:tcPr>
          <w:p>
            <w:pPr/>
            <w:r>
              <w:t xml:space="preserve">A Enumerator training</w:t>
            </w:r>
          </w:p>
        </w:tc>
        <w:tc>
          <w:tcPr>
            <w:tcW w:w="1872" w:type="dxa"/>
          </w:tcPr>
          <w:p>
            <w:pPr/>
            <w:r>
              <w:t xml:space="preserve">Plan, materials and delivery in four languages</w:t>
            </w:r>
          </w:p>
        </w:tc>
        <w:tc>
          <w:tcPr>
            <w:tcW w:w="1872" w:type="dxa"/>
          </w:tcPr>
          <w:p>
            <w:pPr/>
            <w:r>
              <w:t xml:space="preserve">Fixed</w:t>
            </w:r>
          </w:p>
        </w:tc>
        <w:tc>
          <w:tcPr>
            <w:tcW w:w="1872" w:type="dxa"/>
          </w:tcPr>
          <w:p>
            <w:pPr/>
            <w:r>
              <w:t xml:space="preserve">n/a</w:t>
            </w:r>
          </w:p>
        </w:tc>
        <w:tc>
          <w:tcPr>
            <w:tcW w:w="1872" w:type="dxa"/>
          </w:tcPr>
          <w:p>
            <w:pPr/>
            <w:r>
              <w:t xml:space="preserve">15,000</w:t>
            </w:r>
          </w:p>
        </w:tc>
      </w:tr>
      <w:tr>
        <w:tc>
          <w:tcPr>
            <w:tcW w:w="1872" w:type="dxa"/>
          </w:tcPr>
          <w:p>
            <w:pPr/>
            <w:r>
              <w:t xml:space="preserve">B Component 2 framework and entrepreneur training</w:t>
            </w:r>
          </w:p>
        </w:tc>
        <w:tc>
          <w:tcPr>
            <w:tcW w:w="1872" w:type="dxa"/>
          </w:tcPr>
          <w:p>
            <w:pPr/>
            <w:r>
              <w:t xml:space="preserve">Framework, guidelines and training in four languages</w:t>
            </w:r>
          </w:p>
        </w:tc>
        <w:tc>
          <w:tcPr>
            <w:tcW w:w="1872" w:type="dxa"/>
          </w:tcPr>
          <w:p>
            <w:pPr/>
            <w:r>
              <w:t xml:space="preserve">Fixed</w:t>
            </w:r>
          </w:p>
        </w:tc>
        <w:tc>
          <w:tcPr>
            <w:tcW w:w="1872" w:type="dxa"/>
          </w:tcPr>
          <w:p>
            <w:pPr/>
            <w:r>
              <w:t xml:space="preserve">n/a</w:t>
            </w:r>
          </w:p>
        </w:tc>
        <w:tc>
          <w:tcPr>
            <w:tcW w:w="1872" w:type="dxa"/>
          </w:tcPr>
          <w:p>
            <w:pPr/>
            <w:r>
              <w:t xml:space="preserve">18,000</w:t>
            </w:r>
          </w:p>
        </w:tc>
      </w:tr>
      <w:tr>
        <w:tc>
          <w:tcPr>
            <w:tcW w:w="1872" w:type="dxa"/>
          </w:tcPr>
          <w:p>
            <w:pPr/>
            <w:r>
              <w:t xml:space="preserve">C Management and reporting</w:t>
            </w:r>
          </w:p>
        </w:tc>
        <w:tc>
          <w:tcPr>
            <w:tcW w:w="1872" w:type="dxa"/>
          </w:tcPr>
          <w:p>
            <w:pPr/>
            <w:r>
              <w:t xml:space="preserve">Weekly meetings, standing tracker, partner-disaggregated reports, access administration, 12 months</w:t>
            </w:r>
          </w:p>
        </w:tc>
        <w:tc>
          <w:tcPr>
            <w:tcW w:w="1872" w:type="dxa"/>
          </w:tcPr>
          <w:p>
            <w:pPr/>
            <w:r>
              <w:t xml:space="preserve">Fixed</w:t>
            </w:r>
          </w:p>
        </w:tc>
        <w:tc>
          <w:tcPr>
            <w:tcW w:w="1872" w:type="dxa"/>
          </w:tcPr>
          <w:p>
            <w:pPr/>
            <w:r>
              <w:t xml:space="preserve">n/a</w:t>
            </w:r>
          </w:p>
        </w:tc>
        <w:tc>
          <w:tcPr>
            <w:tcW w:w="1872" w:type="dxa"/>
          </w:tcPr>
          <w:p>
            <w:pPr/>
            <w:r>
              <w:t xml:space="preserve">24,000</w:t>
            </w:r>
          </w:p>
        </w:tc>
      </w:tr>
      <w:tr>
        <w:tc>
          <w:tcPr>
            <w:tcW w:w="1872" w:type="dxa"/>
          </w:tcPr>
          <w:p>
            <w:pPr/>
            <w:r>
              <w:t xml:space="preserve">D Stage 2 expert review, English</w:t>
            </w:r>
          </w:p>
        </w:tc>
        <w:tc>
          <w:tcPr>
            <w:tcW w:w="1872" w:type="dxa"/>
          </w:tcPr>
          <w:p>
            <w:pPr/>
            <w:r>
              <w:t xml:space="preserve">Per review, including quality assurance of Stage 1 scoring</w:t>
            </w:r>
          </w:p>
        </w:tc>
        <w:tc>
          <w:tcPr>
            <w:tcW w:w="1872" w:type="dxa"/>
          </w:tcPr>
          <w:p>
            <w:pPr/>
            <w:r>
              <w:t xml:space="preserve">7,000</w:t>
            </w:r>
          </w:p>
        </w:tc>
        <w:tc>
          <w:tcPr>
            <w:tcW w:w="1872" w:type="dxa"/>
          </w:tcPr>
          <w:p>
            <w:pPr/>
            <w:r>
              <w:t xml:space="preserve">9</w:t>
            </w:r>
          </w:p>
        </w:tc>
        <w:tc>
          <w:tcPr>
            <w:tcW w:w="1872" w:type="dxa"/>
          </w:tcPr>
          <w:p>
            <w:pPr/>
            <w:r>
              <w:t xml:space="preserve">63,000</w:t>
            </w:r>
          </w:p>
        </w:tc>
      </w:tr>
      <w:tr>
        <w:tc>
          <w:tcPr>
            <w:tcW w:w="1872" w:type="dxa"/>
          </w:tcPr>
          <w:p>
            <w:pPr/>
            <w:r>
              <w:t xml:space="preserve">E Stage 2 expert review, non-English</w:t>
            </w:r>
          </w:p>
        </w:tc>
        <w:tc>
          <w:tcPr>
            <w:tcW w:w="1872" w:type="dxa"/>
          </w:tcPr>
          <w:p>
            <w:pPr/>
            <w:r>
              <w:t xml:space="preserve">Per review, including quality assurance of Stage 1 scoring</w:t>
            </w:r>
          </w:p>
        </w:tc>
        <w:tc>
          <w:tcPr>
            <w:tcW w:w="1872" w:type="dxa"/>
          </w:tcPr>
          <w:p>
            <w:pPr/>
            <w:r>
              <w:t xml:space="preserve">3,000</w:t>
            </w:r>
          </w:p>
        </w:tc>
        <w:tc>
          <w:tcPr>
            <w:tcW w:w="1872" w:type="dxa"/>
          </w:tcPr>
          <w:p>
            <w:pPr/>
            <w:r>
              <w:t xml:space="preserve">12</w:t>
            </w:r>
          </w:p>
        </w:tc>
        <w:tc>
          <w:tcPr>
            <w:tcW w:w="1872" w:type="dxa"/>
          </w:tcPr>
          <w:p>
            <w:pPr/>
            <w:r>
              <w:t xml:space="preserve">36,000</w:t>
            </w:r>
          </w:p>
        </w:tc>
      </w:tr>
      <w:tr>
        <w:tc>
          <w:tcPr>
            <w:tcW w:w="1872" w:type="dxa"/>
          </w:tcPr>
          <w:p>
            <w:pPr/>
            <w:r>
              <w:t xml:space="preserve">F Component 2 review, English</w:t>
            </w:r>
          </w:p>
        </w:tc>
        <w:tc>
          <w:tcPr>
            <w:tcW w:w="1872" w:type="dxa"/>
          </w:tcPr>
          <w:p>
            <w:pPr/>
            <w:r>
              <w:t xml:space="preserve">Per review of plan, financials and video, with structured feedback and one re-review</w:t>
            </w:r>
          </w:p>
        </w:tc>
        <w:tc>
          <w:tcPr>
            <w:tcW w:w="1872" w:type="dxa"/>
          </w:tcPr>
          <w:p>
            <w:pPr/>
            <w:r>
              <w:t xml:space="preserve">2,240</w:t>
            </w:r>
          </w:p>
        </w:tc>
        <w:tc>
          <w:tcPr>
            <w:tcW w:w="1872" w:type="dxa"/>
          </w:tcPr>
          <w:p>
            <w:pPr/>
            <w:r>
              <w:t xml:space="preserve">42</w:t>
            </w:r>
          </w:p>
        </w:tc>
        <w:tc>
          <w:tcPr>
            <w:tcW w:w="1872" w:type="dxa"/>
          </w:tcPr>
          <w:p>
            <w:pPr/>
            <w:r>
              <w:t xml:space="preserve">94,080</w:t>
            </w:r>
          </w:p>
        </w:tc>
      </w:tr>
      <w:tr>
        <w:tc>
          <w:tcPr>
            <w:tcW w:w="1872" w:type="dxa"/>
          </w:tcPr>
          <w:p>
            <w:pPr/>
            <w:r>
              <w:t xml:space="preserve">G Component 2 review, non-English</w:t>
            </w:r>
          </w:p>
        </w:tc>
        <w:tc>
          <w:tcPr>
            <w:tcW w:w="1872" w:type="dxa"/>
          </w:tcPr>
          <w:p>
            <w:pPr/>
            <w:r>
              <w:t xml:space="preserve">Per review of plan, financials and video, with structured feedback and one re-review</w:t>
            </w:r>
          </w:p>
        </w:tc>
        <w:tc>
          <w:tcPr>
            <w:tcW w:w="1872" w:type="dxa"/>
          </w:tcPr>
          <w:p>
            <w:pPr/>
            <w:r>
              <w:t xml:space="preserve">960</w:t>
            </w:r>
          </w:p>
        </w:tc>
        <w:tc>
          <w:tcPr>
            <w:tcW w:w="1872" w:type="dxa"/>
          </w:tcPr>
          <w:p>
            <w:pPr/>
            <w:r>
              <w:t xml:space="preserve">54</w:t>
            </w:r>
          </w:p>
        </w:tc>
        <w:tc>
          <w:tcPr>
            <w:tcW w:w="1872" w:type="dxa"/>
          </w:tcPr>
          <w:p>
            <w:pPr/>
            <w:r>
              <w:t xml:space="preserve">51,840</w:t>
            </w:r>
          </w:p>
        </w:tc>
      </w:tr>
      <w:tr>
        <w:tc>
          <w:tcPr>
            <w:tcW w:w="1872" w:type="dxa"/>
          </w:tcPr>
          <w:p>
            <w:pPr/>
            <w:r>
              <w:rPr>
                <w:b/>
              </w:rPr>
              <w:t xml:space="preserve">Total lump sum</w:t>
            </w:r>
          </w:p>
        </w:tc>
        <w:tc>
          <w:tcPr>
            <w:tcW w:w="1872" w:type="dxa"/>
          </w:tcPr>
          <w:p>
            <w:pPr/>
          </w:p>
        </w:tc>
        <w:tc>
          <w:tcPr>
            <w:tcW w:w="1872" w:type="dxa"/>
          </w:tcPr>
          <w:p>
            <w:pPr/>
          </w:p>
        </w:tc>
        <w:tc>
          <w:tcPr>
            <w:tcW w:w="1872" w:type="dxa"/>
          </w:tcPr>
          <w:p>
            <w:pPr/>
          </w:p>
        </w:tc>
        <w:tc>
          <w:tcPr>
            <w:tcW w:w="1872" w:type="dxa"/>
          </w:tcPr>
          <w:p>
            <w:pPr/>
            <w:r>
              <w:rPr>
                <w:b/>
              </w:rPr>
              <w:t xml:space="preserve">301,920</w:t>
            </w:r>
          </w:p>
        </w:tc>
      </w:tr>
    </w:tbl>
    <w:p>
      <w:pPr/>
      <w:r>
        <w:rPr>
          <w:b/>
        </w:rPr>
        <w:t xml:space="preserve">Per-review rates, expert reviewers only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Review</w:t>
            </w:r>
          </w:p>
        </w:tc>
        <w:tc>
          <w:tcPr>
            <w:tcW w:w="3120" w:type="dxa"/>
            <w:shd w:val="clear" w:color="auto" w:fill="F2F2F2"/>
          </w:tcPr>
          <w:p>
            <w:pPr/>
            <w:r>
              <w:t xml:space="preserve">English (USD)</w:t>
            </w:r>
          </w:p>
        </w:tc>
        <w:tc>
          <w:tcPr>
            <w:tcW w:w="3120" w:type="dxa"/>
            <w:shd w:val="clear" w:color="auto" w:fill="F2F2F2"/>
          </w:tcPr>
          <w:p>
            <w:pPr/>
            <w:r>
              <w:t xml:space="preserve">Non-English: French, Portuguese, Arabic (USD)</w:t>
            </w:r>
          </w:p>
        </w:tc>
      </w:tr>
      <w:tr>
        <w:tc>
          <w:tcPr>
            <w:tcW w:w="3120" w:type="dxa"/>
          </w:tcPr>
          <w:p>
            <w:pPr/>
            <w:r>
              <w:t xml:space="preserve">Stage 2 expert application review, with quality assurance of Stage 1 scoring</w:t>
            </w:r>
          </w:p>
        </w:tc>
        <w:tc>
          <w:tcPr>
            <w:tcW w:w="3120" w:type="dxa"/>
          </w:tcPr>
          <w:p>
            <w:pPr/>
            <w:r>
              <w:t xml:space="preserve">9</w:t>
            </w:r>
          </w:p>
        </w:tc>
        <w:tc>
          <w:tcPr>
            <w:tcW w:w="3120" w:type="dxa"/>
          </w:tcPr>
          <w:p>
            <w:pPr/>
            <w:r>
              <w:t xml:space="preserve">12</w:t>
            </w:r>
          </w:p>
        </w:tc>
      </w:tr>
      <w:tr>
        <w:tc>
          <w:tcPr>
            <w:tcW w:w="3120" w:type="dxa"/>
          </w:tcPr>
          <w:p>
            <w:pPr/>
            <w:r>
              <w:t xml:space="preserve">Component 2 review of business plan, financials and pitch video, with feedback and one re-review</w:t>
            </w:r>
          </w:p>
        </w:tc>
        <w:tc>
          <w:tcPr>
            <w:tcW w:w="3120" w:type="dxa"/>
          </w:tcPr>
          <w:p>
            <w:pPr/>
            <w:r>
              <w:t xml:space="preserve">42</w:t>
            </w:r>
          </w:p>
        </w:tc>
        <w:tc>
          <w:tcPr>
            <w:tcW w:w="3120" w:type="dxa"/>
          </w:tcPr>
          <w:p>
            <w:pPr/>
            <w:r>
              <w:t xml:space="preserve">54</w:t>
            </w:r>
          </w:p>
        </w:tc>
      </w:tr>
    </w:tbl>
    <w:p>
      <w:pPr/>
      <w:r>
        <w:rPr>
          <w:b/>
        </w:rPr>
        <w:t xml:space="preserve">Supporting note.</w:t>
      </w:r>
    </w:p>
    <w:p>
      <w:pPr>
        <w:pStyle w:val="ListParagraph"/>
        <w:numPr>
          <w:ilvl w:val="0"/>
          <w:numId w:val="6"/>
        </w:numPr>
      </w:pPr>
      <w:r>
        <w:t xml:space="preserve">We require no minimum volume commitment. Per-review amounts are charged on reviews actually delivered and accepted; fixed items A to C do not vary with volume.</w:t>
      </w:r>
    </w:p>
    <w:p>
      <w:pPr>
        <w:pStyle w:val="ListParagraph"/>
        <w:numPr>
          <w:ilvl w:val="0"/>
          <w:numId w:val="6"/>
        </w:numPr>
      </w:pPr>
      <w:r>
        <w:t xml:space="preserve">We propose no volume-based discount in this submission and will consider one if TEF’s confirmed volumes are materially above the planning volumes.</w:t>
      </w:r>
    </w:p>
    <w:p>
      <w:pPr>
        <w:pStyle w:val="ListParagraph"/>
        <w:numPr>
          <w:ilvl w:val="0"/>
          <w:numId w:val="6"/>
        </w:numPr>
      </w:pPr>
      <w:r>
        <w:t xml:space="preserve">The cost variables are the language mix, which moves the amount by the difference between English and non-English rates, and any second re-review, which we charge at half the Component 2 rate.</w:t>
      </w:r>
    </w:p>
    <w:p>
      <w:pPr>
        <w:pStyle w:val="ListParagraph"/>
        <w:numPr>
          <w:ilvl w:val="0"/>
          <w:numId w:val="6"/>
        </w:numPr>
      </w:pPr>
      <w:r>
        <w:t xml:space="preserve">One consultant day equals eight productive hours. Rates are held firm for the 2027 contract term. Rates for a 2028 renewal would be agreed with TEF at renewal.</w:t>
      </w:r>
    </w:p>
    <w:p>
      <w:pPr>
        <w:pStyle w:val="ListParagraph"/>
        <w:numPr>
          <w:ilvl w:val="0"/>
          <w:numId w:val="6"/>
        </w:numPr>
      </w:pPr>
      <w:r>
        <w:t xml:space="preserve">Amounts are [exclusive / inclusive] of applicable taxes.</w:t>
      </w:r>
    </w:p>
    <w:p>
      <w:pPr/>
      <w:r>
        <w:rPr>
          <w:b/>
        </w:rPr>
        <w:t xml:space="preserve">Invoicing.</w:t>
      </w:r>
      <w:r>
        <w:t xml:space="preserve"> Per-review amounts are invoiced monthly in arrears for reviews delivered and accepted. Item A is invoiced when enumerator training is complete; item B when TEF approves the framework and entrepreneur training is complete; item C in twelve equal monthly instalments. This proposal is valid for 120 days from the submission deadline.</w:t>
      </w:r>
    </w:p>
    <w:p>
      <w:pPr>
        <w:pStyle w:val="Heading2"/>
      </w:pPr>
      <w:r>
        <w:t xml:space="preserve">Company profile, relevant experience and references</w:t>
      </w:r>
    </w:p>
    <w:p>
      <w:pPr>
        <w:pStyle w:val="Heading3"/>
      </w:pPr>
      <w:r>
        <w:t xml:space="preserve">Company profile</w:t>
      </w:r>
    </w:p>
    <w:p>
      <w:pPr/>
      <w:r>
        <w:t xml:space="preserve">Smart Investment has operated from Sierra Leone since 2001, delivering ICT, infrastructure and institutional consultancy services across West Africa, with a client record including Orange Sierra Leone, Marampa Mines, Freetown Terminal Limited, Africa Global Logistics, Sierra Leone Commercial Bank and Rokel Commercial Bank.</w:t>
      </w:r>
    </w:p>
    <w:p>
      <w:pPr/>
      <w:r>
        <w:t xml:space="preserve">Smart Impact Consult is the group’s boutique impact-investment practice, working across Kenya and Sierra Leone in fund advisory, DFI advisory, technical assistance to funds, impact measurement and reporting, and applied research published through its own Insights Hub at smartimpactconsult.com. Its diagnosis of the market it works in is that Africa’s impact investment ecosystem is vibrant yet under-structured, limited by fragmented data systems, weak investor pipelines and limited readiness for capital. A review of 100,000 applications is a data-systems problem as much as an assessment problem, and that is the problem our practice is built around.</w:t>
      </w:r>
    </w:p>
    <w:p>
      <w:pPr>
        <w:pStyle w:val="Heading3"/>
      </w:pPr>
      <w:r>
        <w:t xml:space="preserve">How we meet the eligibility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RFP requirement (Section 8)</w:t>
            </w:r>
          </w:p>
        </w:tc>
        <w:tc>
          <w:tcPr>
            <w:tcW w:w="4680" w:type="dxa"/>
            <w:shd w:val="clear" w:color="auto" w:fill="F2F2F2"/>
          </w:tcPr>
          <w:p>
            <w:pPr/>
            <w:r>
              <w:t xml:space="preserve">How we meet it</w:t>
            </w:r>
          </w:p>
        </w:tc>
      </w:tr>
      <w:tr>
        <w:tc>
          <w:tcPr>
            <w:tcW w:w="4680" w:type="dxa"/>
          </w:tcPr>
          <w:p>
            <w:pPr/>
            <w:r>
              <w:t xml:space="preserve">Experience managing large-scale application, business plan or grant review across African countries</w:t>
            </w:r>
          </w:p>
        </w:tc>
        <w:tc>
          <w:tcPr>
            <w:tcW w:w="4680" w:type="dxa"/>
          </w:tcPr>
          <w:p>
            <w:pPr/>
            <w:r>
              <w:t xml:space="preserve">Capital Ignition: 64+ investment propositions assessed from fourteen African markets seeking USD 344m, against a consistent framework. Included VC African Cohort Fellowship: three investment committees reviewing more than 150 ventures. Woods Fund Chicago: a USD 6m annual portfolio across 80+ organisations, with portfolio systems redesigned to standardise allocation data. These are smaller than a 100,000-application cycle, and we say so. Our answer to scale is the structure in Sections 3 and 4: a calibrated, quality-assured reviewer pool led by named people who have built review systems before</w:t>
            </w:r>
          </w:p>
        </w:tc>
      </w:tr>
      <w:tr>
        <w:tc>
          <w:tcPr>
            <w:tcW w:w="4680" w:type="dxa"/>
          </w:tcPr>
          <w:p>
            <w:pPr/>
            <w:r>
              <w:t xml:space="preserve">Capacity to train large numbers of enumerators and manage expert reviewers separately</w:t>
            </w:r>
          </w:p>
        </w:tc>
        <w:tc>
          <w:tcPr>
            <w:tcW w:w="4680" w:type="dxa"/>
          </w:tcPr>
          <w:p>
            <w:pPr/>
            <w:r>
              <w:t xml:space="preserve">A training plan with a calibration gate; separate lines for enumerators and experts; team leaders with experience of managing distributed teams. Boisy V.A. Williams led area management for the Norwegian Refugee Council in Burkina Faso with primary budget-holder responsibility and distributed leadership of national and international staff under access constraints</w:t>
            </w:r>
          </w:p>
        </w:tc>
      </w:tr>
      <w:tr>
        <w:tc>
          <w:tcPr>
            <w:tcW w:w="4680" w:type="dxa"/>
          </w:tcPr>
          <w:p>
            <w:pPr/>
            <w:r>
              <w:t xml:space="preserve">Capacity to design a business plan and financials framework and train non-technical entrepreneurs</w:t>
            </w:r>
          </w:p>
        </w:tc>
        <w:tc>
          <w:tcPr>
            <w:tcW w:w="4680" w:type="dxa"/>
          </w:tcPr>
          <w:p>
            <w:pPr/>
            <w:r>
              <w:t xml:space="preserve">The Capital Ignition Workshop Series engaged 115 founders. SIC built the fundraising strategy for Protein Kenya and led its Q1 2026 seed-round outreach, which produced 700+ leads and 2+ investors in under 60 days. Caroline N. Ndegwa designed seven ESAP/ESMS frameworks. Damilare Jegede designs for readers who are not specialists</w:t>
            </w:r>
          </w:p>
        </w:tc>
      </w:tr>
      <w:tr>
        <w:tc>
          <w:tcPr>
            <w:tcW w:w="4680" w:type="dxa"/>
          </w:tcPr>
          <w:p>
            <w:pPr/>
            <w:r>
              <w:t xml:space="preserve">Working proficiency in English, French, Portuguese and Arabic</w:t>
            </w:r>
          </w:p>
        </w:tc>
        <w:tc>
          <w:tcPr>
            <w:tcW w:w="4680" w:type="dxa"/>
          </w:tcPr>
          <w:p>
            <w:pPr/>
            <w:r>
              <w:t xml:space="preserve">English, French and Arabic directly; Portuguese through a documented partnership (Section 3)</w:t>
            </w:r>
          </w:p>
        </w:tc>
      </w:tr>
      <w:tr>
        <w:tc>
          <w:tcPr>
            <w:tcW w:w="4680" w:type="dxa"/>
          </w:tcPr>
          <w:p>
            <w:pPr/>
            <w:r>
              <w:t xml:space="preserve">Willingness and technical capacity to work only on TEFConnect</w:t>
            </w:r>
          </w:p>
        </w:tc>
        <w:tc>
          <w:tcPr>
            <w:tcW w:w="4680" w:type="dxa"/>
          </w:tcPr>
          <w:p>
            <w:pPr/>
            <w:r>
              <w:t xml:space="preserve">Confirmed. All review, training and reporting work happens on TEFConnect; our reviewers complete TEF’s onboarding before access</w:t>
            </w:r>
          </w:p>
        </w:tc>
      </w:tr>
      <w:tr>
        <w:tc>
          <w:tcPr>
            <w:tcW w:w="4680" w:type="dxa"/>
          </w:tcPr>
          <w:p>
            <w:pPr/>
            <w:r>
              <w:t xml:space="preserve">Registered legal entity able to contract and give references</w:t>
            </w:r>
          </w:p>
        </w:tc>
        <w:tc>
          <w:tcPr>
            <w:tcW w:w="4680" w:type="dxa"/>
          </w:tcPr>
          <w:p>
            <w:pPr/>
            <w:r>
              <w:t xml:space="preserve">Smart Investment, in core partnership with Smart Impact Consult; registration details in the next section; references below</w:t>
            </w:r>
          </w:p>
        </w:tc>
      </w:tr>
    </w:tbl>
    <w:p>
      <w:pPr>
        <w:pStyle w:val="Heading3"/>
      </w:pPr>
      <w:r>
        <w:t xml:space="preserve">Comparable 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w:t>
            </w:r>
          </w:p>
        </w:tc>
        <w:tc>
          <w:tcPr>
            <w:tcW w:w="3120" w:type="dxa"/>
            <w:shd w:val="clear" w:color="auto" w:fill="F2F2F2"/>
          </w:tcPr>
          <w:p>
            <w:pPr/>
            <w:r>
              <w:t xml:space="preserve">What we did</w:t>
            </w:r>
          </w:p>
        </w:tc>
        <w:tc>
          <w:tcPr>
            <w:tcW w:w="3120" w:type="dxa"/>
            <w:shd w:val="clear" w:color="auto" w:fill="F2F2F2"/>
          </w:tcPr>
          <w:p>
            <w:pPr/>
            <w:r>
              <w:t xml:space="preserve">Relevance to this assignment</w:t>
            </w:r>
          </w:p>
        </w:tc>
      </w:tr>
      <w:tr>
        <w:tc>
          <w:tcPr>
            <w:tcW w:w="3120" w:type="dxa"/>
          </w:tcPr>
          <w:p>
            <w:pPr/>
            <w:r>
              <w:t xml:space="preserve">Capital Ignition Workshop Series</w:t>
            </w:r>
          </w:p>
        </w:tc>
        <w:tc>
          <w:tcPr>
            <w:tcW w:w="3120" w:type="dxa"/>
          </w:tcPr>
          <w:p>
            <w:pPr/>
            <w:r>
              <w:t xml:space="preserve">Engaged 115 founders and assessed 64+ investment propositions from fourteen African markets seeking USD 344m</w:t>
            </w:r>
          </w:p>
        </w:tc>
        <w:tc>
          <w:tcPr>
            <w:tcW w:w="3120" w:type="dxa"/>
          </w:tcPr>
          <w:p>
            <w:pPr/>
            <w:r>
              <w:t xml:space="preserve">One rubric applied to many ventures across many countries; training founders</w:t>
            </w:r>
          </w:p>
        </w:tc>
      </w:tr>
      <w:tr>
        <w:tc>
          <w:tcPr>
            <w:tcW w:w="3120" w:type="dxa"/>
          </w:tcPr>
          <w:p>
            <w:pPr/>
            <w:r>
              <w:t xml:space="preserve">Included VC African Cohort Fellowship</w:t>
            </w:r>
          </w:p>
        </w:tc>
        <w:tc>
          <w:tcPr>
            <w:tcW w:w="3120" w:type="dxa"/>
          </w:tcPr>
          <w:p>
            <w:pPr/>
            <w:r>
              <w:t xml:space="preserve">Served on three investment committees reviewing more than 150 ventures; chaired the February 2026 committee</w:t>
            </w:r>
          </w:p>
        </w:tc>
        <w:tc>
          <w:tcPr>
            <w:tcW w:w="3120" w:type="dxa"/>
          </w:tcPr>
          <w:p>
            <w:pPr/>
            <w:r>
              <w:t xml:space="preserve">The investor’s view of what a credible plan and founder look like; selection under committee discipline</w:t>
            </w:r>
          </w:p>
        </w:tc>
      </w:tr>
      <w:tr>
        <w:tc>
          <w:tcPr>
            <w:tcW w:w="3120" w:type="dxa"/>
          </w:tcPr>
          <w:p>
            <w:pPr/>
            <w:r>
              <w:t xml:space="preserve">Protein Kenya</w:t>
            </w:r>
          </w:p>
        </w:tc>
        <w:tc>
          <w:tcPr>
            <w:tcW w:w="3120" w:type="dxa"/>
          </w:tcPr>
          <w:p>
            <w:pPr/>
            <w:r>
              <w:t xml:space="preserve">Built the fundraising strategy and led the Q1 2026 seed-round outreach</w:t>
            </w:r>
          </w:p>
        </w:tc>
        <w:tc>
          <w:tcPr>
            <w:tcW w:w="3120" w:type="dxa"/>
          </w:tcPr>
          <w:p>
            <w:pPr/>
            <w:r>
              <w:t xml:space="preserve">The founder’s side: what makes a pitch land</w:t>
            </w:r>
          </w:p>
        </w:tc>
      </w:tr>
      <w:tr>
        <w:tc>
          <w:tcPr>
            <w:tcW w:w="3120" w:type="dxa"/>
          </w:tcPr>
          <w:p>
            <w:pPr/>
            <w:r>
              <w:t xml:space="preserve">Portfolio data systems, Woods Fund Chicago</w:t>
            </w:r>
          </w:p>
        </w:tc>
        <w:tc>
          <w:tcPr>
            <w:tcW w:w="3120" w:type="dxa"/>
          </w:tcPr>
          <w:p>
            <w:pPr/>
            <w:r>
              <w:t xml:space="preserve">Redesigned systems to standardise data across 80+ organisations</w:t>
            </w:r>
          </w:p>
        </w:tc>
        <w:tc>
          <w:tcPr>
            <w:tcW w:w="3120" w:type="dxa"/>
          </w:tcPr>
          <w:p>
            <w:pPr/>
            <w:r>
              <w:t xml:space="preserve">Comparable scoring and tracking across a large, varied cohort</w:t>
            </w:r>
          </w:p>
        </w:tc>
      </w:tr>
      <w:tr>
        <w:tc>
          <w:tcPr>
            <w:tcW w:w="3120" w:type="dxa"/>
          </w:tcPr>
          <w:p>
            <w:pPr/>
            <w:r>
              <w:t xml:space="preserve">Published research</w:t>
            </w:r>
          </w:p>
        </w:tc>
        <w:tc>
          <w:tcPr>
            <w:tcW w:w="3120" w:type="dxa"/>
          </w:tcPr>
          <w:p>
            <w:pPr/>
            <w:r>
              <w:t xml:space="preserve">Research papers on Africa’s impact investment landscape, including </w:t>
            </w:r>
            <w:r>
              <w:rPr>
                <w:i/>
              </w:rPr>
              <w:t xml:space="preserve">The Missing Middle in Africa’s Impact Investing Ecosystem</w:t>
            </w:r>
            <w:r>
              <w:t xml:space="preserve"> and </w:t>
            </w:r>
            <w:r>
              <w:rPr>
                <w:i/>
              </w:rPr>
              <w:t xml:space="preserve">The State of ESG Reporting for Emerging Fund Managers in Africa</w:t>
            </w:r>
            <w:r>
              <w:t xml:space="preserve"> (September 2026)</w:t>
            </w:r>
          </w:p>
        </w:tc>
        <w:tc>
          <w:tcPr>
            <w:tcW w:w="3120" w:type="dxa"/>
          </w:tcPr>
          <w:p>
            <w:pPr/>
            <w:r>
              <w:t xml:space="preserve">Direct knowledge of the finance gap facing the businesses TEF backs</w:t>
            </w:r>
          </w:p>
        </w:tc>
      </w:tr>
      <w:tr>
        <w:tc>
          <w:tcPr>
            <w:tcW w:w="3120" w:type="dxa"/>
          </w:tcPr>
          <w:p>
            <w:pPr/>
            <w:r>
              <w:t xml:space="preserve">Impact reports</w:t>
            </w:r>
          </w:p>
        </w:tc>
        <w:tc>
          <w:tcPr>
            <w:tcW w:w="3120" w:type="dxa"/>
          </w:tcPr>
          <w:p>
            <w:pPr/>
            <w:r>
              <w:t xml:space="preserve">The first five-year social impact report for Fishbowl Challenge and a digital-first annual impact report for Skool Grind SL</w:t>
            </w:r>
          </w:p>
        </w:tc>
        <w:tc>
          <w:tcPr>
            <w:tcW w:w="3120" w:type="dxa"/>
          </w:tcPr>
          <w:p>
            <w:pPr/>
            <w:r>
              <w:t xml:space="preserve">Turning ventures’ own numbers into clear reports for non-specialist readers</w:t>
            </w:r>
          </w:p>
        </w:tc>
      </w:tr>
    </w:tbl>
    <w:p>
      <w:pPr/>
      <w:r>
        <w:rPr>
          <w:b/>
        </w:rPr>
        <w:t xml:space="preserve">Worked example: evidence discipline.</w:t>
      </w:r>
      <w:r>
        <w:t xml:space="preserve"> In preparing a recent multi-country research proposal, we reviewed twenty-four primary sources across ten markets and tested sixteen headline figures against five attributes: definition, measure, sample, currency and period. Ten figures were cleared for use, one was cleared with an explicit caveat and five were excluded. A figure that cannot be verified is reported as unverified, not rounded into a narrative. We apply the same standard to this review: a claim in an application or business plan that cannot be traced to a source or a customer is marked unevidenced, and scored accordingly.</w:t>
      </w:r>
    </w:p>
    <w:p>
      <w:pPr>
        <w:pStyle w:val="Heading3"/>
      </w:pPr>
      <w:r>
        <w:t xml:space="preserve">References from comparable assignments</w:t>
      </w:r>
    </w:p>
    <w:p>
      <w:pPr>
        <w:pStyle w:val="ListParagraph"/>
        <w:numPr>
          <w:ilvl w:val="0"/>
          <w:numId w:val="7"/>
        </w:numPr>
      </w:pPr>
      <w:r>
        <w:t xml:space="preserve">Reference 1: [organisation, contact name and role, email, assignment]</w:t>
      </w:r>
    </w:p>
    <w:p>
      <w:pPr>
        <w:pStyle w:val="ListParagraph"/>
        <w:numPr>
          <w:ilvl w:val="0"/>
          <w:numId w:val="7"/>
        </w:numPr>
      </w:pPr>
      <w:r>
        <w:t xml:space="preserve">Reference 2: [organisation, contact name and role, email, assignment]</w:t>
      </w:r>
    </w:p>
    <w:p>
      <w:pPr>
        <w:pStyle w:val="Heading2"/>
      </w:pPr>
      <w:r>
        <w:t xml:space="preserve">Legal registration and certifications</w:t>
      </w:r>
    </w:p>
    <w:p>
      <w:pPr/>
      <w:r>
        <w:t xml:space="preserve">Smart Investment is registered in Sierra Leone as [company type], registration number [number], and has operated since 2001. Smart Impact Consult is the group’s impact-investment practice and acts in core partnership with it. Copies of the certificate of incorporation, [tax clearance] and [other certifications] are attached as Annex 1.</w:t>
      </w:r>
    </w:p>
    <w:p>
      <w:pPr>
        <w:pStyle w:val="Heading2"/>
      </w:pPr>
      <w:r>
        <w:t xml:space="preserve">Sources</w:t>
      </w:r>
    </w:p>
    <w:p>
      <w:pPr>
        <w:pStyle w:val="ListParagraph"/>
        <w:numPr>
          <w:ilvl w:val="0"/>
          <w:numId w:val="8"/>
        </w:numPr>
      </w:pPr>
      <w:r>
        <w:t xml:space="preserve">TEF Request for Proposals: Provision of Application, Business Plan, Financials &amp; Pitch Video review Services for the 2027 Tony Elumelu Foundation Entrepreneurship Programme, issued 21 September 2026</w:t>
      </w:r>
    </w:p>
    <w:p>
      <w:pPr>
        <w:pStyle w:val="ListParagraph"/>
        <w:numPr>
          <w:ilvl w:val="0"/>
          <w:numId w:val="8"/>
        </w:numPr>
      </w:pPr>
      <w:hyperlink r:id="rId4" w:history="1">
        <w:r>
          <w:rPr>
            <w:rStyle w:val="Hyperlink"/>
          </w:rPr>
          <w:t xml:space="preserve">TEF Entrepreneurship Programme</w:t>
        </w:r>
      </w:hyperlink>
      <w:r>
        <w:t xml:space="preserve">: programme phases and eligibility</w:t>
      </w:r>
    </w:p>
    <w:p>
      <w:pPr>
        <w:pStyle w:val="ListParagraph"/>
        <w:numPr>
          <w:ilvl w:val="0"/>
          <w:numId w:val="8"/>
        </w:numPr>
      </w:pPr>
      <w:hyperlink r:id="rId5" w:history="1">
        <w:r>
          <w:rPr>
            <w:rStyle w:val="Hyperlink"/>
          </w:rPr>
          <w:t xml:space="preserve">Tony Elumelu Foundation unveils 3,200 African entrepreneurs for the 2026 cohort</w:t>
        </w:r>
      </w:hyperlink>
      <w:r>
        <w:t xml:space="preserve">: 2026 cohort size, used as a planning assumption for Component 2</w:t>
      </w:r>
    </w:p>
    <w:p>
      <w:pPr>
        <w:pStyle w:val="ListParagraph"/>
        <w:numPr>
          <w:ilvl w:val="0"/>
          <w:numId w:val="8"/>
        </w:numPr>
      </w:pPr>
      <w:hyperlink r:id="rId6" w:history="1">
        <w:r>
          <w:rPr>
            <w:rStyle w:val="Hyperlink"/>
          </w:rPr>
          <w:t xml:space="preserve">Investment Readiness Scorecard, European EEN2EIC project</w:t>
        </w:r>
      </w:hyperlink>
    </w:p>
    <w:p>
      <w:pPr>
        <w:pStyle w:val="ListParagraph"/>
        <w:numPr>
          <w:ilvl w:val="0"/>
          <w:numId w:val="8"/>
        </w:numPr>
      </w:pPr>
      <w:hyperlink r:id="rId7" w:history="1">
        <w:r>
          <w:rPr>
            <w:rStyle w:val="Hyperlink"/>
          </w:rPr>
          <w:t xml:space="preserve">The Investment Readiness Level, Steve Blank</w:t>
        </w:r>
      </w:hyperlink>
    </w:p>
    <w:p>
      <w:pPr>
        <w:pStyle w:val="ListParagraph"/>
        <w:numPr>
          <w:ilvl w:val="0"/>
          <w:numId w:val="8"/>
        </w:numPr>
      </w:pPr>
      <w:hyperlink r:id="rId8" w:history="1">
        <w:r>
          <w:rPr>
            <w:rStyle w:val="Hyperlink"/>
          </w:rPr>
          <w:t xml:space="preserve">Applyifi investor assessment report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tonyelumelufoundation.org/tef-entrepreneurship-programme" TargetMode="External"/><Relationship Id="rId5" Type="http://schemas.openxmlformats.org/officeDocument/2006/relationships/hyperlink" Target="https://www.financialafrik.com/en/2026/03/21/tony-elumelu-foundation-unveils-3200-african-entrepreneurs-for-the-2026-cohort/" TargetMode="External"/><Relationship Id="rId6" Type="http://schemas.openxmlformats.org/officeDocument/2006/relationships/hyperlink" Target="https://www.bayfor.org/en/news/latest-news/news-detail/5466-well-prepared-for-investor-meetings-free-investment-readiness-assessment.html" TargetMode="External"/><Relationship Id="rId7" Type="http://schemas.openxmlformats.org/officeDocument/2006/relationships/hyperlink" Target="https://steveblank.com/2013/11/25/its-time-to-play-moneyball-the-investment-readiness-level/" TargetMode="External"/><Relationship Id="rId8" Type="http://schemas.openxmlformats.org/officeDocument/2006/relationships/hyperlink" Target="https://www.therodinhoods.com/post/applyifi-online-investor-pitch-deck-and-assessment-report-for-startup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Proposal Application, Business Plan, Financials &amp; Pitch Video Review Services  2</dc:title>
  <dc:description>Claude Docs node/69401d37-9994@33 docx-w6</dc:description>
  <cp:revision>33</cp:revision>
</cp:coreProperties>
</file>