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Expression of Interest: Operations Review and Optimisation</w:t>
      </w:r>
    </w:p>
    <w:p>
      <w:r>
        <w:t>Submitted to: Ghana Investment Support Programme (GhISP), powered by British International Investment, supported by SECO and Norfund</w:t>
        <w:br/>
        <w:t>Attention: Paige Adabla (padabla@ghisp.org); copied to Mirabelle Moreaux, Tony Anderson and Madoc Quaye</w:t>
        <w:br/>
        <w:t>Submitted by: Smart Impact Consult (smartimpactconsult.com), the impact practice of Smart Investment, with technical partners [TBC: name the engineering partners]</w:t>
        <w:br/>
        <w:t>Lead point of contact: Regina Love Clarkson, Head of Impact Investments, Freetown, Sierra Leone [add email and phone]</w:t>
        <w:br/>
        <w:t>Date: [insert on submission]. Deadline: 5pm GMT, 14 October 2026</w:t>
      </w:r>
    </w:p>
    <w:p>
      <w:r>
        <w:t>DRAFT. Items in [TBC] must be completed or removed. The plant, engineering and energy credentials come from the technical partners and cannot be supplied by Smart Impact Consult alone.</w:t>
      </w:r>
    </w:p>
    <w:p>
      <w:pPr>
        <w:pStyle w:val="Heading2"/>
      </w:pPr>
      <w:r>
        <w:t>1. Why we are the right team</w:t>
      </w:r>
    </w:p>
    <w:p>
      <w:r>
        <w:t>The assignment needs two things at once: engineers who can read a plant, and a lead who can turn what they find into a decision an investor and a management team will act on. We propose a consortium built for exactly that. Smart Impact Consult leads the diagnostic design, the evidence base, the KPI and performance-management work and the prioritised roadmap. [TBC: partner firm] provides the mechanical, process and energy engineering on site.</w:t>
      </w:r>
    </w:p>
    <w:p>
      <w:r>
        <w:t>Smart Impact Consult is the impact practice of Smart Investment, which has operated from Sierra Leone since 2001. Regina Love Clarkson, who leads the work, has more than nine years’ experience in impact investing, including impact measurement and reporting, and is Fund and Transaction Advisor to a government innovation and investment fund. Her team turns operating data into dashboards and reports that decision-makers read and trust.</w:t>
      </w:r>
    </w:p>
    <w:p>
      <w:pPr>
        <w:pStyle w:val="Heading2"/>
      </w:pPr>
      <w:r>
        <w:t>2. Our approach</w:t>
      </w:r>
    </w:p>
    <w:p>
      <w:r>
        <w:t>We will deliver every item in the indicative scope, with direct on-site assessment of the processing facility. This is not a desk review. Every finding will be traceable to a stated source: a measurement, an observation on site, a document or an interview.</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Scope item</w:t>
            </w:r>
          </w:p>
        </w:tc>
        <w:tc>
          <w:tcPr>
            <w:tcW w:type="dxa" w:w="3249"/>
          </w:tcPr>
          <w:p>
            <w:r>
              <w:t>What we will do</w:t>
            </w:r>
          </w:p>
        </w:tc>
        <w:tc>
          <w:tcPr>
            <w:tcW w:type="dxa" w:w="3249"/>
          </w:tcPr>
          <w:p>
            <w:r>
              <w:t>Output</w:t>
            </w:r>
          </w:p>
        </w:tc>
      </w:tr>
      <w:tr>
        <w:tc>
          <w:tcPr>
            <w:tcW w:type="dxa" w:w="3249"/>
          </w:tcPr>
          <w:p>
            <w:r>
              <w:t>Production baseline and capacity utilisation</w:t>
            </w:r>
          </w:p>
        </w:tc>
        <w:tc>
          <w:tcPr>
            <w:tcW w:type="dxa" w:w="3249"/>
          </w:tcPr>
          <w:p>
            <w:r>
              <w:t>Collect 12 to 24 months of production, downtime and throughput data; reconcile with plantation supply; compute installed vs. actual capacity by line and shift</w:t>
            </w:r>
          </w:p>
        </w:tc>
        <w:tc>
          <w:tcPr>
            <w:tcW w:type="dxa" w:w="3249"/>
          </w:tcPr>
          <w:p>
            <w:r>
              <w:t>Baseline and capacity-utilisation report with data gaps stated</w:t>
            </w:r>
          </w:p>
        </w:tc>
      </w:tr>
      <w:tr>
        <w:tc>
          <w:tcPr>
            <w:tcW w:type="dxa" w:w="3249"/>
          </w:tcPr>
          <w:p>
            <w:r>
              <w:t>Plant, machinery and equipment</w:t>
            </w:r>
          </w:p>
        </w:tc>
        <w:tc>
          <w:tcPr>
            <w:tcW w:type="dxa" w:w="3249"/>
          </w:tcPr>
          <w:p>
            <w:r>
              <w:t>On-site condition and criticality assessment of the main equipment; maintenance records and spares review</w:t>
            </w:r>
          </w:p>
        </w:tc>
        <w:tc>
          <w:tcPr>
            <w:tcW w:type="dxa" w:w="3249"/>
          </w:tcPr>
          <w:p>
            <w:r>
              <w:t>Equipment register with condition rating and failure drivers</w:t>
            </w:r>
          </w:p>
        </w:tc>
      </w:tr>
      <w:tr>
        <w:tc>
          <w:tcPr>
            <w:tcW w:type="dxa" w:w="3249"/>
          </w:tcPr>
          <w:p>
            <w:r>
              <w:t>Process and workflow diagnostic</w:t>
            </w:r>
          </w:p>
        </w:tc>
        <w:tc>
          <w:tcPr>
            <w:tcW w:type="dxa" w:w="3249"/>
          </w:tcPr>
          <w:p>
            <w:r>
              <w:t>Map the flow from raw-material receipt to dispatch; time and observe stages; identify bottlenecks, yield loss and quality losses</w:t>
            </w:r>
          </w:p>
        </w:tc>
        <w:tc>
          <w:tcPr>
            <w:tcW w:type="dxa" w:w="3249"/>
          </w:tcPr>
          <w:p>
            <w:r>
              <w:t>Process map with quantified bottlenecks and root causes</w:t>
            </w:r>
          </w:p>
        </w:tc>
      </w:tr>
      <w:tr>
        <w:tc>
          <w:tcPr>
            <w:tcW w:type="dxa" w:w="3249"/>
          </w:tcPr>
          <w:p>
            <w:r>
              <w:t>Energy systems</w:t>
            </w:r>
          </w:p>
        </w:tc>
        <w:tc>
          <w:tcPr>
            <w:tcW w:type="dxa" w:w="3249"/>
          </w:tcPr>
          <w:p>
            <w:r>
              <w:t>Assess power supply, reliability, boiler or thermal systems and efficiency; measure where practical; cost outages and energy per unit of output</w:t>
            </w:r>
          </w:p>
        </w:tc>
        <w:tc>
          <w:tcPr>
            <w:tcW w:type="dxa" w:w="3249"/>
          </w:tcPr>
          <w:p>
            <w:r>
              <w:t>Energy reliability and efficiency assessment</w:t>
            </w:r>
          </w:p>
        </w:tc>
      </w:tr>
      <w:tr>
        <w:tc>
          <w:tcPr>
            <w:tcW w:type="dxa" w:w="3249"/>
          </w:tcPr>
          <w:p>
            <w:r>
              <w:t>Operational data, KPIs and performance management</w:t>
            </w:r>
          </w:p>
        </w:tc>
        <w:tc>
          <w:tcPr>
            <w:tcW w:type="dxa" w:w="3249"/>
          </w:tcPr>
          <w:p>
            <w:r>
              <w:t>Define a short set of operational KPIs, set up the data capture and a simple dashboard, and agree review routines with management</w:t>
            </w:r>
          </w:p>
        </w:tc>
        <w:tc>
          <w:tcPr>
            <w:tcW w:type="dxa" w:w="3249"/>
          </w:tcPr>
          <w:p>
            <w:r>
              <w:t>KPI set, working dashboard and routine</w:t>
            </w:r>
          </w:p>
        </w:tc>
      </w:tr>
      <w:tr>
        <w:tc>
          <w:tcPr>
            <w:tcW w:type="dxa" w:w="3249"/>
          </w:tcPr>
          <w:p>
            <w:r>
              <w:t>Prioritised recommendations and roadmap</w:t>
            </w:r>
          </w:p>
        </w:tc>
        <w:tc>
          <w:tcPr>
            <w:tcW w:type="dxa" w:w="3249"/>
          </w:tcPr>
          <w:p>
            <w:r>
              <w:t>Rank actions by impact, cost, effort and risk; sequence into quick wins and capital projects; state owners, costs and expected gains</w:t>
            </w:r>
          </w:p>
        </w:tc>
        <w:tc>
          <w:tcPr>
            <w:tcW w:type="dxa" w:w="3249"/>
          </w:tcPr>
          <w:p>
            <w:r>
              <w:t>Implementation roadmap that management and the investment partner can act on</w:t>
            </w:r>
          </w:p>
        </w:tc>
      </w:tr>
    </w:tbl>
    <w:p/>
    <w:p>
      <w:r>
        <w:t>Indicative timeline: inception and data request (week 1), on-site assessment (weeks 2 to 3), analysis and validation with management (weeks 4 to 5), final report and roadmap (week 6). [TBC: adjust to the Terms of Reference issued on 16 October.]</w:t>
      </w:r>
    </w:p>
    <w:p>
      <w:pPr>
        <w:pStyle w:val="Heading2"/>
      </w:pPr>
      <w:r>
        <w:t>3. Team and roles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Role</w:t>
            </w:r>
          </w:p>
        </w:tc>
        <w:tc>
          <w:tcPr>
            <w:tcW w:type="dxa" w:w="3249"/>
          </w:tcPr>
          <w:p>
            <w:r>
              <w:t>Name</w:t>
            </w:r>
          </w:p>
        </w:tc>
        <w:tc>
          <w:tcPr>
            <w:tcW w:type="dxa" w:w="3249"/>
          </w:tcPr>
          <w:p>
            <w:r>
              <w:t>Contribution</w:t>
            </w:r>
          </w:p>
        </w:tc>
      </w:tr>
      <w:tr>
        <w:tc>
          <w:tcPr>
            <w:tcW w:type="dxa" w:w="3249"/>
          </w:tcPr>
          <w:p>
            <w:r>
              <w:t>Diagnostic lead and point of contact</w:t>
            </w:r>
          </w:p>
        </w:tc>
        <w:tc>
          <w:tcPr>
            <w:tcW w:type="dxa" w:w="3249"/>
          </w:tcPr>
          <w:p>
            <w:r>
              <w:t>Regina Love Clarkson, Smart Impact Consult</w:t>
            </w:r>
          </w:p>
        </w:tc>
        <w:tc>
          <w:tcPr>
            <w:tcW w:type="dxa" w:w="3249"/>
          </w:tcPr>
          <w:p>
            <w:r>
              <w:t>Overall delivery, evidence standard, stakeholder engagement and the roadmap for the investment partner</w:t>
            </w:r>
          </w:p>
        </w:tc>
      </w:tr>
      <w:tr>
        <w:tc>
          <w:tcPr>
            <w:tcW w:type="dxa" w:w="3249"/>
          </w:tcPr>
          <w:p>
            <w:r>
              <w:t>Process and mechanical engineer</w:t>
            </w:r>
          </w:p>
        </w:tc>
        <w:tc>
          <w:tcPr>
            <w:tcW w:type="dxa" w:w="3249"/>
          </w:tcPr>
          <w:p>
            <w:r>
              <w:t>[TBC: partner]</w:t>
            </w:r>
          </w:p>
        </w:tc>
        <w:tc>
          <w:tcPr>
            <w:tcW w:type="dxa" w:w="3249"/>
          </w:tcPr>
          <w:p>
            <w:r>
              <w:t>On-site plant, machinery and process assessment; root-cause analysis of capacity losses</w:t>
            </w:r>
          </w:p>
        </w:tc>
      </w:tr>
      <w:tr>
        <w:tc>
          <w:tcPr>
            <w:tcW w:type="dxa" w:w="3249"/>
          </w:tcPr>
          <w:p>
            <w:r>
              <w:t>Energy and electrical engineer</w:t>
            </w:r>
          </w:p>
        </w:tc>
        <w:tc>
          <w:tcPr>
            <w:tcW w:type="dxa" w:w="3249"/>
          </w:tcPr>
          <w:p>
            <w:r>
              <w:t>[TBC: partner]</w:t>
            </w:r>
          </w:p>
        </w:tc>
        <w:tc>
          <w:tcPr>
            <w:tcW w:type="dxa" w:w="3249"/>
          </w:tcPr>
          <w:p>
            <w:r>
              <w:t>Power systems, reliability and energy-efficiency assessment</w:t>
            </w:r>
          </w:p>
        </w:tc>
      </w:tr>
      <w:tr>
        <w:tc>
          <w:tcPr>
            <w:tcW w:type="dxa" w:w="3249"/>
          </w:tcPr>
          <w:p>
            <w:r>
              <w:t>Operations and agro-processing specialist, Ghana or West Africa</w:t>
            </w:r>
          </w:p>
        </w:tc>
        <w:tc>
          <w:tcPr>
            <w:tcW w:type="dxa" w:w="3249"/>
          </w:tcPr>
          <w:p>
            <w:r>
              <w:t>[TBC: partner]</w:t>
            </w:r>
          </w:p>
        </w:tc>
        <w:tc>
          <w:tcPr>
            <w:tcW w:type="dxa" w:w="3249"/>
          </w:tcPr>
          <w:p>
            <w:r>
              <w:t>Plantation-to-plant flow, continuous process operations and local context</w:t>
            </w:r>
          </w:p>
        </w:tc>
      </w:tr>
      <w:tr>
        <w:tc>
          <w:tcPr>
            <w:tcW w:type="dxa" w:w="3249"/>
          </w:tcPr>
          <w:p>
            <w:r>
              <w:t>Performance data and dashboards</w:t>
            </w:r>
          </w:p>
        </w:tc>
        <w:tc>
          <w:tcPr>
            <w:tcW w:type="dxa" w:w="3249"/>
          </w:tcPr>
          <w:p>
            <w:r>
              <w:t>Anastasia Muthoni, Smart Impact Consult</w:t>
            </w:r>
          </w:p>
        </w:tc>
        <w:tc>
          <w:tcPr>
            <w:tcW w:type="dxa" w:w="3249"/>
          </w:tcPr>
          <w:p>
            <w:r>
              <w:t>Data cleaning, KPI definitions and the performance dashboard</w:t>
            </w:r>
          </w:p>
        </w:tc>
      </w:tr>
      <w:tr>
        <w:tc>
          <w:tcPr>
            <w:tcW w:type="dxa" w:w="3249"/>
          </w:tcPr>
          <w:p>
            <w:r>
              <w:t>Learning, design and data systems adviser</w:t>
            </w:r>
          </w:p>
        </w:tc>
        <w:tc>
          <w:tcPr>
            <w:tcW w:type="dxa" w:w="3249"/>
          </w:tcPr>
          <w:p>
            <w:r>
              <w:t>Caroline McCoy, Smart Impact Consult</w:t>
            </w:r>
          </w:p>
        </w:tc>
        <w:tc>
          <w:tcPr>
            <w:tcW w:type="dxa" w:w="3249"/>
          </w:tcPr>
          <w:p>
            <w:r>
              <w:t>Standardising data across reporting units; structure of the monitoring routine</w:t>
            </w:r>
          </w:p>
        </w:tc>
      </w:tr>
      <w:tr>
        <w:tc>
          <w:tcPr>
            <w:tcW w:type="dxa" w:w="3249"/>
          </w:tcPr>
          <w:p>
            <w:r>
              <w:t>Programme risk and donor-reporting adviser</w:t>
            </w:r>
          </w:p>
        </w:tc>
        <w:tc>
          <w:tcPr>
            <w:tcW w:type="dxa" w:w="3249"/>
          </w:tcPr>
          <w:p>
            <w:r>
              <w:t>Boisy V.A. Williams, Smart Impact Consult</w:t>
            </w:r>
          </w:p>
        </w:tc>
        <w:tc>
          <w:tcPr>
            <w:tcW w:type="dxa" w:w="3249"/>
          </w:tcPr>
          <w:p>
            <w:r>
              <w:t>Risk, safeguarding and reporting standards for a donor-funded engagement</w:t>
            </w:r>
          </w:p>
        </w:tc>
      </w:tr>
    </w:tbl>
    <w:p/>
    <w:p>
      <w:r>
        <w:t>Short profiles of the proposed key personnel are attached [TBC: engineers’ CVs must be supplied by the partner].</w:t>
      </w:r>
    </w:p>
    <w:p>
      <w:pPr>
        <w:pStyle w:val="Heading2"/>
      </w:pPr>
      <w:r>
        <w:t>4. Comparable experience</w:t>
      </w:r>
    </w:p>
    <w:p>
      <w:r>
        <w:t>Smart Impact Consult and its team:</w:t>
      </w:r>
    </w:p>
    <w:p>
      <w:pPr>
        <w:pStyle w:val="ListBullet"/>
      </w:pPr>
      <w:r>
        <w:t>Performance dashboards and data tools for SIC clients, including KPI definition and reporting routines.</w:t>
      </w:r>
    </w:p>
    <w:p>
      <w:pPr>
        <w:pStyle w:val="ListBullet"/>
      </w:pPr>
      <w:r>
        <w:t>Impact and performance reporting: the five-year social impact report for Fishbowl Challenge and the 2022 impact report for Skool Grind SL.</w:t>
      </w:r>
    </w:p>
    <w:p>
      <w:pPr>
        <w:pStyle w:val="ListBullet"/>
      </w:pPr>
      <w:r>
        <w:t>Fund and transaction advisory to a government investment fund in Sierra Leone, including investor-facing evidence packs.</w:t>
      </w:r>
    </w:p>
    <w:p>
      <w:pPr>
        <w:pStyle w:val="ListBullet"/>
      </w:pPr>
      <w:r>
        <w:t>Learning events: the Capital Ignition Workshop Series, engaging 115 founders from across Africa.</w:t>
      </w:r>
    </w:p>
    <w:p>
      <w:r>
        <w:t>Technical partners: [TBC: at least two comparable industrial or agro-processing diagnostics, each with client, country, year and the partner’s role. References where available. We will not list any assignment we have not delivered.]</w:t>
      </w:r>
    </w:p>
    <w:p>
      <w:pPr>
        <w:pStyle w:val="Heading2"/>
      </w:pPr>
      <w:r>
        <w:t>5. How we will keep the findings reliable</w:t>
      </w:r>
    </w:p>
    <w:p>
      <w:pPr>
        <w:pStyle w:val="ListBullet"/>
      </w:pPr>
      <w:r>
        <w:t>Observation, reported experience and measured data are recorded separately, and each recommendation states which of the three supports it.</w:t>
      </w:r>
    </w:p>
    <w:p>
      <w:pPr>
        <w:pStyle w:val="ListBullet"/>
      </w:pPr>
      <w:r>
        <w:t>Findings are checked with plant management before they are finalised.</w:t>
      </w:r>
    </w:p>
    <w:p>
      <w:pPr>
        <w:pStyle w:val="ListBullet"/>
      </w:pPr>
      <w:r>
        <w:t>Where data is missing we say so, and we state what a recommendation depends on.</w:t>
      </w:r>
    </w:p>
    <w:p>
      <w:pPr>
        <w:pStyle w:val="ListBullet"/>
      </w:pPr>
      <w:r>
        <w:t>Company information is handled under GhISP’s confidentiality terms and shared only within the consortium.</w:t>
      </w:r>
    </w:p>
    <w:p>
      <w:pPr>
        <w:pStyle w:val="Heading2"/>
      </w:pPr>
      <w:r>
        <w:t>6. Availability and contact</w:t>
      </w:r>
    </w:p>
    <w:p>
      <w:r>
        <w:t>Available to start from [TBC: the date in the Terms of Reference] with on-site work in Ghana. We understand the Terms of Reference will be shared with shortlisted providers on 16 October 2026 and the full proposal is due by 5pm GMT on 23 October 2026. We will submit questions to GhISP before 5pm GMT on 9 October 2026.</w:t>
        <w:br/>
        <w:t>Contact: Regina Love Clarkson, Head of Impact Investments, Smart Impact Consult, Freetown, Sierra Leone [add email and phone].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