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SMART IMPACT CONSULT</w:t>
      </w:r>
    </w:p>
    <w:p>
      <w:pPr>
        <w:pStyle w:val="BodyText"/>
      </w:pPr>
      <w:hyperlink r:id="rId20">
        <w:r>
          <w:rPr>
            <w:rStyle w:val="Hyperlink"/>
          </w:rPr>
          <w:t xml:space="preserve">smartimpactconsult.com</w:t>
        </w:r>
      </w:hyperlink>
    </w:p>
    <w:bookmarkStart w:id="32" w:name="Xfa9ac20822541826d2f232db9ff9a861a40c8b9"/>
    <w:p>
      <w:pPr>
        <w:pStyle w:val="Heading1"/>
      </w:pPr>
      <w:r>
        <w:t xml:space="preserve">Sector Investability Assessment — Cross-Sector Synthesis and Ranking</w:t>
      </w:r>
    </w:p>
    <w:bookmarkStart w:id="21" w:name="sierra-leone-all-eight-sectors-ws1-v1.0"/>
    <w:p>
      <w:pPr>
        <w:pStyle w:val="Heading2"/>
      </w:pPr>
      <w:r>
        <w:t xml:space="preserve">Sierra Leone — All Eight Sectors, WS1-v1.0</w:t>
      </w:r>
    </w:p>
    <w:p>
      <w:pPr>
        <w:pStyle w:val="FirstParagraph"/>
      </w:pPr>
      <w:r>
        <w:rPr>
          <w:bCs/>
          <w:b/>
        </w:rPr>
        <w:t xml:space="preserve">Workstream:</w:t>
      </w:r>
      <w:r>
        <w:t xml:space="preserve"> </w:t>
      </w:r>
      <w:r>
        <w:t xml:space="preserve">B.1 — WS1 Market and Sector Validation (Priority · Sprint 1)</w:t>
      </w:r>
    </w:p>
    <w:p>
      <w:pPr>
        <w:pStyle w:val="BodyText"/>
      </w:pPr>
      <w:r>
        <w:rPr>
          <w:bCs/>
          <w:b/>
        </w:rPr>
        <w:t xml:space="preserve">Prompt:</w:t>
      </w:r>
      <w:r>
        <w:t xml:space="preserve"> </w:t>
      </w:r>
      <w:r>
        <w:t xml:space="preserve">WS1-v1.0 — Sector Investability, Sierra Leone (final output requirement:</w:t>
      </w:r>
      <w:r>
        <w:t xml:space="preserve"> </w:t>
      </w:r>
      <w:r>
        <w:rPr>
          <w:iCs/>
          <w:i/>
        </w:rPr>
        <w:t xml:space="preserve">“</w:t>
      </w:r>
      <w:r>
        <w:rPr>
          <w:iCs/>
          <w:i/>
        </w:rPr>
        <w:t xml:space="preserve">rank the eight sectors by investability on current evidence and state your reasoning</w:t>
      </w:r>
      <w:r>
        <w:rPr>
          <w:iCs/>
          <w:i/>
        </w:rPr>
        <w:t xml:space="preserve">”</w:t>
      </w:r>
      <w:r>
        <w:t xml:space="preserve">)</w:t>
      </w:r>
    </w:p>
    <w:p>
      <w:pPr>
        <w:pStyle w:val="BodyText"/>
      </w:pPr>
      <w:r>
        <w:rPr>
          <w:bCs/>
          <w:b/>
        </w:rPr>
        <w:t xml:space="preserve">Stage / round:</w:t>
      </w:r>
      <w:r>
        <w:t xml:space="preserve"> </w:t>
      </w:r>
      <w:r>
        <w:t xml:space="preserve">Stage 1 desk research · synthesis pass, formatted for Stage 2 review</w:t>
      </w:r>
    </w:p>
    <w:p>
      <w:pPr>
        <w:pStyle w:val="BodyText"/>
      </w:pPr>
      <w:r>
        <w:rPr>
          <w:bCs/>
          <w:b/>
        </w:rPr>
        <w:t xml:space="preserve">Prepared by:</w:t>
      </w:r>
      <w:r>
        <w:t xml:space="preserve"> </w:t>
      </w:r>
      <w:r>
        <w:t xml:space="preserve">Investment Operations, Smart Impact Consult (</w:t>
      </w:r>
      <w:hyperlink r:id="rId20">
        <w:r>
          <w:rPr>
            <w:rStyle w:val="Hyperlink"/>
          </w:rPr>
          <w:t xml:space="preserve">smartimpactconsult.com</w:t>
        </w:r>
      </w:hyperlink>
      <w:r>
        <w:t xml:space="preserve">)</w:t>
      </w:r>
    </w:p>
    <w:p>
      <w:pPr>
        <w:pStyle w:val="BodyText"/>
      </w:pPr>
      <w:r>
        <w:rPr>
          <w:bCs/>
          <w:b/>
        </w:rPr>
        <w:t xml:space="preserve">Date:</w:t>
      </w:r>
      <w:r>
        <w:t xml:space="preserve"> </w:t>
      </w:r>
      <w:r>
        <w:t xml:space="preserve">23 September 2026</w:t>
      </w:r>
    </w:p>
    <w:p>
      <w:pPr>
        <w:pStyle w:val="BodyText"/>
      </w:pPr>
      <w:r>
        <w:rPr>
          <w:bCs/>
          <w:b/>
        </w:rPr>
        <w:t xml:space="preserve">Status:</w:t>
      </w:r>
      <w:r>
        <w:t xml:space="preserve"> </w:t>
      </w:r>
      <w:r>
        <w:t xml:space="preserve">Draft synthesis. Supersedes the ranking table and executive summary currently in</w:t>
      </w:r>
      <w:r>
        <w:t xml:space="preserve"> </w:t>
      </w:r>
      <w:r>
        <w:rPr>
          <w:rStyle w:val="VerbatimChar"/>
        </w:rPr>
        <w:t xml:space="preserve">claude_B1.docx</w:t>
      </w:r>
      <w:r>
        <w:t xml:space="preserve">, which predates the Sector 2–8 deep-dive pass this note draws on. Not yet Stage 2/4 verified — see the Environment Limitation note below.</w:t>
      </w:r>
    </w:p>
    <w:p>
      <w:r>
        <w:pict>
          <v:rect style="width:0;height:1.5pt" o:hralign="center" o:hrstd="t" o:hr="t"/>
        </w:pict>
      </w:r>
    </w:p>
    <w:bookmarkEnd w:id="21"/>
    <w:bookmarkStart w:id="22" w:name="a.-what-this-note-is-and-what-it-is-not"/>
    <w:p>
      <w:pPr>
        <w:pStyle w:val="Heading2"/>
      </w:pPr>
      <w:r>
        <w:t xml:space="preserve">A. What this note is, and what it is not</w:t>
      </w:r>
    </w:p>
    <w:p>
      <w:pPr>
        <w:pStyle w:val="FirstParagraph"/>
      </w:pPr>
      <w:r>
        <w:t xml:space="preserve">This is the cross-sector layer the WS1-v1.0 prompt asks for once all eight sectors have been researched individually: a single ranking, with reasoning, across AgTech (Sector 1, already in</w:t>
      </w:r>
      <w:r>
        <w:t xml:space="preserve"> </w:t>
      </w:r>
      <w:r>
        <w:rPr>
          <w:rStyle w:val="VerbatimChar"/>
        </w:rPr>
        <w:t xml:space="preserve">claude_B1.docx</w:t>
      </w:r>
      <w:r>
        <w:t xml:space="preserve">) and the seven sectors deep-dived in this session (Sectors 2–8, each delivered as its own Word document). It does</w:t>
      </w:r>
      <w:r>
        <w:t xml:space="preserve"> </w:t>
      </w:r>
      <w:r>
        <w:rPr>
          <w:bCs/>
          <w:b/>
        </w:rPr>
        <w:t xml:space="preserve">not</w:t>
      </w:r>
      <w:r>
        <w:t xml:space="preserve"> </w:t>
      </w:r>
      <w:r>
        <w:t xml:space="preserve">repeat each sector’s full eight-part analysis — that lives in the individual sector documents, which this note references throughout. Anyone who wants the underlying evidence for a claim made here should open the relevant sector document; this note only synthesises.</w:t>
      </w:r>
    </w:p>
    <w:p>
      <w:pPr>
        <w:pStyle w:val="BodyText"/>
      </w:pPr>
      <w:r>
        <w:rPr>
          <w:bCs/>
          <w:b/>
        </w:rPr>
        <w:t xml:space="preserve">Environment limitation — carried forward from every sector document in this pass.</w:t>
      </w:r>
      <w:r>
        <w:t xml:space="preserve"> </w:t>
      </w:r>
      <w:r>
        <w:t xml:space="preserve">All findings in the seven underlying Sector 2–8 documents (and therefore in this synthesis) come from WebSearch snippets, not from primary sources opened and read in full — the WebFetch tool was blocked for every domain tested in this session. Every claim below is carried at the same unverified,</w:t>
      </w:r>
      <w:r>
        <w:t xml:space="preserve"> </w:t>
      </w:r>
      <w:r>
        <w:t xml:space="preserve">“</w:t>
      </w:r>
      <w:r>
        <w:t xml:space="preserve">lead not source</w:t>
      </w:r>
      <w:r>
        <w:t xml:space="preserve">”</w:t>
      </w:r>
      <w:r>
        <w:t xml:space="preserve"> </w:t>
      </w:r>
      <w:r>
        <w:t xml:space="preserve">status the AI-Assisted Research Methodology requires (Part A.1). Nothing here should be treated as</w:t>
      </w:r>
      <w:r>
        <w:t xml:space="preserve"> </w:t>
      </w:r>
      <w:r>
        <w:t xml:space="preserve">“</w:t>
      </w:r>
      <w:r>
        <w:t xml:space="preserve">Verified</w:t>
      </w:r>
      <w:r>
        <w:t xml:space="preserve">”</w:t>
      </w:r>
      <w:r>
        <w:t xml:space="preserve"> </w:t>
      </w:r>
      <w:r>
        <w:t xml:space="preserve">in the Source Register, and nothing should reach the Senior Advisory Group as a settled finding, until Stage 4 verification (opening each citation) has been done.</w:t>
      </w:r>
    </w:p>
    <w:p>
      <w:r>
        <w:pict>
          <v:rect style="width:0;height:1.5pt" o:hralign="center" o:hrstd="t" o:hr="t"/>
        </w:pict>
      </w:r>
    </w:p>
    <w:bookmarkEnd w:id="22"/>
    <w:bookmarkStart w:id="26" w:name="b.-updated-investability-ranking"/>
    <w:p>
      <w:pPr>
        <w:pStyle w:val="Heading2"/>
      </w:pPr>
      <w:r>
        <w:t xml:space="preserve">B. Updated investability ranking</w:t>
      </w:r>
    </w:p>
    <w:p>
      <w:pPr>
        <w:pStyle w:val="FirstParagraph"/>
      </w:pPr>
      <w:r>
        <w:t xml:space="preserve">The table below</w:t>
      </w:r>
      <w:r>
        <w:t xml:space="preserve"> </w:t>
      </w:r>
      <w:r>
        <w:rPr>
          <w:bCs/>
          <w:b/>
        </w:rPr>
        <w:t xml:space="preserve">replaces</w:t>
      </w:r>
      <w:r>
        <w:t xml:space="preserve"> </w:t>
      </w:r>
      <w:r>
        <w:t xml:space="preserve">the ranking table in</w:t>
      </w:r>
      <w:r>
        <w:t xml:space="preserve"> </w:t>
      </w:r>
      <w:r>
        <w:rPr>
          <w:rStyle w:val="VerbatimChar"/>
        </w:rPr>
        <w:t xml:space="preserve">claude_B1.docx</w:t>
      </w:r>
      <w:r>
        <w:t xml:space="preserve">. Movement is shown relative to that original ranking, which was based on the earlier, thinner Sector 2–8 drafts.</w:t>
      </w:r>
    </w:p>
    <w:p>
      <w:pPr>
        <w:pStyle w:val="CaptionedFigure"/>
      </w:pPr>
      <w:r>
        <w:drawing>
          <wp:inline>
            <wp:extent cx="5334000" cy="2918603"/>
            <wp:effectExtent b="0" l="0" r="0" t="0"/>
            <wp:docPr descr="Figure 1. Updated investability ranking, all eight sectors" title="" id="24" name="Picture"/>
            <a:graphic>
              <a:graphicData uri="http://schemas.openxmlformats.org/drawingml/2006/picture">
                <pic:pic>
                  <pic:nvPicPr>
                    <pic:cNvPr descr="/home/user/felei/Research_Archive/WS1/docx/figures/synth_fig1_ranking.png" id="25" name="Picture"/>
                    <pic:cNvPicPr>
                      <a:picLocks noChangeArrowheads="1" noChangeAspect="1"/>
                    </pic:cNvPicPr>
                  </pic:nvPicPr>
                  <pic:blipFill>
                    <a:blip r:embed="rId23"/>
                    <a:stretch>
                      <a:fillRect/>
                    </a:stretch>
                  </pic:blipFill>
                  <pic:spPr bwMode="auto">
                    <a:xfrm>
                      <a:off x="0" y="0"/>
                      <a:ext cx="5334000" cy="2918603"/>
                    </a:xfrm>
                    <a:prstGeom prst="rect">
                      <a:avLst/>
                    </a:prstGeom>
                    <a:noFill/>
                    <a:ln w="9525">
                      <a:noFill/>
                      <a:headEnd/>
                      <a:tailEnd/>
                    </a:ln>
                  </pic:spPr>
                </pic:pic>
              </a:graphicData>
            </a:graphic>
          </wp:inline>
        </w:drawing>
      </w:r>
    </w:p>
    <w:p>
      <w:pPr>
        <w:pStyle w:val="ImageCaption"/>
      </w:pPr>
      <w:r>
        <w:t xml:space="preserve">Figure 1. Updated investability ranking, all eight sectors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Sector</w:t>
            </w:r>
          </w:p>
        </w:tc>
        <w:tc>
          <w:tcPr/>
          <w:p>
            <w:pPr>
              <w:pStyle w:val="Compact"/>
              <w:jc w:val="left"/>
            </w:pPr>
            <w:r>
              <w:t xml:space="preserve">Verdict</w:t>
            </w:r>
          </w:p>
        </w:tc>
        <w:tc>
          <w:tcPr/>
          <w:p>
            <w:pPr>
              <w:pStyle w:val="Compact"/>
              <w:jc w:val="left"/>
            </w:pPr>
            <w:r>
              <w:t xml:space="preserve">Movement</w:t>
            </w:r>
          </w:p>
        </w:tc>
        <w:tc>
          <w:tcPr/>
          <w:p>
            <w:pPr>
              <w:pStyle w:val="Compact"/>
              <w:jc w:val="left"/>
            </w:pPr>
            <w:r>
              <w:t xml:space="preserve">Deciding evidence</w:t>
            </w:r>
          </w:p>
        </w:tc>
      </w:tr>
      <w:tr>
        <w:tc>
          <w:tcPr/>
          <w:p>
            <w:pPr>
              <w:pStyle w:val="Compact"/>
              <w:jc w:val="left"/>
            </w:pPr>
            <w:r>
              <w:t xml:space="preserve">1</w:t>
            </w:r>
          </w:p>
        </w:tc>
        <w:tc>
          <w:tcPr/>
          <w:p>
            <w:pPr>
              <w:pStyle w:val="Compact"/>
              <w:jc w:val="left"/>
            </w:pPr>
            <w:r>
              <w:rPr>
                <w:bCs/>
                <w:b/>
              </w:rPr>
              <w:t xml:space="preserve">FinTech / financial inclusion</w:t>
            </w:r>
          </w:p>
        </w:tc>
        <w:tc>
          <w:tcPr/>
          <w:p>
            <w:pPr>
              <w:pStyle w:val="Compact"/>
              <w:jc w:val="left"/>
            </w:pPr>
            <w:r>
              <w:t xml:space="preserve">Investable now</w:t>
            </w:r>
          </w:p>
        </w:tc>
        <w:tc>
          <w:tcPr/>
          <w:p>
            <w:pPr>
              <w:pStyle w:val="Compact"/>
              <w:jc w:val="left"/>
            </w:pPr>
            <w:r>
              <w:t xml:space="preserve">— (confirmed #1)</w:t>
            </w:r>
          </w:p>
        </w:tc>
        <w:tc>
          <w:tcPr/>
          <w:p>
            <w:pPr>
              <w:pStyle w:val="Compact"/>
              <w:jc w:val="left"/>
            </w:pPr>
            <w:r>
              <w:t xml:space="preserve">Real, organic user-scale adoption (Vult, ~475,000 users) and a real lending book (Lajor, 500,000+ loans); the only Sierra-Leone-specific, named, dated DFI de-risking instrument found in the entire assessment (IFC’s ~US$10m Access Bank risk-sharing facility, 2025). Qualified by: no published revenue data for the sector’s two largest platforms, and the domestic exit route (Sierra Leone Stock Exchange) closed in mid-2024.</w:t>
            </w:r>
          </w:p>
        </w:tc>
      </w:tr>
      <w:tr>
        <w:tc>
          <w:tcPr/>
          <w:p>
            <w:pPr>
              <w:pStyle w:val="Compact"/>
              <w:jc w:val="left"/>
            </w:pPr>
            <w:r>
              <w:t xml:space="preserve">2</w:t>
            </w:r>
          </w:p>
        </w:tc>
        <w:tc>
          <w:tcPr/>
          <w:p>
            <w:pPr>
              <w:pStyle w:val="Compact"/>
              <w:jc w:val="left"/>
            </w:pPr>
            <w:r>
              <w:rPr>
                <w:bCs/>
                <w:b/>
              </w:rPr>
              <w:t xml:space="preserve">EdTech</w:t>
            </w:r>
          </w:p>
        </w:tc>
        <w:tc>
          <w:tcPr/>
          <w:p>
            <w:pPr>
              <w:pStyle w:val="Compact"/>
              <w:jc w:val="left"/>
            </w:pPr>
            <w:r>
              <w:t xml:space="preserve">Investable, with qualification</w:t>
            </w:r>
          </w:p>
        </w:tc>
        <w:tc>
          <w:tcPr/>
          <w:p>
            <w:pPr>
              <w:pStyle w:val="Compact"/>
              <w:jc w:val="left"/>
            </w:pPr>
            <w:r>
              <w:t xml:space="preserve">— (confirmed #2)</w:t>
            </w:r>
          </w:p>
        </w:tc>
        <w:tc>
          <w:tcPr/>
          <w:p>
            <w:pPr>
              <w:pStyle w:val="Compact"/>
              <w:jc w:val="left"/>
            </w:pPr>
            <w:r>
              <w:t xml:space="preserve">Three named, in-market companies (Rising Academies, uLesson, Muallemi), anchored by FQSE — a large,</w:t>
            </w:r>
            <w:r>
              <w:t xml:space="preserve"> </w:t>
            </w:r>
            <w:r>
              <w:rPr>
                <w:bCs/>
                <w:b/>
              </w:rPr>
              <w:t xml:space="preserve">domestically funded</w:t>
            </w:r>
            <w:r>
              <w:t xml:space="preserve"> </w:t>
            </w:r>
            <w:r>
              <w:t xml:space="preserve">government payer (21–22% of the national budget for six consecutive years, reaching 2.6 million children) that is structurally far more durable than the</w:t>
            </w:r>
            <w:r>
              <w:t xml:space="preserve"> </w:t>
            </w:r>
            <w:r>
              <w:t xml:space="preserve">“</w:t>
            </w:r>
            <w:r>
              <w:t xml:space="preserve">government/donor-dependent</w:t>
            </w:r>
            <w:r>
              <w:t xml:space="preserve">”</w:t>
            </w:r>
            <w:r>
              <w:t xml:space="preserve"> </w:t>
            </w:r>
            <w:r>
              <w:t xml:space="preserve">label implies elsewhere. Qualified by: Rising Academies’ flagship AI product (Rori) has its strongest efficacy evidence from Ghana, not Sierra Leone.</w:t>
            </w:r>
          </w:p>
        </w:tc>
      </w:tr>
      <w:tr>
        <w:tc>
          <w:tcPr/>
          <w:p>
            <w:pPr>
              <w:pStyle w:val="Compact"/>
              <w:jc w:val="left"/>
            </w:pPr>
            <w:r>
              <w:t xml:space="preserve">3</w:t>
            </w:r>
          </w:p>
        </w:tc>
        <w:tc>
          <w:tcPr/>
          <w:p>
            <w:pPr>
              <w:pStyle w:val="Compact"/>
              <w:jc w:val="left"/>
            </w:pPr>
            <w:r>
              <w:rPr>
                <w:bCs/>
                <w:b/>
              </w:rPr>
              <w:t xml:space="preserve">Blue economy / fisheries</w:t>
            </w:r>
          </w:p>
        </w:tc>
        <w:tc>
          <w:tcPr/>
          <w:p>
            <w:pPr>
              <w:pStyle w:val="Compact"/>
              <w:jc w:val="left"/>
            </w:pPr>
            <w:r>
              <w:t xml:space="preserve">Not investable as venture; investable as growth equity or DFI-guaranteed private equity</w:t>
            </w:r>
          </w:p>
        </w:tc>
        <w:tc>
          <w:tcPr/>
          <w:p>
            <w:pPr>
              <w:pStyle w:val="Compact"/>
              <w:jc w:val="left"/>
            </w:pPr>
            <w:r>
              <w:rPr>
                <w:bCs/>
                <w:b/>
              </w:rPr>
              <w:t xml:space="preserve">Up from #5</w:t>
            </w:r>
            <w:r>
              <w:t xml:space="preserve"> </w:t>
            </w:r>
            <w:r>
              <w:t xml:space="preserve">— the single largest ranking change in this pass</w:t>
            </w:r>
          </w:p>
        </w:tc>
        <w:tc>
          <w:tcPr/>
          <w:p>
            <w:pPr>
              <w:pStyle w:val="Compact"/>
              <w:jc w:val="left"/>
            </w:pPr>
            <w:r>
              <w:t xml:space="preserve">Corrects a factual error in the prior draft (</w:t>
            </w:r>
            <w:r>
              <w:t xml:space="preserve">“</w:t>
            </w:r>
            <w:r>
              <w:t xml:space="preserve">no named venture evidenced</w:t>
            </w:r>
            <w:r>
              <w:t xml:space="preserve">”</w:t>
            </w:r>
            <w:r>
              <w:t xml:space="preserve">). Sierra Fishing Company is a real, 50-year-old, revenue-generating seafood business, and MIGA’s 2008 US$4.5m guarantee backing ManoCap/Sierra Investment Fund’s acquisition of its equity is the</w:t>
            </w:r>
            <w:r>
              <w:t xml:space="preserve"> </w:t>
            </w:r>
            <w:r>
              <w:rPr>
                <w:bCs/>
                <w:b/>
              </w:rPr>
              <w:t xml:space="preserve">strongest real, dated, DFI-backed private-equity precedent found anywhere in this eight-sector assessment</w:t>
            </w:r>
            <w:r>
              <w:t xml:space="preserve"> </w:t>
            </w:r>
            <w:r>
              <w:t xml:space="preserve">— stronger than any precedent found in AgTech or Climate, the two sectors it now overtakes. Weighed against a serious, previously unlogged risk: Sierra Leone holds the longest-running EU IUU fishing</w:t>
            </w:r>
            <w:r>
              <w:t xml:space="preserve"> </w:t>
            </w:r>
            <w:r>
              <w:t xml:space="preserve">“</w:t>
            </w:r>
            <w:r>
              <w:t xml:space="preserve">yellow card</w:t>
            </w:r>
            <w:r>
              <w:t xml:space="preserve">”</w:t>
            </w:r>
            <w:r>
              <w:t xml:space="preserve"> </w:t>
            </w:r>
            <w:r>
              <w:t xml:space="preserve">of any African country (in force since 2016), a live threat to EU export market access.</w:t>
            </w:r>
          </w:p>
        </w:tc>
      </w:tr>
      <w:tr>
        <w:tc>
          <w:tcPr/>
          <w:p>
            <w:pPr>
              <w:pStyle w:val="Compact"/>
              <w:jc w:val="left"/>
            </w:pPr>
            <w:r>
              <w:t xml:space="preserve">4</w:t>
            </w:r>
          </w:p>
        </w:tc>
        <w:tc>
          <w:tcPr/>
          <w:p>
            <w:pPr>
              <w:pStyle w:val="Compact"/>
              <w:jc w:val="left"/>
            </w:pPr>
            <w:r>
              <w:rPr>
                <w:bCs/>
                <w:b/>
              </w:rPr>
              <w:t xml:space="preserve">AgTech / post-harvest value chains</w:t>
            </w:r>
          </w:p>
        </w:tc>
        <w:tc>
          <w:tcPr/>
          <w:p>
            <w:pPr>
              <w:pStyle w:val="Compact"/>
              <w:jc w:val="left"/>
            </w:pPr>
            <w:r>
              <w:t xml:space="preserve">Not investable as venture; investable as DFI-scale agribusiness and forestry (debt and equity with secured offtake)</w:t>
            </w:r>
          </w:p>
        </w:tc>
        <w:tc>
          <w:tcPr/>
          <w:p>
            <w:pPr>
              <w:pStyle w:val="Compact"/>
              <w:jc w:val="left"/>
            </w:pPr>
            <w:r>
              <w:t xml:space="preserve">Down one place (was #3), on evidence not verdict — Sector 1 predates this pass and was not re-run, but Blue economy’s newly evidenced 2008 MIGA/ManoCap transaction is a stronger, older, more directly comparable PE precedent than anything evidenced for AgTech, which justifies Blue economy overtaking it</w:t>
            </w:r>
          </w:p>
        </w:tc>
        <w:tc>
          <w:tcPr/>
          <w:p>
            <w:pPr>
              <w:pStyle w:val="Compact"/>
              <w:jc w:val="left"/>
            </w:pPr>
            <w:r>
              <w:t xml:space="preserve">Miro Forestry (DFC US$24m equity, 2023; CDC US$15m, 2015) and Planting Naturals (AgDevCo US$7m, 2025) remain real, revenue-generating, DFI-backed agribusiness and forestry assets. See</w:t>
            </w:r>
            <w:r>
              <w:t xml:space="preserve"> </w:t>
            </w:r>
            <w:r>
              <w:rPr>
                <w:rStyle w:val="VerbatimChar"/>
              </w:rPr>
              <w:t xml:space="preserve">claude_B1.docx</w:t>
            </w:r>
            <w:r>
              <w:t xml:space="preserve"> </w:t>
            </w:r>
            <w:r>
              <w:t xml:space="preserve">Sector 1 for full detail — not re-run in this pass.</w:t>
            </w:r>
          </w:p>
        </w:tc>
      </w:tr>
      <w:tr>
        <w:tc>
          <w:tcPr/>
          <w:p>
            <w:pPr>
              <w:pStyle w:val="Compact"/>
              <w:jc w:val="left"/>
            </w:pPr>
            <w:r>
              <w:t xml:space="preserve">5</w:t>
            </w:r>
          </w:p>
        </w:tc>
        <w:tc>
          <w:tcPr/>
          <w:p>
            <w:pPr>
              <w:pStyle w:val="Compact"/>
              <w:jc w:val="left"/>
            </w:pPr>
            <w:r>
              <w:rPr>
                <w:bCs/>
                <w:b/>
              </w:rPr>
              <w:t xml:space="preserve">Climate and carbon technology (incl. digital MRV)</w:t>
            </w:r>
          </w:p>
        </w:tc>
        <w:tc>
          <w:tcPr/>
          <w:p>
            <w:pPr>
              <w:pStyle w:val="Compact"/>
              <w:jc w:val="left"/>
            </w:pPr>
            <w:r>
              <w:t xml:space="preserve">Not investable as venture; investable as project and results-based/conservation finance</w:t>
            </w:r>
          </w:p>
        </w:tc>
        <w:tc>
          <w:tcPr/>
          <w:p>
            <w:pPr>
              <w:pStyle w:val="Compact"/>
              <w:jc w:val="left"/>
            </w:pPr>
            <w:r>
              <w:t xml:space="preserve">— (confirmed #4→#5, one place down as Blue economy overtakes both it and AgTech)</w:t>
            </w:r>
          </w:p>
        </w:tc>
        <w:tc>
          <w:tcPr/>
          <w:p>
            <w:pPr>
              <w:pStyle w:val="Compact"/>
              <w:jc w:val="left"/>
            </w:pPr>
            <w:r>
              <w:t xml:space="preserve">Now evidenced as three developers, not one (Gola, Miro’s separate carbon-credit line, West Africa Blue — the last backed by FSD Africa’s US$2.5m, July 2025), a materially fuller picture than the prior draft’s single-project view. Weighed against a serious, directly transferable risk: Miro’s carbon project is under live land-rights investigation, structurally paralleling Zimbabwe’s Kariba REDD+ credit-integrity collapse (same broker, same REDD+ model, same failure mode).</w:t>
            </w:r>
          </w:p>
        </w:tc>
      </w:tr>
      <w:tr>
        <w:tc>
          <w:tcPr/>
          <w:p>
            <w:pPr>
              <w:pStyle w:val="Compact"/>
              <w:jc w:val="left"/>
            </w:pPr>
            <w:r>
              <w:t xml:space="preserve">6</w:t>
            </w:r>
          </w:p>
        </w:tc>
        <w:tc>
          <w:tcPr/>
          <w:p>
            <w:pPr>
              <w:pStyle w:val="Compact"/>
              <w:jc w:val="left"/>
            </w:pPr>
            <w:r>
              <w:rPr>
                <w:bCs/>
                <w:b/>
              </w:rPr>
              <w:t xml:space="preserve">GovTech</w:t>
            </w:r>
          </w:p>
        </w:tc>
        <w:tc>
          <w:tcPr/>
          <w:p>
            <w:pPr>
              <w:pStyle w:val="Compact"/>
              <w:jc w:val="left"/>
            </w:pPr>
            <w:r>
              <w:t xml:space="preserve">Not investable as venture (no addressable private-equity market exists in principle; the customer is inherently the state)</w:t>
            </w:r>
          </w:p>
        </w:tc>
        <w:tc>
          <w:tcPr/>
          <w:p>
            <w:pPr>
              <w:pStyle w:val="Compact"/>
              <w:jc w:val="left"/>
            </w:pPr>
            <w:r>
              <w:t xml:space="preserve">— (confirmed #8→#6, moving up past Logistics and HealthTech on the strength of new evidence, not a change of verdict)</w:t>
            </w:r>
          </w:p>
        </w:tc>
        <w:tc>
          <w:tcPr/>
          <w:p>
            <w:pPr>
              <w:pStyle w:val="Compact"/>
              <w:jc w:val="left"/>
            </w:pPr>
            <w:r>
              <w:t xml:space="preserve">The assessment’s single best-evidenced digitisation ROI case study — Sierra Leone’s own 2014 Ebola mobile-money payment reform, which cut payment time from over a month to about a week and saved US$10.7 million, corroborated across four independent sources — shows Sierra Leone is capable of fast, well-measured public-sector digitisation when it reuses existing commercial rails. Weighed against current, direct evidence that even the government’s own modernisation contracts go to foreign firms (Qhala, Kenya) rather than domestic ones.</w:t>
            </w:r>
          </w:p>
        </w:tc>
      </w:tr>
      <w:tr>
        <w:tc>
          <w:tcPr/>
          <w:p>
            <w:pPr>
              <w:pStyle w:val="Compact"/>
              <w:jc w:val="left"/>
            </w:pPr>
            <w:r>
              <w:t xml:space="preserve">7</w:t>
            </w:r>
          </w:p>
        </w:tc>
        <w:tc>
          <w:tcPr/>
          <w:p>
            <w:pPr>
              <w:pStyle w:val="Compact"/>
              <w:jc w:val="left"/>
            </w:pPr>
            <w:r>
              <w:rPr>
                <w:bCs/>
                <w:b/>
              </w:rPr>
              <w:t xml:space="preserve">Logistics and trade technology</w:t>
            </w:r>
          </w:p>
        </w:tc>
        <w:tc>
          <w:tcPr/>
          <w:p>
            <w:pPr>
              <w:pStyle w:val="Compact"/>
              <w:jc w:val="left"/>
            </w:pPr>
            <w:r>
              <w:t xml:space="preserve">Not investable</w:t>
            </w:r>
          </w:p>
        </w:tc>
        <w:tc>
          <w:tcPr/>
          <w:p>
            <w:pPr>
              <w:pStyle w:val="Compact"/>
              <w:jc w:val="left"/>
            </w:pPr>
            <w:r>
              <w:t xml:space="preserve">— (confirmed #6→#7, one place down; verdict unchanged, evidence base materially strengthened)</w:t>
            </w:r>
          </w:p>
        </w:tc>
        <w:tc>
          <w:tcPr/>
          <w:p>
            <w:pPr>
              <w:pStyle w:val="Compact"/>
              <w:jc w:val="left"/>
            </w:pPr>
            <w:r>
              <w:t xml:space="preserve">The strongest</w:t>
            </w:r>
            <w:r>
              <w:t xml:space="preserve"> </w:t>
            </w:r>
            <w:r>
              <w:rPr>
                <w:bCs/>
                <w:b/>
              </w:rPr>
              <w:t xml:space="preserve">negative</w:t>
            </w:r>
            <w:r>
              <w:t xml:space="preserve"> </w:t>
            </w:r>
            <w:r>
              <w:t xml:space="preserve">evidence in the whole assessment: West Africa’s best-funded regional freight-tech platforms (Kobo360 — US$30m Series A led by Goldman Sachs; Lori Systems; Sendy — backed by Toyota) have had years of stated West Africa expansion ambitions and tens of millions of dollars in available capital, and none has entered Sierra Leone. Jumia does not operate in Sierra Leone at all and is actively retreating from smaller markets elsewhere. This is a revealed-preference finding, not merely an absence of data.</w:t>
            </w:r>
          </w:p>
        </w:tc>
      </w:tr>
      <w:tr>
        <w:tc>
          <w:tcPr/>
          <w:p>
            <w:pPr>
              <w:pStyle w:val="Compact"/>
              <w:jc w:val="left"/>
            </w:pPr>
            <w:r>
              <w:t xml:space="preserve">8</w:t>
            </w:r>
          </w:p>
        </w:tc>
        <w:tc>
          <w:tcPr/>
          <w:p>
            <w:pPr>
              <w:pStyle w:val="Compact"/>
              <w:jc w:val="left"/>
            </w:pPr>
            <w:r>
              <w:rPr>
                <w:bCs/>
                <w:b/>
              </w:rPr>
              <w:t xml:space="preserve">HealthTech</w:t>
            </w:r>
          </w:p>
        </w:tc>
        <w:tc>
          <w:tcPr/>
          <w:p>
            <w:pPr>
              <w:pStyle w:val="Compact"/>
              <w:jc w:val="left"/>
            </w:pPr>
            <w:r>
              <w:t xml:space="preserve">Not investable</w:t>
            </w:r>
          </w:p>
        </w:tc>
        <w:tc>
          <w:tcPr/>
          <w:p>
            <w:pPr>
              <w:pStyle w:val="Compact"/>
              <w:jc w:val="left"/>
            </w:pPr>
            <w:r>
              <w:t xml:space="preserve">— (confirmed #7→#8, one place down; verdict unchanged, now the clearest</w:t>
            </w:r>
            <w:r>
              <w:t xml:space="preserve"> </w:t>
            </w:r>
            <w:r>
              <w:t xml:space="preserve">“</w:t>
            </w:r>
            <w:r>
              <w:t xml:space="preserve">last place</w:t>
            </w:r>
            <w:r>
              <w:t xml:space="preserve">”</w:t>
            </w:r>
            <w:r>
              <w:t xml:space="preserve"> </w:t>
            </w:r>
            <w:r>
              <w:t xml:space="preserve">given an active negative trend, not just a static absence)</w:t>
            </w:r>
          </w:p>
        </w:tc>
        <w:tc>
          <w:tcPr/>
          <w:p>
            <w:pPr>
              <w:pStyle w:val="Compact"/>
              <w:jc w:val="left"/>
            </w:pPr>
            <w:r>
              <w:t xml:space="preserve">A sector under</w:t>
            </w:r>
            <w:r>
              <w:t xml:space="preserve"> </w:t>
            </w:r>
            <w:r>
              <w:rPr>
                <w:bCs/>
                <w:b/>
              </w:rPr>
              <w:t xml:space="preserve">active, worsening, dual pressure</w:t>
            </w:r>
            <w:r>
              <w:t xml:space="preserve"> </w:t>
            </w:r>
            <w:r>
              <w:t xml:space="preserve">rather than static absence: a critically undersized and roughly half-unsalaried health workforce (6.4 skilled health workers per 10,000 population against a WHO minimum of 44.5), and a large, dated, ongoing donor-funding contraction (the 2025 USAID stop-work order — a reported US$45m cut to Sierra Leone maternal/child health projects — and the UK’s</w:t>
            </w:r>
            <w:r>
              <w:t xml:space="preserve"> </w:t>
            </w:r>
            <w:r>
              <w:t xml:space="preserve">“</w:t>
            </w:r>
            <w:r>
              <w:t xml:space="preserve">Saving Lives</w:t>
            </w:r>
            <w:r>
              <w:t xml:space="preserve">”</w:t>
            </w:r>
            <w:r>
              <w:t xml:space="preserve"> </w:t>
            </w:r>
            <w:r>
              <w:t xml:space="preserve">programme cut from ~£17m to ~£1m). Both of the region’s flagship HealthTech companies (mPharma, Reliance Health) confirmed not operating in or expanding toward Sierra Leone.</w:t>
            </w:r>
          </w:p>
        </w:tc>
      </w:tr>
    </w:tbl>
    <w:p>
      <w:pPr>
        <w:pStyle w:val="BodyText"/>
      </w:pPr>
      <w:r>
        <w:rPr>
          <w:bCs/>
          <w:b/>
        </w:rPr>
        <w:t xml:space="preserve">Reading the ranking.</w:t>
      </w:r>
      <w:r>
        <w:t xml:space="preserve"> </w:t>
      </w:r>
      <w:r>
        <w:t xml:space="preserve">Sectors 1–2 are genuinely investable now, through early-stage-appropriate instruments (equity, working-capital debt). Sectors 3–5 are not venture-scale but are real, evidenced opportunities for growth equity, DFI-guaranteed private equity, or project/results-based finance — this middle tier is materially stronger than the prior draft showed, principally because of the Blue economy correction. Sectors 6–8 are not investable through any private-capital instrument on current evidence, but differ in</w:t>
      </w:r>
      <w:r>
        <w:t xml:space="preserve"> </w:t>
      </w:r>
      <w:r>
        <w:rPr>
          <w:iCs/>
          <w:i/>
        </w:rPr>
        <w:t xml:space="preserve">why</w:t>
      </w:r>
      <w:r>
        <w:t xml:space="preserve">: GovTech has no addressable private market in principle; Logistics has a market that sophisticated investors have evaluated and declined; HealthTech has a market that is actively deteriorating under a live, dated funding shock.</w:t>
      </w:r>
    </w:p>
    <w:p>
      <w:r>
        <w:pict>
          <v:rect style="width:0;height:1.5pt" o:hralign="center" o:hrstd="t" o:hr="t"/>
        </w:pict>
      </w:r>
    </w:p>
    <w:bookmarkEnd w:id="26"/>
    <w:bookmarkStart w:id="27" w:name="X9c4b8946311df3848d0ad9d6f648cbdc53d0aa1"/>
    <w:p>
      <w:pPr>
        <w:pStyle w:val="Heading2"/>
      </w:pPr>
      <w:r>
        <w:t xml:space="preserve">C. Cross-cutting findings that emerged across multiple sectors</w:t>
      </w:r>
    </w:p>
    <w:p>
      <w:pPr>
        <w:pStyle w:val="FirstParagraph"/>
      </w:pPr>
      <w:r>
        <w:t xml:space="preserve">These did not surface when each sector was researched in isolation in the original draft. They matter for reasons beyond any single sector and are flagged here for the Senior Advisory Group specifically.</w:t>
      </w:r>
    </w:p>
    <w:p>
      <w:pPr>
        <w:numPr>
          <w:ilvl w:val="0"/>
          <w:numId w:val="1001"/>
        </w:numPr>
      </w:pPr>
      <w:r>
        <w:rPr>
          <w:bCs/>
          <w:b/>
        </w:rPr>
        <w:t xml:space="preserve">The exit environment across the entire assessment is weak, not just sector-by-sector weak.</w:t>
      </w:r>
      <w:r>
        <w:t xml:space="preserve"> </w:t>
      </w:r>
      <w:r>
        <w:t xml:space="preserve">FinTech’s only domestic listing venue (the Sierra Leone Stock Exchange) had its office closed as of mid-2024. Blue economy’s one evidenced PE transaction (MIGA/ManoCap, 2008) has no evidenced exit — it is unknown whether the fund still holds the position, sold it, or wrote it off. EdTech’s best-reach regional comparator (Eneza Education, Kenya) achieved a merger, not a cash exit, after raising just US$1.49m against 10 million+ learners.</w:t>
      </w:r>
      <w:r>
        <w:t xml:space="preserve"> </w:t>
      </w:r>
      <w:r>
        <w:rPr>
          <w:bCs/>
          <w:b/>
        </w:rPr>
        <w:t xml:space="preserve">Across every sector where this question was asked, no clean equity exit was evidenced anywhere.</w:t>
      </w:r>
      <w:r>
        <w:t xml:space="preserve"> </w:t>
      </w:r>
      <w:r>
        <w:t xml:space="preserve">This suggests the fund’s underwriting thesis across the portfolio should assume cash-yield/dividend return paths as the base case, not equity exit, until real counter-evidence emerges.</w:t>
      </w:r>
    </w:p>
    <w:p>
      <w:pPr>
        <w:numPr>
          <w:ilvl w:val="0"/>
          <w:numId w:val="1001"/>
        </w:numPr>
      </w:pPr>
      <w:r>
        <w:rPr>
          <w:bCs/>
          <w:b/>
        </w:rPr>
        <w:t xml:space="preserve">A direct resource-use tension exists between two sectors that were researched separately.</w:t>
      </w:r>
      <w:r>
        <w:t xml:space="preserve"> </w:t>
      </w:r>
      <w:r>
        <w:t xml:space="preserve">In Blue economy (Sector 4), 46% of women who smoke fish for a living use mangrove wood as fuel. In Climate and carbon (Sector 2), West Africa Blue’s flagship project depends on restricting mangrove harvesting across the same Sherbro River Estuary geography to generate carbon credits. A mangrove-carbon investment that restricts wood harvesting without designing in an alternative fuel source or livelihood transition could directly harm the same women whose fish-processing livelihood Sector 4 depends on. This is a specific, named program-design conflict, not a hypothetical — recommend it be raised as a standing discussion item wherever both sectors are considered together, not filed as two unconnected sector findings.</w:t>
      </w:r>
    </w:p>
    <w:p>
      <w:pPr>
        <w:numPr>
          <w:ilvl w:val="0"/>
          <w:numId w:val="1001"/>
        </w:numPr>
      </w:pPr>
      <w:r>
        <w:rPr>
          <w:bCs/>
          <w:b/>
        </w:rPr>
        <w:t xml:space="preserve">“</w:t>
      </w:r>
      <w:r>
        <w:rPr>
          <w:bCs/>
          <w:b/>
        </w:rPr>
        <w:t xml:space="preserve">Government/donor-dependent</w:t>
      </w:r>
      <w:r>
        <w:rPr>
          <w:bCs/>
          <w:b/>
        </w:rPr>
        <w:t xml:space="preserve">”</w:t>
      </w:r>
      <w:r>
        <w:rPr>
          <w:bCs/>
          <w:b/>
        </w:rPr>
        <w:t xml:space="preserve"> </w:t>
      </w:r>
      <w:r>
        <w:rPr>
          <w:bCs/>
          <w:b/>
        </w:rPr>
        <w:t xml:space="preserve">is not one risk category — EdTech and HealthTech show why.</w:t>
      </w:r>
      <w:r>
        <w:t xml:space="preserve"> </w:t>
      </w:r>
      <w:r>
        <w:t xml:space="preserve">Both sectors were characterised similarly in the original draft. This pass shows their core payer mechanisms are structurally opposite: EdTech’s FQSE is large, domestic, budget-funded, and has held its share of the national budget for six consecutive years. HealthTech’s equivalent mechanism, SLeSHI, was legislated in 2017 and never became operational, and the sector instead runs on foreign aid that is now visibly contracting.</w:t>
      </w:r>
      <w:r>
        <w:t xml:space="preserve"> </w:t>
      </w:r>
      <w:r>
        <w:rPr>
          <w:bCs/>
          <w:b/>
        </w:rPr>
        <w:t xml:space="preserve">A single</w:t>
      </w:r>
      <w:r>
        <w:rPr>
          <w:bCs/>
          <w:b/>
        </w:rPr>
        <w:t xml:space="preserve"> </w:t>
      </w:r>
      <w:r>
        <w:rPr>
          <w:bCs/>
          <w:b/>
        </w:rPr>
        <w:t xml:space="preserve">“</w:t>
      </w:r>
      <w:r>
        <w:rPr>
          <w:bCs/>
          <w:b/>
        </w:rPr>
        <w:t xml:space="preserve">donor-dependent</w:t>
      </w:r>
      <w:r>
        <w:rPr>
          <w:bCs/>
          <w:b/>
        </w:rPr>
        <w:t xml:space="preserve">”</w:t>
      </w:r>
      <w:r>
        <w:rPr>
          <w:bCs/>
          <w:b/>
        </w:rPr>
        <w:t xml:space="preserve"> </w:t>
      </w:r>
      <w:r>
        <w:rPr>
          <w:bCs/>
          <w:b/>
        </w:rPr>
        <w:t xml:space="preserve">risk flag applied uniformly across sectors would materially understate HealthTech’s risk and overstate EdTech’s.</w:t>
      </w:r>
    </w:p>
    <w:p>
      <w:pPr>
        <w:numPr>
          <w:ilvl w:val="0"/>
          <w:numId w:val="1001"/>
        </w:numPr>
      </w:pPr>
      <w:r>
        <w:rPr>
          <w:bCs/>
          <w:b/>
        </w:rPr>
        <w:t xml:space="preserve">The 2025 donor-funding contraction found in HealthTech may not be isolated to that sector.</w:t>
      </w:r>
      <w:r>
        <w:t xml:space="preserve"> </w:t>
      </w:r>
      <w:r>
        <w:t xml:space="preserve">This pass found hard, dated figures for HealthTech specifically (the US$45m US cut, the UK’s Saving Lives reduction). It did not systematically check whether the same US/UK aid-cut wave has hit other donor-touched sectors in this assessment (GovTech’s World Bank-funded programmes, Blue economy’s fisheries-governance donor support, Climate’s conservation funding).</w:t>
      </w:r>
      <w:r>
        <w:t xml:space="preserve"> </w:t>
      </w:r>
      <w:r>
        <w:rPr>
          <w:bCs/>
          <w:b/>
        </w:rPr>
        <w:t xml:space="preserve">Recommend a short, targeted follow-up query specifically on 2025 US/UK aid-cut exposure across all eight sectors</w:t>
      </w:r>
      <w:r>
        <w:t xml:space="preserve">, rather than assuming HealthTech is the only one affected.</w:t>
      </w:r>
    </w:p>
    <w:p>
      <w:pPr>
        <w:numPr>
          <w:ilvl w:val="0"/>
          <w:numId w:val="1001"/>
        </w:numPr>
      </w:pPr>
      <w:r>
        <w:rPr>
          <w:bCs/>
          <w:b/>
        </w:rPr>
        <w:t xml:space="preserve">Sierra Leone has already produced its own best case study for public-sector digitisation ROI, and it sits in the</w:t>
      </w:r>
      <w:r>
        <w:rPr>
          <w:bCs/>
          <w:b/>
        </w:rPr>
        <w:t xml:space="preserve"> </w:t>
      </w:r>
      <w:r>
        <w:rPr>
          <w:bCs/>
          <w:b/>
        </w:rPr>
        <w:t xml:space="preserve">“</w:t>
      </w:r>
      <w:r>
        <w:rPr>
          <w:bCs/>
          <w:b/>
        </w:rPr>
        <w:t xml:space="preserve">not investable</w:t>
      </w:r>
      <w:r>
        <w:rPr>
          <w:bCs/>
          <w:b/>
        </w:rPr>
        <w:t xml:space="preserve">”</w:t>
      </w:r>
      <w:r>
        <w:rPr>
          <w:bCs/>
          <w:b/>
        </w:rPr>
        <w:t xml:space="preserve"> </w:t>
      </w:r>
      <w:r>
        <w:rPr>
          <w:bCs/>
          <w:b/>
        </w:rPr>
        <w:t xml:space="preserve">sector (GovTech).</w:t>
      </w:r>
      <w:r>
        <w:t xml:space="preserve"> </w:t>
      </w:r>
      <w:r>
        <w:t xml:space="preserve">The 2014 Ebola mobile-money reform (US$10.7m saved, well-corroborated across four sources) is arguably the single most usable, home-grown precedent in the entire assessment for WS3 (Fund Economics, Capital Structure and Risk) — it demonstrates that digitisation investment in Sierra Leone can deliver fast, measured returns when it reuses existing commercial (in this case, FinTech) rails rather than building bespoke systems. Recommend this be pulled into WS3 materials directly, not left buried in the GovTech sector file.</w:t>
      </w:r>
    </w:p>
    <w:p>
      <w:pPr>
        <w:numPr>
          <w:ilvl w:val="0"/>
          <w:numId w:val="1001"/>
        </w:numPr>
      </w:pPr>
      <w:r>
        <w:rPr>
          <w:bCs/>
          <w:b/>
        </w:rPr>
        <w:t xml:space="preserve">Regulatory and land-tenure reform is producing genuinely mixed, live results — not a uniform</w:t>
      </w:r>
      <w:r>
        <w:rPr>
          <w:bCs/>
          <w:b/>
        </w:rPr>
        <w:t xml:space="preserve"> </w:t>
      </w:r>
      <w:r>
        <w:rPr>
          <w:bCs/>
          <w:b/>
        </w:rPr>
        <w:t xml:space="preserve">“</w:t>
      </w:r>
      <w:r>
        <w:rPr>
          <w:bCs/>
          <w:b/>
        </w:rPr>
        <w:t xml:space="preserve">enabling</w:t>
      </w:r>
      <w:r>
        <w:rPr>
          <w:bCs/>
          <w:b/>
        </w:rPr>
        <w:t xml:space="preserve">”</w:t>
      </w:r>
      <w:r>
        <w:rPr>
          <w:bCs/>
          <w:b/>
        </w:rPr>
        <w:t xml:space="preserve"> </w:t>
      </w:r>
      <w:r>
        <w:rPr>
          <w:bCs/>
          <w:b/>
        </w:rPr>
        <w:t xml:space="preserve">story.</w:t>
      </w:r>
      <w:r>
        <w:t xml:space="preserve"> </w:t>
      </w:r>
      <w:r>
        <w:t xml:space="preserve">The 2022 Customary Land Rights Act and National Land Commission Act are directly implicated in both a positive case (West Africa Blue’s benefit-sharing carbon agreement, Sector 2) and a negative, currently unresolved one (the live land-rights investigation into Miro’s carbon project, also Sector 2, and echoed in Sector 4’s fisheries value-leak findings around foreign trawler access). The law exists; whether it is enforced in practice is not yet settled, and both outcomes are visible in the evidence at the same time.</w:t>
      </w:r>
    </w:p>
    <w:p>
      <w:r>
        <w:pict>
          <v:rect style="width:0;height:1.5pt" o:hralign="center" o:hrstd="t" o:hr="t"/>
        </w:pict>
      </w:r>
    </w:p>
    <w:bookmarkEnd w:id="27"/>
    <w:bookmarkStart w:id="28" w:name="Xd09cbbdf045c2e0e4bf118372f5979011b32bb2"/>
    <w:p>
      <w:pPr>
        <w:pStyle w:val="Heading2"/>
      </w:pPr>
      <w:r>
        <w:t xml:space="preserve">D. Consolidated contradiction log — new entries from this pass</w:t>
      </w:r>
    </w:p>
    <w:p>
      <w:pPr>
        <w:pStyle w:val="FirstParagraph"/>
      </w:pPr>
      <w:r>
        <w:t xml:space="preserve">In addition to the contradictions already logged per sector (see each sector document’s own contradiction-log addition), the following are cross-sector or otherwise notable enough to flag here: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Data point</w:t>
            </w:r>
          </w:p>
        </w:tc>
        <w:tc>
          <w:tcPr/>
          <w:p>
            <w:pPr>
              <w:pStyle w:val="Compact"/>
              <w:jc w:val="left"/>
            </w:pPr>
            <w:r>
              <w:t xml:space="preserve">Conflicting values</w:t>
            </w:r>
          </w:p>
        </w:tc>
        <w:tc>
          <w:tcPr/>
          <w:p>
            <w:pPr>
              <w:pStyle w:val="Compact"/>
              <w:jc w:val="left"/>
            </w:pPr>
            <w:r>
              <w:t xml:space="preserve">Sectors affected</w:t>
            </w:r>
          </w:p>
        </w:tc>
      </w:tr>
      <w:tr>
        <w:tc>
          <w:tcPr/>
          <w:p>
            <w:pPr>
              <w:pStyle w:val="Compact"/>
              <w:jc w:val="left"/>
            </w:pPr>
            <w:r>
              <w:t xml:space="preserve">Fisheries sector employment</w:t>
            </w:r>
          </w:p>
        </w:tc>
        <w:tc>
          <w:tcPr/>
          <w:p>
            <w:pPr>
              <w:pStyle w:val="Compact"/>
              <w:jc w:val="left"/>
            </w:pPr>
            <w:r>
              <w:t xml:space="preserve">36,000 (SLIEPA) vs. 230,000 (AfDB-linked) vs. </w:t>
            </w:r>
            <w:r>
              <w:t xml:space="preserve">“</w:t>
            </w:r>
            <w:r>
              <w:t xml:space="preserve">over a million</w:t>
            </w:r>
            <w:r>
              <w:t xml:space="preserve">”</w:t>
            </w:r>
            <w:r>
              <w:t xml:space="preserve"> </w:t>
            </w:r>
            <w:r>
              <w:t xml:space="preserve">(government, 2025)</w:t>
            </w:r>
          </w:p>
        </w:tc>
        <w:tc>
          <w:tcPr/>
          <w:p>
            <w:pPr>
              <w:pStyle w:val="Compact"/>
              <w:jc w:val="left"/>
            </w:pPr>
            <w:r>
              <w:t xml:space="preserve">Sector 4</w:t>
            </w:r>
          </w:p>
        </w:tc>
      </w:tr>
      <w:tr>
        <w:tc>
          <w:tcPr/>
          <w:p>
            <w:pPr>
              <w:pStyle w:val="Compact"/>
              <w:jc w:val="left"/>
            </w:pPr>
            <w:r>
              <w:t xml:space="preserve">Account ownership / financial inclusion</w:t>
            </w:r>
          </w:p>
        </w:tc>
        <w:tc>
          <w:tcPr/>
          <w:p>
            <w:pPr>
              <w:pStyle w:val="Compact"/>
              <w:jc w:val="left"/>
            </w:pPr>
            <w:r>
              <w:t xml:space="preserve">28.9% (Global Findex 2021) vs. 12.4%/19.8% (MFW4A, undated)</w:t>
            </w:r>
          </w:p>
        </w:tc>
        <w:tc>
          <w:tcPr/>
          <w:p>
            <w:pPr>
              <w:pStyle w:val="Compact"/>
              <w:jc w:val="left"/>
            </w:pPr>
            <w:r>
              <w:t xml:space="preserve">Sector 3</w:t>
            </w:r>
          </w:p>
        </w:tc>
      </w:tr>
      <w:tr>
        <w:tc>
          <w:tcPr/>
          <w:p>
            <w:pPr>
              <w:pStyle w:val="Compact"/>
              <w:jc w:val="left"/>
            </w:pPr>
            <w:r>
              <w:t xml:space="preserve">ASYCUDA World customs system</w:t>
            </w:r>
          </w:p>
        </w:tc>
        <w:tc>
          <w:tcPr/>
          <w:p>
            <w:pPr>
              <w:pStyle w:val="Compact"/>
              <w:jc w:val="left"/>
            </w:pPr>
            <w:r>
              <w:t xml:space="preserve">Sierra Leone customs delegation visiting Liberia (Aug 2025) to learn ASYCUDA World implies it is</w:t>
            </w:r>
            <w:r>
              <w:t xml:space="preserve"> </w:t>
            </w:r>
            <w:r>
              <w:rPr>
                <w:iCs/>
                <w:i/>
              </w:rPr>
              <w:t xml:space="preserve">not yet</w:t>
            </w:r>
            <w:r>
              <w:t xml:space="preserve"> </w:t>
            </w:r>
            <w:r>
              <w:t xml:space="preserve">fully operational — vs. GovTech sector materials listing ASYCUDA World as one of Sierra Leone’s</w:t>
            </w:r>
            <w:r>
              <w:t xml:space="preserve"> </w:t>
            </w:r>
            <w:r>
              <w:t xml:space="preserve">“</w:t>
            </w:r>
            <w:r>
              <w:t xml:space="preserve">core PFM systems</w:t>
            </w:r>
            <w:r>
              <w:t xml:space="preserve">”</w:t>
            </w:r>
            <w:r>
              <w:t xml:space="preserve"> </w:t>
            </w:r>
            <w:r>
              <w:t xml:space="preserve">already in place</w:t>
            </w:r>
          </w:p>
        </w:tc>
        <w:tc>
          <w:tcPr/>
          <w:p>
            <w:pPr>
              <w:pStyle w:val="Compact"/>
              <w:jc w:val="left"/>
            </w:pPr>
            <w:r>
              <w:t xml:space="preserve">Sectors 5 and 8 — flagged for Stage 2 reconciliation, possibly both true (partial deployment vs. full capability)</w:t>
            </w:r>
          </w:p>
        </w:tc>
      </w:tr>
      <w:tr>
        <w:tc>
          <w:tcPr/>
          <w:p>
            <w:pPr>
              <w:pStyle w:val="Compact"/>
              <w:jc w:val="left"/>
            </w:pPr>
            <w:r>
              <w:t xml:space="preserve">HealthGrid pilot completion</w:t>
            </w:r>
          </w:p>
        </w:tc>
        <w:tc>
          <w:tcPr/>
          <w:p>
            <w:pPr>
              <w:pStyle w:val="Compact"/>
              <w:jc w:val="left"/>
            </w:pPr>
            <w:r>
              <w:t xml:space="preserve">September 2024 vs. January 2025; 26 vs. 27 facilities</w:t>
            </w:r>
          </w:p>
        </w:tc>
        <w:tc>
          <w:tcPr/>
          <w:p>
            <w:pPr>
              <w:pStyle w:val="Compact"/>
              <w:jc w:val="left"/>
            </w:pPr>
            <w:r>
              <w:t xml:space="preserve">Sector 6</w:t>
            </w:r>
          </w:p>
        </w:tc>
      </w:tr>
    </w:tbl>
    <w:p>
      <w:r>
        <w:pict>
          <v:rect style="width:0;height:1.5pt" o:hralign="center" o:hrstd="t" o:hr="t"/>
        </w:pict>
      </w:r>
    </w:p>
    <w:bookmarkEnd w:id="28"/>
    <w:bookmarkStart w:id="29" w:name="X4346c9cc6b92057947029aa00deb6ccac62ceb4"/>
    <w:p>
      <w:pPr>
        <w:pStyle w:val="Heading2"/>
      </w:pPr>
      <w:r>
        <w:t xml:space="preserve">E. Consolidated negative-results log — new entries from this pass</w:t>
      </w:r>
    </w:p>
    <w:p>
      <w:pPr>
        <w:numPr>
          <w:ilvl w:val="0"/>
          <w:numId w:val="1002"/>
        </w:numPr>
        <w:pStyle w:val="Compact"/>
      </w:pPr>
      <w:r>
        <w:t xml:space="preserve">No Sierra Leone-specific efficacy evidence identified for Rori (Rising Academies’ AI maths tutor) — only a Ghana-based randomised evaluation was found (Sector 7).</w:t>
      </w:r>
    </w:p>
    <w:p>
      <w:pPr>
        <w:numPr>
          <w:ilvl w:val="0"/>
          <w:numId w:val="1002"/>
        </w:numPr>
        <w:pStyle w:val="Compact"/>
      </w:pPr>
      <w:r>
        <w:t xml:space="preserve">Kobo360, Lori Systems and Sendy have no confirmed Sierra Leone presence despite years of stated West Africa expansion ambitions (Sector 5).</w:t>
      </w:r>
    </w:p>
    <w:p>
      <w:pPr>
        <w:numPr>
          <w:ilvl w:val="0"/>
          <w:numId w:val="1002"/>
        </w:numPr>
        <w:pStyle w:val="Compact"/>
      </w:pPr>
      <w:r>
        <w:t xml:space="preserve">Jumia does not operate in Sierra Leone and is retreating from smaller markets elsewhere (Sector 5).</w:t>
      </w:r>
    </w:p>
    <w:p>
      <w:pPr>
        <w:numPr>
          <w:ilvl w:val="0"/>
          <w:numId w:val="1002"/>
        </w:numPr>
        <w:pStyle w:val="Compact"/>
      </w:pPr>
      <w:r>
        <w:t xml:space="preserve">mPharma and Reliance Health, the region’s two flagship HealthTech companies, are confirmed not operating in or expanding toward Sierra Leone (Sector 6).</w:t>
      </w:r>
    </w:p>
    <w:p>
      <w:pPr>
        <w:numPr>
          <w:ilvl w:val="0"/>
          <w:numId w:val="1002"/>
        </w:numPr>
        <w:pStyle w:val="Compact"/>
      </w:pPr>
      <w:r>
        <w:t xml:space="preserve">No Sierra Leone-based digital MRV or carbon-tech software company was identified (Sector 2).</w:t>
      </w:r>
    </w:p>
    <w:p>
      <w:pPr>
        <w:numPr>
          <w:ilvl w:val="0"/>
          <w:numId w:val="1002"/>
        </w:numPr>
        <w:pStyle w:val="Compact"/>
      </w:pPr>
      <w:r>
        <w:t xml:space="preserve">No confirmed deployment by Lendable or Cauris Finance — both active regional fintech debt providers — into a Sierra Leone-domiciled company (Sector 3).</w:t>
      </w:r>
    </w:p>
    <w:p>
      <w:pPr>
        <w:numPr>
          <w:ilvl w:val="0"/>
          <w:numId w:val="1002"/>
        </w:numPr>
        <w:pStyle w:val="Compact"/>
      </w:pPr>
      <w:r>
        <w:t xml:space="preserve">AfDB’s ProFishBlue programme, initially thought to be a possible AfDB fisheries investment in Sierra Leone, is confirmed to be a Southern African Development Community-only initiative that does not include Sierra Leone (Sector 4).</w:t>
      </w:r>
    </w:p>
    <w:p>
      <w:r>
        <w:pict>
          <v:rect style="width:0;height:1.5pt" o:hralign="center" o:hrstd="t" o:hr="t"/>
        </w:pict>
      </w:r>
    </w:p>
    <w:bookmarkEnd w:id="29"/>
    <w:bookmarkStart w:id="30" w:name="f.-updated-recommendations-table"/>
    <w:p>
      <w:pPr>
        <w:pStyle w:val="Heading2"/>
      </w:pPr>
      <w:r>
        <w:t xml:space="preserve">F. Updated recommendations table</w:t>
      </w:r>
    </w:p>
    <w:p>
      <w:pPr>
        <w:pStyle w:val="FirstParagraph"/>
      </w:pPr>
      <w:r>
        <w:t xml:space="preserve">Replaces the recommendations table in</w:t>
      </w:r>
      <w:r>
        <w:t xml:space="preserve"> </w:t>
      </w:r>
      <w:r>
        <w:rPr>
          <w:rStyle w:val="VerbatimChar"/>
        </w:rPr>
        <w:t xml:space="preserve">claude_B1.docx</w:t>
      </w:r>
      <w:r>
        <w:t xml:space="preserve">, incorporating the Blue economy upgrade and the sharpened risk pictures in FinTech, Climate and HealthTech.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Sector</w:t>
            </w:r>
          </w:p>
        </w:tc>
        <w:tc>
          <w:tcPr/>
          <w:p>
            <w:pPr>
              <w:pStyle w:val="Compact"/>
              <w:jc w:val="left"/>
            </w:pPr>
            <w:r>
              <w:t xml:space="preserve">Action now</w:t>
            </w:r>
          </w:p>
        </w:tc>
        <w:tc>
          <w:tcPr/>
          <w:p>
            <w:pPr>
              <w:pStyle w:val="Compact"/>
              <w:jc w:val="left"/>
            </w:pPr>
            <w:r>
              <w:t xml:space="preserve">Trigger to revisit</w:t>
            </w:r>
          </w:p>
        </w:tc>
      </w:tr>
      <w:tr>
        <w:tc>
          <w:tcPr/>
          <w:p>
            <w:pPr>
              <w:pStyle w:val="Compact"/>
              <w:jc w:val="left"/>
            </w:pPr>
            <w:r>
              <w:t xml:space="preserve">FinTech</w:t>
            </w:r>
          </w:p>
        </w:tc>
        <w:tc>
          <w:tcPr/>
          <w:p>
            <w:pPr>
              <w:pStyle w:val="Compact"/>
              <w:jc w:val="left"/>
            </w:pPr>
            <w:r>
              <w:t xml:space="preserve">Seed equity (US$100k–1m) into central-bank-licensed payment and embedded-finance firms; pair with working-capital debt for any lending book; underwrite on cash-yield, not equity exit, given the closed domestic listing venue</w:t>
            </w:r>
          </w:p>
        </w:tc>
        <w:tc>
          <w:tcPr/>
          <w:p>
            <w:pPr>
              <w:pStyle w:val="Compact"/>
              <w:jc w:val="left"/>
            </w:pPr>
            <w:r>
              <w:t xml:space="preserve">Published revenue/unit-economics data from Vult or Monime; resolution of the October 2023 mobile-money transaction tax</w:t>
            </w:r>
          </w:p>
        </w:tc>
      </w:tr>
      <w:tr>
        <w:tc>
          <w:tcPr/>
          <w:p>
            <w:pPr>
              <w:pStyle w:val="Compact"/>
              <w:jc w:val="left"/>
            </w:pPr>
            <w:r>
              <w:t xml:space="preserve">EdTech</w:t>
            </w:r>
          </w:p>
        </w:tc>
        <w:tc>
          <w:tcPr/>
          <w:p>
            <w:pPr>
              <w:pStyle w:val="Compact"/>
              <w:jc w:val="left"/>
            </w:pPr>
            <w:r>
              <w:t xml:space="preserve">Selective, blended exposure (equity plus results-based or grant finance); require outcomes evidence specific to Sierra Leone, not pan-African</w:t>
            </w:r>
          </w:p>
        </w:tc>
        <w:tc>
          <w:tcPr/>
          <w:p>
            <w:pPr>
              <w:pStyle w:val="Compact"/>
              <w:jc w:val="left"/>
            </w:pPr>
            <w:r>
              <w:t xml:space="preserve">Sierra Leone-specific efficacy data for Rori; a larger evidenced household private-pay base beyond uLesson’s US$6/month data point</w:t>
            </w:r>
          </w:p>
        </w:tc>
      </w:tr>
      <w:tr>
        <w:tc>
          <w:tcPr/>
          <w:p>
            <w:pPr>
              <w:pStyle w:val="Compact"/>
              <w:jc w:val="left"/>
            </w:pPr>
            <w:r>
              <w:t xml:space="preserve">Blue economy / fisheries</w:t>
            </w:r>
          </w:p>
        </w:tc>
        <w:tc>
          <w:tcPr/>
          <w:p>
            <w:pPr>
              <w:pStyle w:val="Compact"/>
              <w:jc w:val="left"/>
            </w:pPr>
            <w:r>
              <w:rPr>
                <w:bCs/>
                <w:b/>
              </w:rPr>
              <w:t xml:space="preserve">New tier — was</w:t>
            </w:r>
            <w:r>
              <w:rPr>
                <w:bCs/>
                <w:b/>
              </w:rPr>
              <w:t xml:space="preserve"> </w:t>
            </w:r>
            <w:r>
              <w:rPr>
                <w:bCs/>
                <w:b/>
              </w:rPr>
              <w:t xml:space="preserve">“</w:t>
            </w:r>
            <w:r>
              <w:rPr>
                <w:bCs/>
                <w:b/>
              </w:rPr>
              <w:t xml:space="preserve">monitor</w:t>
            </w:r>
            <w:r>
              <w:rPr>
                <w:bCs/>
                <w:b/>
              </w:rPr>
              <w:t xml:space="preserve">”</w:t>
            </w:r>
            <w:r>
              <w:rPr>
                <w:bCs/>
                <w:b/>
              </w:rPr>
              <w:t xml:space="preserve"> </w:t>
            </w:r>
            <w:r>
              <w:rPr>
                <w:bCs/>
                <w:b/>
              </w:rPr>
              <w:t xml:space="preserve">in the prior draft.</w:t>
            </w:r>
            <w:r>
              <w:t xml:space="preserve"> </w:t>
            </w:r>
            <w:r>
              <w:t xml:space="preserve">Co-invest alongside DFIs (as MIGA/ManoCap did in 2008) into established, revenue-generating operators like Sierra Fishing Company; treat pioneer aquaculture (Eden Aqua) as a technical-assistance-first proposition, not yet an equity one</w:t>
            </w:r>
          </w:p>
        </w:tc>
        <w:tc>
          <w:tcPr/>
          <w:p>
            <w:pPr>
              <w:pStyle w:val="Compact"/>
              <w:jc w:val="left"/>
            </w:pPr>
            <w:r>
              <w:t xml:space="preserve">Resolution of the EU IUU yellow card status; confirmation of whether the 2008 MIGA/ManoCap position ever exited</w:t>
            </w:r>
          </w:p>
        </w:tc>
      </w:tr>
      <w:tr>
        <w:tc>
          <w:tcPr/>
          <w:p>
            <w:pPr>
              <w:pStyle w:val="Compact"/>
              <w:jc w:val="left"/>
            </w:pPr>
            <w:r>
              <w:t xml:space="preserve">AgTech, Climate</w:t>
            </w:r>
          </w:p>
        </w:tc>
        <w:tc>
          <w:tcPr/>
          <w:p>
            <w:pPr>
              <w:pStyle w:val="Compact"/>
              <w:jc w:val="left"/>
            </w:pPr>
            <w:r>
              <w:t xml:space="preserve">Co-invest alongside DFIs (AgDevCo, FMO, DFC, FSD Africa Investments) in asset/project deals with secured offtake or verified credit sales; do not underwrite pure-play domestic AgTech or carbon-MRV software yet</w:t>
            </w:r>
          </w:p>
        </w:tc>
        <w:tc>
          <w:tcPr/>
          <w:p>
            <w:pPr>
              <w:pStyle w:val="Compact"/>
              <w:jc w:val="left"/>
            </w:pPr>
            <w:r>
              <w:t xml:space="preserve">Cold-chain build-out; seed-stage aggregation firms with real traction (AgTech); resolution of the Miro land-rights investigation and broader post-Kariba credit-integrity recovery (Climate)</w:t>
            </w:r>
          </w:p>
        </w:tc>
      </w:tr>
      <w:tr>
        <w:tc>
          <w:tcPr/>
          <w:p>
            <w:pPr>
              <w:pStyle w:val="Compact"/>
              <w:jc w:val="left"/>
            </w:pPr>
            <w:r>
              <w:t xml:space="preserve">GovTech</w:t>
            </w:r>
          </w:p>
        </w:tc>
        <w:tc>
          <w:tcPr/>
          <w:p>
            <w:pPr>
              <w:pStyle w:val="Compact"/>
              <w:jc w:val="left"/>
            </w:pPr>
            <w:r>
              <w:t xml:space="preserve">Monitor; the one investable insight is instrument design (reuse existing commercial rails, per the 2014 Ebola precedent), not a company to back</w:t>
            </w:r>
          </w:p>
        </w:tc>
        <w:tc>
          <w:tcPr/>
          <w:p>
            <w:pPr>
              <w:pStyle w:val="Compact"/>
              <w:jc w:val="left"/>
            </w:pPr>
            <w:r>
              <w:t xml:space="preserve">A Sierra Leonean (not foreign) firm winning a material government digitisation contract</w:t>
            </w:r>
          </w:p>
        </w:tc>
      </w:tr>
      <w:tr>
        <w:tc>
          <w:tcPr/>
          <w:p>
            <w:pPr>
              <w:pStyle w:val="Compact"/>
              <w:jc w:val="left"/>
            </w:pPr>
            <w:r>
              <w:t xml:space="preserve">Logistics</w:t>
            </w:r>
          </w:p>
        </w:tc>
        <w:tc>
          <w:tcPr/>
          <w:p>
            <w:pPr>
              <w:pStyle w:val="Compact"/>
              <w:jc w:val="left"/>
            </w:pPr>
            <w:r>
              <w:t xml:space="preserve">Monitor; do not source deals proactively — wait for a revealed-preference signal</w:t>
            </w:r>
          </w:p>
        </w:tc>
        <w:tc>
          <w:tcPr/>
          <w:p>
            <w:pPr>
              <w:pStyle w:val="Compact"/>
              <w:jc w:val="left"/>
            </w:pPr>
            <w:r>
              <w:t xml:space="preserve">An actual market-entry decision by Kobo360, Lori Systems or Sendy</w:t>
            </w:r>
          </w:p>
        </w:tc>
      </w:tr>
      <w:tr>
        <w:tc>
          <w:tcPr/>
          <w:p>
            <w:pPr>
              <w:pStyle w:val="Compact"/>
              <w:jc w:val="left"/>
            </w:pPr>
            <w:r>
              <w:t xml:space="preserve">HealthTech</w:t>
            </w:r>
          </w:p>
        </w:tc>
        <w:tc>
          <w:tcPr/>
          <w:p>
            <w:pPr>
              <w:pStyle w:val="Compact"/>
              <w:jc w:val="left"/>
            </w:pPr>
            <w:r>
              <w:t xml:space="preserve">Monitor; treat as higher-risk than the</w:t>
            </w:r>
            <w:r>
              <w:t xml:space="preserve"> </w:t>
            </w:r>
            <w:r>
              <w:t xml:space="preserve">“</w:t>
            </w:r>
            <w:r>
              <w:t xml:space="preserve">not investable</w:t>
            </w:r>
            <w:r>
              <w:t xml:space="preserve">”</w:t>
            </w:r>
            <w:r>
              <w:t xml:space="preserve"> </w:t>
            </w:r>
            <w:r>
              <w:t xml:space="preserve">sectors above it, given the active 2025 funding contraction</w:t>
            </w:r>
          </w:p>
        </w:tc>
        <w:tc>
          <w:tcPr/>
          <w:p>
            <w:pPr>
              <w:pStyle w:val="Compact"/>
              <w:jc w:val="left"/>
            </w:pPr>
            <w:r>
              <w:t xml:space="preserve">A functioning SLeSHI/SLAUHC payer rail; evidence the sector’s donor-funded infrastructure (HETA, RapidPro, NPPU) survives the 2025 aid cuts rather than losing capacity</w:t>
            </w:r>
          </w:p>
        </w:tc>
      </w:tr>
    </w:tbl>
    <w:p>
      <w:pPr>
        <w:pStyle w:val="BodyText"/>
      </w:pPr>
      <w:r>
        <w:t xml:space="preserve">Technical assistance remains the recurring enabler across every evidenced success in this assessment — now including Blue economy’s MIGA/ManoCap precedent alongside the previously logged AgDevCo and Invest Salone examples.</w:t>
      </w:r>
    </w:p>
    <w:p>
      <w:r>
        <w:pict>
          <v:rect style="width:0;height:1.5pt" o:hralign="center" o:hrstd="t" o:hr="t"/>
        </w:pict>
      </w:r>
    </w:p>
    <w:bookmarkEnd w:id="30"/>
    <w:bookmarkStart w:id="31" w:name="X978d26b362c82d046286baf3d4b33e8f1e46e9d"/>
    <w:p>
      <w:pPr>
        <w:pStyle w:val="Heading2"/>
      </w:pPr>
      <w:r>
        <w:t xml:space="preserve">G. What still needs to happen before any of this enters a gate pack</w:t>
      </w:r>
    </w:p>
    <w:p>
      <w:pPr>
        <w:numPr>
          <w:ilvl w:val="0"/>
          <w:numId w:val="1003"/>
        </w:numPr>
        <w:pStyle w:val="Compact"/>
      </w:pPr>
      <w:r>
        <w:rPr>
          <w:bCs/>
          <w:b/>
        </w:rPr>
        <w:t xml:space="preserve">Stage 2 human review of all seven Sector 2–8 documents and this synthesis</w:t>
      </w:r>
      <w:r>
        <w:t xml:space="preserve">, per the methodology’s four-stage loop — nothing here has been through Stage 2 analysis, Stage 3 re-query, or Stage 4 verification.</w:t>
      </w:r>
    </w:p>
    <w:p>
      <w:pPr>
        <w:numPr>
          <w:ilvl w:val="0"/>
          <w:numId w:val="1003"/>
        </w:numPr>
        <w:pStyle w:val="Compact"/>
      </w:pPr>
      <w:r>
        <w:rPr>
          <w:bCs/>
          <w:b/>
        </w:rPr>
        <w:t xml:space="preserve">The verification queue at the end of each sector document</w:t>
      </w:r>
      <w:r>
        <w:t xml:space="preserve"> </w:t>
      </w:r>
      <w:r>
        <w:t xml:space="preserve">should be worked through before any individual figure is marked</w:t>
      </w:r>
      <w:r>
        <w:t xml:space="preserve"> </w:t>
      </w:r>
      <w:r>
        <w:t xml:space="preserve">“</w:t>
      </w:r>
      <w:r>
        <w:t xml:space="preserve">Verified</w:t>
      </w:r>
      <w:r>
        <w:t xml:space="preserve">”</w:t>
      </w:r>
      <w:r>
        <w:t xml:space="preserve"> </w:t>
      </w:r>
      <w:r>
        <w:t xml:space="preserve">in the Source Register.</w:t>
      </w:r>
    </w:p>
    <w:p>
      <w:pPr>
        <w:numPr>
          <w:ilvl w:val="0"/>
          <w:numId w:val="1003"/>
        </w:numPr>
        <w:pStyle w:val="Compact"/>
      </w:pPr>
      <w:r>
        <w:rPr>
          <w:bCs/>
          <w:b/>
        </w:rPr>
        <w:t xml:space="preserve">The targeted follow-up on 2025 US/UK aid-cut exposure across all eight sectors</w:t>
      </w:r>
      <w:r>
        <w:t xml:space="preserve"> </w:t>
      </w:r>
      <w:r>
        <w:t xml:space="preserve">(Section C.4 above) is the single highest-value next query, given how material the HealthTech finding turned out to be.</w:t>
      </w:r>
    </w:p>
    <w:p>
      <w:pPr>
        <w:numPr>
          <w:ilvl w:val="0"/>
          <w:numId w:val="1003"/>
        </w:numPr>
        <w:pStyle w:val="Compact"/>
      </w:pPr>
      <w:r>
        <w:rPr>
          <w:bCs/>
          <w:b/>
        </w:rPr>
        <w:t xml:space="preserve">A conversation with EPA-SL or the Climate Change Secretariat</w:t>
      </w:r>
      <w:r>
        <w:t xml:space="preserve"> </w:t>
      </w:r>
      <w:r>
        <w:t xml:space="preserve">on Sierra Leone’s non-engagement with the LEAF Coalition/ART TREES mechanism (Sector 2) and</w:t>
      </w:r>
      <w:r>
        <w:t xml:space="preserve"> </w:t>
      </w:r>
      <w:r>
        <w:rPr>
          <w:bCs/>
          <w:b/>
        </w:rPr>
        <w:t xml:space="preserve">a conversation with Invest Salone’s closing team</w:t>
      </w:r>
      <w:r>
        <w:t xml:space="preserve"> </w:t>
      </w:r>
      <w:r>
        <w:t xml:space="preserve">on the fisheries sector’s actual private pipeline beyond Sierra Fishing Company (Sector 4) are both flagged as direct-engagement items desk research cannot resolve further.</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hyperlink" Id="rId20" Target="https://smartimpactconsult.com" TargetMode="External" /></Relationships>
</file>

<file path=word/_rels/footnotes.xml.rels><?xml version="1.0" encoding="UTF-8"?><Relationships xmlns="http://schemas.openxmlformats.org/package/2006/relationships"><Relationship Type="http://schemas.openxmlformats.org/officeDocument/2006/relationships/hyperlink" Id="rId20" Target="https://smartimpactconsul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2026-09-23T08:44:01Z</dcterms:created>
  <dcterms:modified xsi:type="dcterms:W3CDTF">2026-09-23T08:44:01Z</dcterms:modified>
</cp:coreProperties>
</file>

<file path=docProps/custom.xml><?xml version="1.0" encoding="utf-8"?>
<Properties xmlns="http://schemas.openxmlformats.org/officeDocument/2006/custom-properties" xmlns:vt="http://schemas.openxmlformats.org/officeDocument/2006/docPropsVTypes"/>
</file>