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color w:val="464646"/>
          <w:sz w:val="22"/>
        </w:rPr>
        <w:t>EXPRESSION OF INTEREST</w:t>
      </w:r>
    </w:p>
    <w:p>
      <w:pPr>
        <w:spacing w:after="200"/>
      </w:pPr>
      <w:r>
        <w:rPr>
          <w:b/>
          <w:i w:val="0"/>
          <w:color w:val="464646"/>
          <w:sz w:val="22"/>
        </w:rPr>
        <w:t>Commercial Due Diligence Services, Sierra Leone Investment Pipeline</w:t>
      </w:r>
    </w:p>
    <w:tbl>
      <w:tblPr>
        <w:tblW w:type="auto" w:w="0"/>
        <w:tblLayout w:type="fixed"/>
        <w:tblLook w:firstColumn="1" w:firstRow="1" w:lastColumn="0" w:lastRow="0" w:noHBand="0" w:noVBand="1" w:val="04A0"/>
        <w:tblCellMar>
          <w:top w:w="60" w:type="dxa"/>
          <w:left w:w="90" w:type="dxa"/>
          <w:bottom w:w="60" w:type="dxa"/>
          <w:right w:w="90" w:type="dxa"/>
        </w:tblCellMar>
      </w:tblPr>
      <w:tblGrid>
        <w:gridCol w:w="4507"/>
        <w:gridCol w:w="4507"/>
      </w:tblGrid>
      <w:tr>
        <w:tc>
          <w:tcPr>
            <w:tcW w:type="dxa" w:w="2381"/>
            <w:shd w:val="clear" w:color="auto" w:fill="E8EFF5"/>
          </w:tcPr>
          <w:p>
            <w:pPr>
              <w:spacing w:after="0"/>
            </w:pPr>
            <w:r>
              <w:rPr>
                <w:b/>
              </w:rPr>
              <w:t>Submitted to</w:t>
            </w:r>
          </w:p>
        </w:tc>
        <w:tc>
          <w:tcPr>
            <w:tcW w:type="dxa" w:w="6633"/>
          </w:tcPr>
          <w:p>
            <w:pPr>
              <w:spacing w:after="0"/>
            </w:pPr>
            <w:r>
              <w:t>Redsalt GmbH (sierra_leone@redsalt.org)</w:t>
            </w:r>
          </w:p>
        </w:tc>
      </w:tr>
      <w:tr>
        <w:tc>
          <w:tcPr>
            <w:tcW w:type="dxa" w:w="2381"/>
            <w:shd w:val="clear" w:color="auto" w:fill="E8EFF5"/>
          </w:tcPr>
          <w:p>
            <w:pPr>
              <w:spacing w:after="0"/>
            </w:pPr>
            <w:r>
              <w:rPr>
                <w:b/>
              </w:rPr>
              <w:t>Submitted by</w:t>
            </w:r>
          </w:p>
        </w:tc>
        <w:tc>
          <w:tcPr>
            <w:tcW w:type="dxa" w:w="6633"/>
          </w:tcPr>
          <w:p>
            <w:pPr>
              <w:spacing w:after="0"/>
            </w:pPr>
            <w:r>
              <w:t>Smart Investment (Sierra Leone), in partnership with Smart Impact Consult</w:t>
            </w:r>
          </w:p>
        </w:tc>
      </w:tr>
      <w:tr>
        <w:tc>
          <w:tcPr>
            <w:tcW w:type="dxa" w:w="2381"/>
            <w:shd w:val="clear" w:color="auto" w:fill="E8EFF5"/>
          </w:tcPr>
          <w:p>
            <w:pPr>
              <w:spacing w:after="0"/>
            </w:pPr>
            <w:r>
              <w:rPr>
                <w:b/>
              </w:rPr>
              <w:t>Lead consultant</w:t>
            </w:r>
          </w:p>
        </w:tc>
        <w:tc>
          <w:tcPr>
            <w:tcW w:type="dxa" w:w="6633"/>
          </w:tcPr>
          <w:p>
            <w:pPr>
              <w:spacing w:after="0"/>
            </w:pPr>
            <w:r>
              <w:t>Regina Love Clarkson, Head of Impact Investments, based in Freetown</w:t>
            </w:r>
          </w:p>
        </w:tc>
      </w:tr>
      <w:tr>
        <w:tc>
          <w:tcPr>
            <w:tcW w:type="dxa" w:w="2381"/>
            <w:shd w:val="clear" w:color="auto" w:fill="E8EFF5"/>
          </w:tcPr>
          <w:p>
            <w:pPr>
              <w:spacing w:after="0"/>
            </w:pPr>
            <w:r>
              <w:rPr>
                <w:b/>
              </w:rPr>
              <w:t>Assignment</w:t>
            </w:r>
          </w:p>
        </w:tc>
        <w:tc>
          <w:tcPr>
            <w:tcW w:type="dxa" w:w="6633"/>
          </w:tcPr>
          <w:p>
            <w:pPr>
              <w:spacing w:after="0"/>
            </w:pPr>
            <w:r>
              <w:t>Commercial due diligence of two Sierra Leone pipeline companies</w:t>
            </w:r>
          </w:p>
        </w:tc>
      </w:tr>
      <w:tr>
        <w:tc>
          <w:tcPr>
            <w:tcW w:type="dxa" w:w="2381"/>
            <w:shd w:val="clear" w:color="auto" w:fill="E8EFF5"/>
          </w:tcPr>
          <w:p>
            <w:pPr>
              <w:spacing w:after="0"/>
            </w:pPr>
            <w:r>
              <w:rPr>
                <w:b/>
              </w:rPr>
              <w:t>Selection method</w:t>
            </w:r>
          </w:p>
        </w:tc>
        <w:tc>
          <w:tcPr>
            <w:tcW w:type="dxa" w:w="6633"/>
          </w:tcPr>
          <w:p>
            <w:pPr>
              <w:spacing w:after="0"/>
            </w:pPr>
            <w:r>
              <w:t>Consultants' Qualifications Selection (CQS)</w:t>
            </w:r>
          </w:p>
        </w:tc>
      </w:tr>
      <w:tr>
        <w:tc>
          <w:tcPr>
            <w:tcW w:type="dxa" w:w="2381"/>
            <w:shd w:val="clear" w:color="auto" w:fill="E8EFF5"/>
          </w:tcPr>
          <w:p>
            <w:pPr>
              <w:spacing w:after="0"/>
            </w:pPr>
            <w:r>
              <w:rPr>
                <w:b/>
              </w:rPr>
              <w:t>Availability</w:t>
            </w:r>
          </w:p>
        </w:tc>
        <w:tc>
          <w:tcPr>
            <w:tcW w:type="dxa" w:w="6633"/>
          </w:tcPr>
          <w:p>
            <w:pPr>
              <w:spacing w:after="0"/>
            </w:pPr>
            <w:r>
              <w:t>Mobilisation from 26 October 2026; completion by 4 December 2026</w:t>
            </w:r>
          </w:p>
        </w:tc>
      </w:tr>
      <w:tr>
        <w:tc>
          <w:tcPr>
            <w:tcW w:type="dxa" w:w="2381"/>
            <w:shd w:val="clear" w:color="auto" w:fill="E8EFF5"/>
          </w:tcPr>
          <w:p>
            <w:pPr>
              <w:spacing w:after="0"/>
            </w:pPr>
            <w:r>
              <w:rPr>
                <w:b/>
              </w:rPr>
              <w:t>Submission deadline</w:t>
            </w:r>
          </w:p>
        </w:tc>
        <w:tc>
          <w:tcPr>
            <w:tcW w:type="dxa" w:w="6633"/>
          </w:tcPr>
          <w:p>
            <w:pPr>
              <w:spacing w:after="0"/>
            </w:pPr>
            <w:r>
              <w:t>3pm GMT, Monday 19 October 2026</w:t>
            </w:r>
          </w:p>
        </w:tc>
      </w:tr>
    </w:tbl>
    <w:p>
      <w:pPr>
        <w:spacing w:after="80"/>
      </w:pPr>
    </w:p>
    <w:p>
      <w:r>
        <w:rPr>
          <w:b/>
        </w:rPr>
        <w:t xml:space="preserve">Smart Investment (Sierra Leone), in partnership with Smart Impact Consult, </w:t>
      </w:r>
      <w:r>
        <w:rPr>
          <w:b w:val="0"/>
        </w:rPr>
        <w:t>submits this expression of interest to conduct the commercial due diligence of Redsalt’s two Sierra Leone pipeline companies. Redsalt describes itself as an impact-first angel investor providing patient capital and hands-on support to early-stage businesses in low-income frontier markets. Since 2023 we have assessed that kind of company across Africa: early-stage, founder-led businesses examined for an investment decision. We bring the same approach to Sierra Leone, led from Freetown, and we will finish each report with a clear recommendation and the conditions that go with it.</w:t>
      </w:r>
    </w:p>
    <w:p>
      <w:pPr>
        <w:keepNext/>
        <w:spacing w:before="200" w:after="100"/>
      </w:pPr>
      <w:r>
        <w:rPr>
          <w:b/>
          <w:color w:val="0E324D"/>
          <w:sz w:val="23"/>
        </w:rPr>
        <w:t>1.   Why we are suited</w:t>
      </w:r>
    </w:p>
    <w:p>
      <w:pPr>
        <w:spacing w:after="80"/>
      </w:pPr>
      <w:r>
        <w:rPr>
          <w:b w:val="0"/>
          <w:i w:val="0"/>
        </w:rPr>
        <w:t>The questions in this assignment are the ones we ask of every company we assess: is the model viable, do the unit economics hold, are management’s assumptions supported by evidence, what is the company ready for, and what could stop an investment. Our experience answering them in other African markets applies directly. What changes in Sierra Leone is the operating context, and that is where our Freetown team adds the local knowledge.</w:t>
      </w:r>
    </w:p>
    <w:tbl>
      <w:tblPr>
        <w:tblW w:type="auto" w:w="0"/>
        <w:tblLayout w:type="fixed"/>
        <w:tblLook w:firstColumn="1" w:firstRow="1" w:lastColumn="0" w:lastRow="0" w:noHBand="0" w:noVBand="1" w:val="04A0"/>
        <w:tblCellMar>
          <w:top w:w="60" w:type="dxa"/>
          <w:left w:w="90" w:type="dxa"/>
          <w:bottom w:w="60" w:type="dxa"/>
          <w:right w:w="90" w:type="dxa"/>
        </w:tblCellMar>
      </w:tblPr>
      <w:tblGrid>
        <w:gridCol w:w="4507"/>
        <w:gridCol w:w="4507"/>
      </w:tblGrid>
      <w:tr>
        <w:tc>
          <w:tcPr>
            <w:tcW w:type="dxa" w:w="2608"/>
            <w:shd w:val="clear" w:color="auto" w:fill="E8EFF5"/>
          </w:tcPr>
          <w:p>
            <w:pPr>
              <w:spacing w:after="0"/>
            </w:pPr>
            <w:r>
              <w:rPr>
                <w:b/>
                <w:color w:val="0E324D"/>
              </w:rPr>
              <w:t>What Redsalt asks for</w:t>
            </w:r>
          </w:p>
        </w:tc>
        <w:tc>
          <w:tcPr>
            <w:tcW w:type="dxa" w:w="6406"/>
            <w:shd w:val="clear" w:color="auto" w:fill="E8EFF5"/>
          </w:tcPr>
          <w:p>
            <w:pPr>
              <w:spacing w:after="0"/>
            </w:pPr>
            <w:r>
              <w:rPr>
                <w:b/>
                <w:color w:val="0E324D"/>
              </w:rPr>
              <w:t>What we bring</w:t>
            </w:r>
          </w:p>
        </w:tc>
      </w:tr>
      <w:tr>
        <w:tc>
          <w:tcPr>
            <w:tcW w:type="dxa" w:w="2608"/>
          </w:tcPr>
          <w:p>
            <w:pPr>
              <w:spacing w:after="0"/>
            </w:pPr>
            <w:r>
              <w:rPr>
                <w:b/>
              </w:rPr>
              <w:t>Commercial due diligence expertise</w:t>
            </w:r>
          </w:p>
        </w:tc>
        <w:tc>
          <w:tcPr>
            <w:tcW w:type="dxa" w:w="6406"/>
          </w:tcPr>
          <w:p>
            <w:pPr>
              <w:spacing w:after="0"/>
            </w:pPr>
            <w:r>
              <w:t>Assessment of business models, markets, customers, operations and unit economics for 64+ early-stage companies from 14 African countries, written up as 8+ investment memoranda; due diligence on shortlisted teams for an impact-first funder; reviews of 150+ startups for investment committees.</w:t>
            </w:r>
          </w:p>
        </w:tc>
      </w:tr>
      <w:tr>
        <w:tc>
          <w:tcPr>
            <w:tcW w:type="dxa" w:w="2608"/>
          </w:tcPr>
          <w:p>
            <w:pPr>
              <w:spacing w:after="0"/>
            </w:pPr>
            <w:r>
              <w:rPr>
                <w:b/>
              </w:rPr>
              <w:t>Sierra Leone and West African experience</w:t>
            </w:r>
          </w:p>
        </w:tc>
        <w:tc>
          <w:tcPr>
            <w:tcW w:type="dxa" w:w="6406"/>
          </w:tcPr>
          <w:p>
            <w:pPr>
              <w:spacing w:after="0"/>
            </w:pPr>
            <w:r>
              <w:t>A lead consultant and an operations expert who are both based in Freetown. Smart Investment has operated in Sierra Leone since 2001. Regina Clarkson currently advises a Sierra Leone ministry on its innovation and investment fund, and has built and run Sierra Leone businesses herself. Boisy Williams has led operations in West Africa, including three years in Burkina Faso.</w:t>
            </w:r>
          </w:p>
        </w:tc>
      </w:tr>
      <w:tr>
        <w:tc>
          <w:tcPr>
            <w:tcW w:type="dxa" w:w="2608"/>
          </w:tcPr>
          <w:p>
            <w:pPr>
              <w:spacing w:after="0"/>
            </w:pPr>
            <w:r>
              <w:rPr>
                <w:b/>
              </w:rPr>
              <w:t>An investment perspective</w:t>
            </w:r>
          </w:p>
        </w:tc>
        <w:tc>
          <w:tcPr>
            <w:tcW w:type="dxa" w:w="6406"/>
          </w:tcPr>
          <w:p>
            <w:pPr>
              <w:spacing w:after="0"/>
            </w:pPr>
            <w:r>
              <w:t>Regina has chaired an investment committee and prepared 10+ investment memoranda covering financial modelling, valuation and deal structuring. Our reports end in a recommendation and conditions, not a description of the business.</w:t>
            </w:r>
          </w:p>
        </w:tc>
      </w:tr>
      <w:tr>
        <w:tc>
          <w:tcPr>
            <w:tcW w:type="dxa" w:w="2608"/>
          </w:tcPr>
          <w:p>
            <w:pPr>
              <w:spacing w:after="0"/>
            </w:pPr>
            <w:r>
              <w:rPr>
                <w:b/>
              </w:rPr>
              <w:t>Analytical and reporting strength</w:t>
            </w:r>
          </w:p>
        </w:tc>
        <w:tc>
          <w:tcPr>
            <w:tcW w:type="dxa" w:w="6406"/>
          </w:tcPr>
          <w:p>
            <w:pPr>
              <w:spacing w:after="0"/>
            </w:pPr>
            <w:r>
              <w:t>Published research on Africa’s impact investment landscape, a five-year impact report, and a method that labels every finding as verified, documented, asserted or unverified.</w:t>
            </w:r>
          </w:p>
        </w:tc>
      </w:tr>
    </w:tbl>
    <w:p>
      <w:pPr>
        <w:spacing w:after="40"/>
      </w:pPr>
    </w:p>
    <w:p>
      <w:pPr>
        <w:keepNext/>
        <w:spacing w:before="200" w:after="100"/>
      </w:pPr>
      <w:r>
        <w:rPr>
          <w:b/>
          <w:color w:val="0E324D"/>
          <w:sz w:val="23"/>
        </w:rPr>
        <w:t>2.   Firm information</w:t>
      </w:r>
    </w:p>
    <w:p>
      <w:r>
        <w:rPr>
          <w:b w:val="0"/>
          <w:i w:val="0"/>
        </w:rPr>
        <w:t>Smart Investment has operated from Sierra Leone since 2001, delivering ICT, infrastructure and institutional services to banks, mining, logistics and telecom clients across West Africa. Smart Impact Consult (smartimpactconsult.com) is its boutique impact-investment practice, working across Sierra Leone and Kenya in fund advisory, investor readiness, due diligence, impact measurement and applied research. The team is women-led and based in Freetown, with members in Kenya and the United States.</w:t>
      </w:r>
    </w:p>
    <w:p>
      <w:r>
        <w:rPr>
          <w:b w:val="0"/>
          <w:i/>
        </w:rPr>
        <w:t>Registrations and credentials: [TBC: legal name, registration number, tax clearance and any professional credentials Redsalt requires].</w:t>
      </w:r>
    </w:p>
    <w:p>
      <w:pPr>
        <w:keepNext/>
        <w:spacing w:before="200" w:after="100"/>
      </w:pPr>
      <w:r>
        <w:rPr>
          <w:b/>
          <w:color w:val="0E324D"/>
          <w:sz w:val="23"/>
        </w:rPr>
        <w:t>3.   Relevant experience</w:t>
      </w:r>
    </w:p>
    <w:p>
      <w:pPr>
        <w:spacing w:after="80"/>
      </w:pPr>
      <w:r>
        <w:rPr>
          <w:b w:val="0"/>
          <w:i w:val="0"/>
        </w:rPr>
        <w:t>The assignments below are the comparable work we put forward. Each is due diligence on early-stage or growth businesses for an investment decision, and each applies directly to Redsalt’s Sierra Leone pipeline.</w:t>
      </w:r>
    </w:p>
    <w:tbl>
      <w:tblPr>
        <w:tblW w:type="auto" w:w="0"/>
        <w:tblLayout w:type="fixed"/>
        <w:tblLook w:firstColumn="1" w:firstRow="1" w:lastColumn="0" w:lastRow="0" w:noHBand="0" w:noVBand="1" w:val="04A0"/>
        <w:tblCellMar>
          <w:top w:w="60" w:type="dxa"/>
          <w:left w:w="90" w:type="dxa"/>
          <w:bottom w:w="60" w:type="dxa"/>
          <w:right w:w="90" w:type="dxa"/>
        </w:tblCellMar>
      </w:tblPr>
      <w:tblGrid>
        <w:gridCol w:w="3005"/>
        <w:gridCol w:w="3005"/>
        <w:gridCol w:w="3005"/>
      </w:tblGrid>
      <w:tr>
        <w:tc>
          <w:tcPr>
            <w:tcW w:type="dxa" w:w="2381"/>
            <w:shd w:val="clear" w:color="auto" w:fill="E8EFF5"/>
          </w:tcPr>
          <w:p>
            <w:pPr>
              <w:spacing w:after="0"/>
            </w:pPr>
            <w:r>
              <w:rPr>
                <w:b/>
                <w:color w:val="0E324D"/>
              </w:rPr>
              <w:t>Assignment</w:t>
            </w:r>
          </w:p>
        </w:tc>
        <w:tc>
          <w:tcPr>
            <w:tcW w:type="dxa" w:w="4195"/>
            <w:shd w:val="clear" w:color="auto" w:fill="E8EFF5"/>
          </w:tcPr>
          <w:p>
            <w:pPr>
              <w:spacing w:after="0"/>
            </w:pPr>
            <w:r>
              <w:rPr>
                <w:b/>
                <w:color w:val="0E324D"/>
              </w:rPr>
              <w:t>What we did</w:t>
            </w:r>
          </w:p>
        </w:tc>
        <w:tc>
          <w:tcPr>
            <w:tcW w:type="dxa" w:w="2438"/>
            <w:shd w:val="clear" w:color="auto" w:fill="E8EFF5"/>
          </w:tcPr>
          <w:p>
            <w:pPr>
              <w:spacing w:after="0"/>
            </w:pPr>
            <w:r>
              <w:rPr>
                <w:b/>
                <w:color w:val="0E324D"/>
              </w:rPr>
              <w:t>Relevance to Redsalt</w:t>
            </w:r>
          </w:p>
        </w:tc>
      </w:tr>
      <w:tr>
        <w:tc>
          <w:tcPr>
            <w:tcW w:type="dxa" w:w="2381"/>
          </w:tcPr>
          <w:p>
            <w:pPr>
              <w:spacing w:after="0"/>
            </w:pPr>
            <w:r>
              <w:rPr>
                <w:b/>
              </w:rPr>
              <w:t>Capital Ignition Workshop Series, Smart Impact Consult</w:t>
            </w:r>
          </w:p>
        </w:tc>
        <w:tc>
          <w:tcPr>
            <w:tcW w:type="dxa" w:w="4195"/>
          </w:tcPr>
          <w:p>
            <w:pPr>
              <w:spacing w:after="0"/>
            </w:pPr>
            <w:r>
              <w:t>Ran an investor-readiness series for 115 founders and carried out due diligence on 64+ companies from 14 African countries seeking USD 344 million in aggregate. Produced 8+ investment memoranda; refined financial models, unit economics and TAM/SAM/SOM analysis over 20+ weeks.</w:t>
            </w:r>
          </w:p>
        </w:tc>
        <w:tc>
          <w:tcPr>
            <w:tcW w:type="dxa" w:w="2438"/>
          </w:tcPr>
          <w:p>
            <w:pPr>
              <w:spacing w:after="0"/>
            </w:pPr>
            <w:r>
              <w:t>Market, business-model and unit-economics assessment of early-stage companies, written up as investment memoranda</w:t>
            </w:r>
          </w:p>
        </w:tc>
      </w:tr>
      <w:tr>
        <w:tc>
          <w:tcPr>
            <w:tcW w:type="dxa" w:w="2381"/>
          </w:tcPr>
          <w:p>
            <w:pPr>
              <w:spacing w:after="0"/>
            </w:pPr>
            <w:r>
              <w:rPr>
                <w:b/>
              </w:rPr>
              <w:t>INCLUDED VC African Cohort Fellowship, 2025 to present (Regina Clarkson)</w:t>
            </w:r>
          </w:p>
        </w:tc>
        <w:tc>
          <w:tcPr>
            <w:tcW w:type="dxa" w:w="4195"/>
          </w:tcPr>
          <w:p>
            <w:pPr>
              <w:spacing w:after="0"/>
            </w:pPr>
            <w:r>
              <w:t>Served on three investment committees assessing 150+ early-stage startups; chaired the February 2026 committee; prepared 10+ investment memoranda covering financial modelling, valuation and deal structuring.</w:t>
            </w:r>
          </w:p>
        </w:tc>
        <w:tc>
          <w:tcPr>
            <w:tcW w:type="dxa" w:w="2438"/>
          </w:tcPr>
          <w:p>
            <w:pPr>
              <w:spacing w:after="0"/>
            </w:pPr>
            <w:r>
              <w:t>Investment-committee view of what makes a business investable, and what blocks it</w:t>
            </w:r>
          </w:p>
        </w:tc>
      </w:tr>
      <w:tr>
        <w:tc>
          <w:tcPr>
            <w:tcW w:type="dxa" w:w="2381"/>
          </w:tcPr>
          <w:p>
            <w:pPr>
              <w:spacing w:after="0"/>
            </w:pPr>
            <w:r>
              <w:rPr>
                <w:b/>
              </w:rPr>
              <w:t>Fishbowl Challenge, 2023 to 2024 (Regina Clarkson)</w:t>
            </w:r>
          </w:p>
        </w:tc>
        <w:tc>
          <w:tcPr>
            <w:tcW w:type="dxa" w:w="4195"/>
          </w:tcPr>
          <w:p>
            <w:pPr>
              <w:spacing w:after="0"/>
            </w:pPr>
            <w:r>
              <w:t>Led due diligence on shortlisted teams using a Team, Market, Product, Traction, Financials and Impact framework; supported nine funded ventures of up to USD 50,000 each, three of which went on to raise follow-on capital.</w:t>
            </w:r>
          </w:p>
        </w:tc>
        <w:tc>
          <w:tcPr>
            <w:tcW w:type="dxa" w:w="2438"/>
          </w:tcPr>
          <w:p>
            <w:pPr>
              <w:spacing w:after="0"/>
            </w:pPr>
            <w:r>
              <w:t>Early-stage due diligence for an impact-first funder</w:t>
            </w:r>
          </w:p>
        </w:tc>
      </w:tr>
      <w:tr>
        <w:tc>
          <w:tcPr>
            <w:tcW w:type="dxa" w:w="2381"/>
          </w:tcPr>
          <w:p>
            <w:pPr>
              <w:spacing w:after="0"/>
            </w:pPr>
            <w:r>
              <w:rPr>
                <w:b/>
              </w:rPr>
              <w:t>Sierra Leone Innovation and Investment Fund, 2026</w:t>
            </w:r>
          </w:p>
        </w:tc>
        <w:tc>
          <w:tcPr>
            <w:tcW w:type="dxa" w:w="4195"/>
          </w:tcPr>
          <w:p>
            <w:pPr>
              <w:spacing w:after="0"/>
            </w:pPr>
            <w:r>
              <w:t>Fund and Transaction Advisor to the Ministry of Communications, Technology and Innovation: pipeline and partner mapping, review of specialist financial modelling and feasibility work, and fundraising support.</w:t>
            </w:r>
          </w:p>
        </w:tc>
        <w:tc>
          <w:tcPr>
            <w:tcW w:type="dxa" w:w="2438"/>
          </w:tcPr>
          <w:p>
            <w:pPr>
              <w:spacing w:after="0"/>
            </w:pPr>
            <w:r>
              <w:t>Current Sierra Leone investment work, with direct knowledge of the local operating environment</w:t>
            </w:r>
          </w:p>
        </w:tc>
      </w:tr>
      <w:tr>
        <w:tc>
          <w:tcPr>
            <w:tcW w:type="dxa" w:w="2381"/>
          </w:tcPr>
          <w:p>
            <w:pPr>
              <w:spacing w:after="0"/>
            </w:pPr>
            <w:r>
              <w:rPr>
                <w:b/>
              </w:rPr>
              <w:t>Kolat Media and Skool Grind SL, 2019 to 2023 (Regina Clarkson)</w:t>
            </w:r>
          </w:p>
        </w:tc>
        <w:tc>
          <w:tcPr>
            <w:tcW w:type="dxa" w:w="4195"/>
          </w:tcPr>
          <w:p>
            <w:pPr>
              <w:spacing w:after="0"/>
            </w:pPr>
            <w:r>
              <w:t>Produced eight business plans with financial projections and valuation guidance for ventures in Sierra Leone, Kenya, Uganda and the United States; assessed fundraising readiness for a Sierra Leone education organisation.</w:t>
            </w:r>
          </w:p>
        </w:tc>
        <w:tc>
          <w:tcPr>
            <w:tcW w:type="dxa" w:w="2438"/>
          </w:tcPr>
          <w:p>
            <w:pPr>
              <w:spacing w:after="0"/>
            </w:pPr>
            <w:r>
              <w:t>Sierra Leone SME context, business planning and readiness assessment</w:t>
            </w:r>
          </w:p>
        </w:tc>
      </w:tr>
    </w:tbl>
    <w:p>
      <w:pPr>
        <w:spacing w:after="40"/>
      </w:pPr>
    </w:p>
    <w:p>
      <w:r>
        <w:rPr>
          <w:b w:val="0"/>
          <w:i/>
        </w:rPr>
        <w:t>Client references for comparable assignments: [TBC: two or three names, with consent to be contacted].</w:t>
      </w:r>
    </w:p>
    <w:p>
      <w:pPr>
        <w:keepNext/>
        <w:spacing w:before="200" w:after="100"/>
      </w:pPr>
      <w:r>
        <w:rPr>
          <w:b/>
          <w:color w:val="0E324D"/>
          <w:sz w:val="23"/>
        </w:rPr>
        <w:t>4.   Proposed team</w:t>
      </w:r>
    </w:p>
    <w:tbl>
      <w:tblPr>
        <w:tblW w:type="auto" w:w="0"/>
        <w:tblLayout w:type="fixed"/>
        <w:tblLook w:firstColumn="1" w:firstRow="1" w:lastColumn="0" w:lastRow="0" w:noHBand="0" w:noVBand="1" w:val="04A0"/>
        <w:tblCellMar>
          <w:top w:w="60" w:type="dxa"/>
          <w:left w:w="90" w:type="dxa"/>
          <w:bottom w:w="60" w:type="dxa"/>
          <w:right w:w="90" w:type="dxa"/>
        </w:tblCellMar>
      </w:tblPr>
      <w:tblGrid>
        <w:gridCol w:w="3005"/>
        <w:gridCol w:w="3005"/>
        <w:gridCol w:w="3005"/>
      </w:tblGrid>
      <w:tr>
        <w:tc>
          <w:tcPr>
            <w:tcW w:type="dxa" w:w="2041"/>
            <w:shd w:val="clear" w:color="auto" w:fill="E8EFF5"/>
          </w:tcPr>
          <w:p>
            <w:pPr>
              <w:spacing w:after="0"/>
            </w:pPr>
            <w:r>
              <w:rPr>
                <w:b/>
                <w:color w:val="0E324D"/>
              </w:rPr>
              <w:t>Role</w:t>
            </w:r>
          </w:p>
        </w:tc>
        <w:tc>
          <w:tcPr>
            <w:tcW w:type="dxa" w:w="2041"/>
            <w:shd w:val="clear" w:color="auto" w:fill="E8EFF5"/>
          </w:tcPr>
          <w:p>
            <w:pPr>
              <w:spacing w:after="0"/>
            </w:pPr>
            <w:r>
              <w:rPr>
                <w:b/>
                <w:color w:val="0E324D"/>
              </w:rPr>
              <w:t>Name</w:t>
            </w:r>
          </w:p>
        </w:tc>
        <w:tc>
          <w:tcPr>
            <w:tcW w:type="dxa" w:w="4932"/>
            <w:shd w:val="clear" w:color="auto" w:fill="E8EFF5"/>
          </w:tcPr>
          <w:p>
            <w:pPr>
              <w:spacing w:after="0"/>
            </w:pPr>
            <w:r>
              <w:rPr>
                <w:b/>
                <w:color w:val="0E324D"/>
              </w:rPr>
              <w:t>Contribution</w:t>
            </w:r>
          </w:p>
        </w:tc>
      </w:tr>
      <w:tr>
        <w:tc>
          <w:tcPr>
            <w:tcW w:type="dxa" w:w="2041"/>
          </w:tcPr>
          <w:p>
            <w:pPr>
              <w:spacing w:after="0"/>
            </w:pPr>
            <w:r>
              <w:rPr>
                <w:b/>
              </w:rPr>
              <w:t>Lead consultant</w:t>
            </w:r>
          </w:p>
        </w:tc>
        <w:tc>
          <w:tcPr>
            <w:tcW w:type="dxa" w:w="2041"/>
          </w:tcPr>
          <w:p>
            <w:pPr>
              <w:spacing w:after="0"/>
            </w:pPr>
            <w:r>
              <w:t>Regina Love Clarkson</w:t>
            </w:r>
          </w:p>
        </w:tc>
        <w:tc>
          <w:tcPr>
            <w:tcW w:type="dxa" w:w="4932"/>
          </w:tcPr>
          <w:p>
            <w:pPr>
              <w:spacing w:after="0"/>
            </w:pPr>
            <w:r>
              <w:t>Overall responsibility and single point of contact. Business model, unit economics, investment readiness and the investment recommendation for each company. Freetown-based.</w:t>
            </w:r>
          </w:p>
        </w:tc>
      </w:tr>
      <w:tr>
        <w:tc>
          <w:tcPr>
            <w:tcW w:type="dxa" w:w="2041"/>
          </w:tcPr>
          <w:p>
            <w:pPr>
              <w:spacing w:after="0"/>
            </w:pPr>
            <w:r>
              <w:rPr>
                <w:b/>
              </w:rPr>
              <w:t>Operations and supply-chain expert</w:t>
            </w:r>
          </w:p>
        </w:tc>
        <w:tc>
          <w:tcPr>
            <w:tcW w:type="dxa" w:w="2041"/>
          </w:tcPr>
          <w:p>
            <w:pPr>
              <w:spacing w:after="0"/>
            </w:pPr>
            <w:r>
              <w:t>Boisy V.A. Williams</w:t>
            </w:r>
          </w:p>
        </w:tc>
        <w:tc>
          <w:tcPr>
            <w:tcW w:type="dxa" w:w="4932"/>
          </w:tcPr>
          <w:p>
            <w:pPr>
              <w:spacing w:after="0"/>
            </w:pPr>
            <w:r>
              <w:t>26 years of programme leadership across nine African countries, including three years as Area Manager for Burkina Faso, with responsibility for budgets, operations and stakeholder engagement. Site visits and operational assessment. Freetown-based.</w:t>
            </w:r>
          </w:p>
        </w:tc>
      </w:tr>
      <w:tr>
        <w:tc>
          <w:tcPr>
            <w:tcW w:type="dxa" w:w="2041"/>
          </w:tcPr>
          <w:p>
            <w:pPr>
              <w:spacing w:after="0"/>
            </w:pPr>
            <w:r>
              <w:rPr>
                <w:b/>
              </w:rPr>
              <w:t>Investment readiness and data reviewer</w:t>
            </w:r>
          </w:p>
        </w:tc>
        <w:tc>
          <w:tcPr>
            <w:tcW w:type="dxa" w:w="2041"/>
          </w:tcPr>
          <w:p>
            <w:pPr>
              <w:spacing w:after="0"/>
            </w:pPr>
            <w:r>
              <w:t>Caroline McCoy</w:t>
            </w:r>
          </w:p>
        </w:tc>
        <w:tc>
          <w:tcPr>
            <w:tcW w:type="dxa" w:w="4932"/>
          </w:tcPr>
          <w:p>
            <w:pPr>
              <w:spacing w:after="0"/>
            </w:pPr>
            <w:r>
              <w:t>About two decades in institutional capital allocation and portfolio systems; directed a USD 6 million annual portfolio across 80+ organisations. Reviews the investment-readiness and capital-requirement analysis.</w:t>
            </w:r>
          </w:p>
        </w:tc>
      </w:tr>
      <w:tr>
        <w:tc>
          <w:tcPr>
            <w:tcW w:type="dxa" w:w="2041"/>
          </w:tcPr>
          <w:p>
            <w:pPr>
              <w:spacing w:after="0"/>
            </w:pPr>
            <w:r>
              <w:rPr>
                <w:b/>
              </w:rPr>
              <w:t>Sector specialist</w:t>
            </w:r>
          </w:p>
        </w:tc>
        <w:tc>
          <w:tcPr>
            <w:tcW w:type="dxa" w:w="2041"/>
          </w:tcPr>
          <w:p>
            <w:pPr>
              <w:spacing w:after="0"/>
            </w:pPr>
            <w:r>
              <w:t>[TBC]</w:t>
            </w:r>
          </w:p>
        </w:tc>
        <w:tc>
          <w:tcPr>
            <w:tcW w:type="dxa" w:w="4932"/>
          </w:tcPr>
          <w:p>
            <w:pPr>
              <w:spacing w:after="0"/>
            </w:pPr>
            <w:r>
              <w:t>Commercial and sector expertise matched to the two companies once their sectors are disclosed. The call includes agriculture-specific and technology-specific criteria, so we expect to cover both. [TBC: name and CV.]</w:t>
            </w:r>
          </w:p>
        </w:tc>
      </w:tr>
      <w:tr>
        <w:tc>
          <w:tcPr>
            <w:tcW w:type="dxa" w:w="2041"/>
          </w:tcPr>
          <w:p>
            <w:pPr>
              <w:spacing w:after="0"/>
            </w:pPr>
            <w:r>
              <w:rPr>
                <w:b/>
              </w:rPr>
              <w:t>Analysis and data support</w:t>
            </w:r>
          </w:p>
        </w:tc>
        <w:tc>
          <w:tcPr>
            <w:tcW w:type="dxa" w:w="2041"/>
          </w:tcPr>
          <w:p>
            <w:pPr>
              <w:spacing w:after="0"/>
            </w:pPr>
            <w:r>
              <w:t>Anastasia Muthoni</w:t>
            </w:r>
          </w:p>
        </w:tc>
        <w:tc>
          <w:tcPr>
            <w:tcW w:type="dxa" w:w="4932"/>
          </w:tcPr>
          <w:p>
            <w:pPr>
              <w:spacing w:after="0"/>
            </w:pPr>
            <w:r>
              <w:t>Operating-metric reconstruction, sensitivity models and the findings log, supporting the lead consultant.</w:t>
            </w:r>
          </w:p>
        </w:tc>
      </w:tr>
    </w:tbl>
    <w:p>
      <w:pPr>
        <w:spacing w:after="40"/>
      </w:pPr>
    </w:p>
    <w:p>
      <w:r>
        <w:rPr>
          <w:b w:val="0"/>
          <w:i/>
        </w:rPr>
        <w:t>CVs identifying relevant assignments, sectors and countries are attached [TBC].</w:t>
      </w:r>
    </w:p>
    <w:p>
      <w:pPr>
        <w:keepNext/>
        <w:spacing w:before="200" w:after="100"/>
      </w:pPr>
      <w:r>
        <w:rPr>
          <w:b/>
          <w:color w:val="0E324D"/>
          <w:sz w:val="23"/>
        </w:rPr>
        <w:t>5.   Approach and methodology</w:t>
      </w:r>
    </w:p>
    <w:p>
      <w:pPr>
        <w:spacing w:after="80"/>
      </w:pPr>
      <w:r>
        <w:rPr>
          <w:b w:val="0"/>
          <w:i w:val="0"/>
        </w:rPr>
        <w:t>We will deliver the five expected deliverables set out in section 7 of the call, within the 26 October to 4 December window.</w:t>
      </w:r>
    </w:p>
    <w:tbl>
      <w:tblPr>
        <w:tblW w:type="auto" w:w="0"/>
        <w:tblLayout w:type="fixed"/>
        <w:tblLook w:firstColumn="1" w:firstRow="1" w:lastColumn="0" w:lastRow="0" w:noHBand="0" w:noVBand="1" w:val="04A0"/>
        <w:tblCellMar>
          <w:top w:w="60" w:type="dxa"/>
          <w:left w:w="90" w:type="dxa"/>
          <w:bottom w:w="60" w:type="dxa"/>
          <w:right w:w="90" w:type="dxa"/>
        </w:tblCellMar>
      </w:tblPr>
      <w:tblGrid>
        <w:gridCol w:w="3005"/>
        <w:gridCol w:w="3005"/>
        <w:gridCol w:w="3005"/>
      </w:tblGrid>
      <w:tr>
        <w:tc>
          <w:tcPr>
            <w:tcW w:type="dxa" w:w="1928"/>
            <w:shd w:val="clear" w:color="auto" w:fill="E8EFF5"/>
          </w:tcPr>
          <w:p>
            <w:pPr>
              <w:spacing w:after="0"/>
            </w:pPr>
            <w:r>
              <w:rPr>
                <w:b/>
                <w:color w:val="0E324D"/>
              </w:rPr>
              <w:t>Stage</w:t>
            </w:r>
          </w:p>
        </w:tc>
        <w:tc>
          <w:tcPr>
            <w:tcW w:type="dxa" w:w="1474"/>
            <w:shd w:val="clear" w:color="auto" w:fill="E8EFF5"/>
          </w:tcPr>
          <w:p>
            <w:pPr>
              <w:spacing w:after="0"/>
            </w:pPr>
            <w:r>
              <w:rPr>
                <w:b/>
                <w:color w:val="0E324D"/>
              </w:rPr>
              <w:t>Dates</w:t>
            </w:r>
          </w:p>
        </w:tc>
        <w:tc>
          <w:tcPr>
            <w:tcW w:type="dxa" w:w="5613"/>
            <w:shd w:val="clear" w:color="auto" w:fill="E8EFF5"/>
          </w:tcPr>
          <w:p>
            <w:pPr>
              <w:spacing w:after="0"/>
            </w:pPr>
            <w:r>
              <w:rPr>
                <w:b/>
                <w:color w:val="0E324D"/>
              </w:rPr>
              <w:t>Activity and output</w:t>
            </w:r>
          </w:p>
        </w:tc>
      </w:tr>
      <w:tr>
        <w:tc>
          <w:tcPr>
            <w:tcW w:type="dxa" w:w="1928"/>
          </w:tcPr>
          <w:p>
            <w:pPr>
              <w:spacing w:after="0"/>
            </w:pPr>
            <w:r>
              <w:rPr>
                <w:b/>
              </w:rPr>
              <w:t>1. Workplan</w:t>
            </w:r>
          </w:p>
        </w:tc>
        <w:tc>
          <w:tcPr>
            <w:tcW w:type="dxa" w:w="1474"/>
          </w:tcPr>
          <w:p>
            <w:pPr>
              <w:spacing w:after="0"/>
            </w:pPr>
            <w:r>
              <w:t>26 to 30 Oct</w:t>
            </w:r>
          </w:p>
        </w:tc>
        <w:tc>
          <w:tcPr>
            <w:tcW w:type="dxa" w:w="5613"/>
          </w:tcPr>
          <w:p>
            <w:pPr>
              <w:spacing w:after="0"/>
            </w:pPr>
            <w:r>
              <w:t>Confirm methodology and information requests; agree interview and site-visit plan; set out the commercial hypotheses and first areas of investigation. Output: diligence workplan.</w:t>
            </w:r>
          </w:p>
        </w:tc>
      </w:tr>
      <w:tr>
        <w:tc>
          <w:tcPr>
            <w:tcW w:type="dxa" w:w="1928"/>
          </w:tcPr>
          <w:p>
            <w:pPr>
              <w:spacing w:after="0"/>
            </w:pPr>
            <w:r>
              <w:rPr>
                <w:b/>
              </w:rPr>
              <w:t>2. Fieldwork</w:t>
            </w:r>
          </w:p>
        </w:tc>
        <w:tc>
          <w:tcPr>
            <w:tcW w:type="dxa" w:w="1474"/>
          </w:tcPr>
          <w:p>
            <w:pPr>
              <w:spacing w:after="0"/>
            </w:pPr>
            <w:r>
              <w:t>2 to 13 Nov</w:t>
            </w:r>
          </w:p>
        </w:tc>
        <w:tc>
          <w:tcPr>
            <w:tcW w:type="dxa" w:w="5613"/>
          </w:tcPr>
          <w:p>
            <w:pPr>
              <w:spacing w:after="0"/>
            </w:pPr>
            <w:r>
              <w:t>Founder and management interviews; customer, supplier and stakeholder interviews; site visits; market and competitor research; reconstruction of key operating metrics.</w:t>
            </w:r>
          </w:p>
        </w:tc>
      </w:tr>
      <w:tr>
        <w:tc>
          <w:tcPr>
            <w:tcW w:type="dxa" w:w="1928"/>
          </w:tcPr>
          <w:p>
            <w:pPr>
              <w:spacing w:after="0"/>
            </w:pPr>
            <w:r>
              <w:rPr>
                <w:b/>
              </w:rPr>
              <w:t>3. Analysis and draft reports</w:t>
            </w:r>
          </w:p>
        </w:tc>
        <w:tc>
          <w:tcPr>
            <w:tcW w:type="dxa" w:w="1474"/>
          </w:tcPr>
          <w:p>
            <w:pPr>
              <w:spacing w:after="0"/>
            </w:pPr>
            <w:r>
              <w:t>16 to 20 Nov</w:t>
            </w:r>
          </w:p>
        </w:tc>
        <w:tc>
          <w:tcPr>
            <w:tcW w:type="dxa" w:w="5613"/>
          </w:tcPr>
          <w:p>
            <w:pPr>
              <w:spacing w:after="0"/>
            </w:pPr>
            <w:r>
              <w:t>Unit economics and sensitivity analysis; assessment of each company against the scope; integration of findings from the financial, legal, technical, brand and impact workstreams. Output: one draft report per company.</w:t>
            </w:r>
          </w:p>
        </w:tc>
      </w:tr>
      <w:tr>
        <w:tc>
          <w:tcPr>
            <w:tcW w:type="dxa" w:w="1928"/>
          </w:tcPr>
          <w:p>
            <w:pPr>
              <w:spacing w:after="0"/>
            </w:pPr>
            <w:r>
              <w:rPr>
                <w:b/>
              </w:rPr>
              <w:t>4. Final reports</w:t>
            </w:r>
          </w:p>
        </w:tc>
        <w:tc>
          <w:tcPr>
            <w:tcW w:type="dxa" w:w="1474"/>
          </w:tcPr>
          <w:p>
            <w:pPr>
              <w:spacing w:after="0"/>
            </w:pPr>
            <w:r>
              <w:t>23 Nov to 1 Dec</w:t>
            </w:r>
          </w:p>
        </w:tc>
        <w:tc>
          <w:tcPr>
            <w:tcW w:type="dxa" w:w="5613"/>
          </w:tcPr>
          <w:p>
            <w:pPr>
              <w:spacing w:after="0"/>
            </w:pPr>
            <w:r>
              <w:t>Incorporate Redsalt’s comments and any further verification. Output: one final report per company, with a commercial recommendation and conditions or mitigants.</w:t>
            </w:r>
          </w:p>
        </w:tc>
      </w:tr>
      <w:tr>
        <w:tc>
          <w:tcPr>
            <w:tcW w:type="dxa" w:w="1928"/>
          </w:tcPr>
          <w:p>
            <w:pPr>
              <w:spacing w:after="0"/>
            </w:pPr>
            <w:r>
              <w:rPr>
                <w:b/>
              </w:rPr>
              <w:t>5. Presentation</w:t>
            </w:r>
          </w:p>
        </w:tc>
        <w:tc>
          <w:tcPr>
            <w:tcW w:type="dxa" w:w="1474"/>
          </w:tcPr>
          <w:p>
            <w:pPr>
              <w:spacing w:after="0"/>
            </w:pPr>
            <w:r>
              <w:t>By 4 Dec</w:t>
            </w:r>
          </w:p>
        </w:tc>
        <w:tc>
          <w:tcPr>
            <w:tcW w:type="dxa" w:w="5613"/>
          </w:tcPr>
          <w:p>
            <w:pPr>
              <w:spacing w:after="0"/>
            </w:pPr>
            <w:r>
              <w:t>Present findings, risks, opportunities and recommendations to the Redsalt investment team and answer questions.</w:t>
            </w:r>
          </w:p>
        </w:tc>
      </w:tr>
    </w:tbl>
    <w:p>
      <w:pPr>
        <w:spacing w:after="40"/>
      </w:pPr>
    </w:p>
    <w:p>
      <w:pPr>
        <w:spacing w:after="80"/>
      </w:pPr>
      <w:r>
        <w:rPr>
          <w:b w:val="0"/>
          <w:i w:val="0"/>
        </w:rPr>
        <w:t>How we assess each company. We cover the market and customers, the business model and unit economics, operations and supply chain, management and people, the Sierra Leone operating context (foreign exchange, input costs and availability, power and logistics, seasonality, purchasing power and market size), impact and scalability, investment readiness and capital needs, and the risks that could block an investment. We tailor the depth to each business.</w:t>
      </w:r>
    </w:p>
    <w:p>
      <w:pPr>
        <w:spacing w:after="40"/>
      </w:pPr>
      <w:r>
        <w:rPr>
          <w:b w:val="0"/>
          <w:i w:val="0"/>
        </w:rPr>
        <w:t>How we separate evidence. Every finding in the reports will be labelled as one of four types, as the call asks:</w:t>
      </w:r>
    </w:p>
    <w:p>
      <w:pPr>
        <w:pStyle w:val="ListBullet"/>
        <w:spacing w:after="40"/>
      </w:pPr>
      <w:r>
        <w:t>independently verified by us;</w:t>
      </w:r>
    </w:p>
    <w:p>
      <w:pPr>
        <w:pStyle w:val="ListBullet"/>
        <w:spacing w:after="40"/>
      </w:pPr>
      <w:r>
        <w:t>supported by documentary evidence;</w:t>
      </w:r>
    </w:p>
    <w:p>
      <w:pPr>
        <w:pStyle w:val="ListBullet"/>
        <w:spacing w:after="40"/>
      </w:pPr>
      <w:r>
        <w:t>a management assertion; or</w:t>
      </w:r>
    </w:p>
    <w:p>
      <w:pPr>
        <w:pStyle w:val="ListBullet"/>
        <w:spacing w:after="40"/>
      </w:pPr>
      <w:r>
        <w:t>unverified, contradictory or subject to another diligence workstream.</w:t>
      </w:r>
    </w:p>
    <w:p>
      <w:pPr>
        <w:spacing w:after="0"/>
      </w:pPr>
    </w:p>
    <w:p>
      <w:r>
        <w:rPr>
          <w:b w:val="0"/>
          <w:i w:val="0"/>
        </w:rPr>
        <w:t>How we coordinate with the other workstreams. We will not duplicate the financial, legal, technical, brand and impact diligence. We keep a shared findings log, hold a short weekly check-in with each workstream lead, flag matters for referral (for example legal or licensing questions for Bakarr &amp; Associates, or financial records for the Finance Analyst) and state clearly where our conclusions depend on their verification.</w:t>
      </w:r>
    </w:p>
    <w:p>
      <w:pPr>
        <w:keepNext/>
        <w:spacing w:before="200" w:after="100"/>
      </w:pPr>
      <w:r>
        <w:rPr>
          <w:b/>
          <w:color w:val="0E324D"/>
          <w:sz w:val="23"/>
        </w:rPr>
        <w:t>6.   Availability and independence</w:t>
      </w:r>
    </w:p>
    <w:p>
      <w:pPr>
        <w:pStyle w:val="ListBullet"/>
        <w:spacing w:after="40"/>
      </w:pPr>
      <w:r>
        <w:rPr>
          <w:b/>
        </w:rPr>
        <w:t xml:space="preserve">Availability. </w:t>
      </w:r>
      <w:r>
        <w:t>We confirm availability to complete the assignment by 4 December 2026, with an indicative mobilisation date of 26 October 2026.</w:t>
      </w:r>
    </w:p>
    <w:p>
      <w:pPr>
        <w:pStyle w:val="ListBullet"/>
        <w:spacing w:after="40"/>
      </w:pPr>
      <w:r>
        <w:rPr>
          <w:b/>
        </w:rPr>
        <w:t xml:space="preserve">Independence. </w:t>
      </w:r>
      <w:r>
        <w:t>We are not aware of any actual or potential conflict of interest with Redsalt or either pipeline company. For transparency, Regina Clarkson is currently Fund and Transaction Advisor to the Ministry of Communications, Technology and Innovation on the Sierra Leone Innovation and Investment Fund. As soon as the company identities are shared, we will check each company, its founders and shareholders against this and our other engagements, and disclose any overlap before work starts. [TBC: Regina to confirm.]</w:t>
      </w:r>
    </w:p>
    <w:p>
      <w:pPr>
        <w:spacing w:after="0"/>
      </w:pPr>
    </w:p>
    <w:p>
      <w:pPr>
        <w:keepNext/>
        <w:spacing w:before="200" w:after="100"/>
      </w:pPr>
      <w:r>
        <w:rPr>
          <w:b/>
          <w:color w:val="0E324D"/>
          <w:sz w:val="23"/>
        </w:rPr>
        <w:t>7.   Confidentiality and commercial terms</w:t>
      </w:r>
    </w:p>
    <w:p>
      <w:r>
        <w:rPr>
          <w:b w:val="0"/>
          <w:i w:val="0"/>
        </w:rPr>
        <w:t>We will treat all information from Redsalt and the pipeline companies as confidential, use it only for this assignment, and return or securely delete it at the end as Redsalt directs. We are ready to provide a lump-sum financial proposal if shortlisted.</w:t>
      </w:r>
    </w:p>
    <w:p/>
    <w:p>
      <w:r>
        <w:rPr>
          <w:b/>
        </w:rPr>
        <w:t xml:space="preserve">Contact: </w:t>
      </w:r>
      <w:r>
        <w:rPr>
          <w:b w:val="0"/>
        </w:rPr>
        <w:t>Regina Love Clarkson, Head of Impact Investments, Smart Impact Consult, Freetown, Sierra Leone. regina@smartimpactconsult.com. [add phone]</w:t>
      </w:r>
    </w:p>
    <w:sectPr w:rsidR="00FC693F" w:rsidRPr="0006063C" w:rsidSect="00034616">
      <w:headerReference w:type="default" r:id="rId9"/>
      <w:footerReference w:type="default" r:id="rId10"/>
      <w:pgSz w:w="11906" w:h="16838"/>
      <w:pgMar w:top="2438" w:right="1361" w:bottom="2154" w:left="153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lPr>
    <w:tblGrid>
      <w:gridCol w:w="3005"/>
      <w:gridCol w:w="3005"/>
      <w:gridCol w:w="3005"/>
    </w:tblGrid>
    <w:tr>
      <w:tc>
        <w:tcPr>
          <w:tcW w:type="dxa" w:w="3005"/>
        </w:tcPr>
        <w:p>
          <w:pPr>
            <w:spacing w:after="160"/>
          </w:pPr>
          <w:r>
            <w:rPr>
              <w:b/>
              <w:color w:val="0E324D"/>
              <w:sz w:val="15"/>
            </w:rPr>
            <w:t>OFFICE Sierra Leone</w:t>
          </w:r>
        </w:p>
        <w:p>
          <w:pPr>
            <w:spacing w:after="0"/>
          </w:pPr>
          <w:r>
            <w:rPr>
              <w:color w:val="0E324D"/>
              <w:sz w:val="15"/>
            </w:rPr>
            <w:t>Smart Investment (Sierra Leone)</w:t>
          </w:r>
        </w:p>
        <w:p>
          <w:pPr>
            <w:spacing w:after="0"/>
          </w:pPr>
          <w:r>
            <w:rPr>
              <w:color w:val="0E324D"/>
              <w:sz w:val="15"/>
            </w:rPr>
            <w:t>in partnership with Smart Impact Consult</w:t>
          </w:r>
        </w:p>
      </w:tc>
      <w:tc>
        <w:tcPr>
          <w:tcW w:type="dxa" w:w="3005"/>
        </w:tcPr>
        <w:p>
          <w:pPr>
            <w:spacing w:after="160"/>
          </w:pPr>
          <w:r>
            <w:rPr>
              <w:sz w:val="15"/>
            </w:rPr>
            <w:t xml:space="preserve"> </w:t>
          </w:r>
        </w:p>
        <w:p>
          <w:pPr>
            <w:spacing w:after="0"/>
          </w:pPr>
          <w:r>
            <w:rPr>
              <w:color w:val="0E324D"/>
              <w:sz w:val="15"/>
            </w:rPr>
            <w:t>Freetown, Sierra Leone</w:t>
          </w:r>
        </w:p>
        <w:p>
          <w:pPr>
            <w:spacing w:after="0"/>
          </w:pPr>
          <w:r>
            <w:rPr>
              <w:color w:val="0E324D"/>
              <w:sz w:val="15"/>
            </w:rPr>
            <w:t>[address TBC]</w:t>
          </w:r>
        </w:p>
      </w:tc>
      <w:tc>
        <w:tcPr>
          <w:tcW w:type="dxa" w:w="3005"/>
        </w:tcPr>
        <w:p>
          <w:pPr>
            <w:spacing w:after="160"/>
          </w:pPr>
          <w:r>
            <w:rPr>
              <w:sz w:val="15"/>
            </w:rPr>
            <w:t xml:space="preserve"> </w:t>
          </w:r>
        </w:p>
        <w:p>
          <w:pPr>
            <w:spacing w:after="0"/>
          </w:pPr>
          <w:r>
            <w:rPr>
              <w:color w:val="0E324D"/>
              <w:sz w:val="15"/>
            </w:rPr>
            <w:t>Email: regina@smartimpactconsult.com</w:t>
          </w:r>
        </w:p>
        <w:p>
          <w:pPr>
            <w:spacing w:after="0"/>
          </w:pPr>
          <w:r>
            <w:rPr>
              <w:color w:val="0E324D"/>
              <w:sz w:val="15"/>
            </w:rPr>
            <w:t>smartimpactconsult.com</w:t>
          </w:r>
        </w:p>
      </w:tc>
    </w:tr>
  </w:tbl>
  <w:p>
    <w:pPr>
      <w:pStyle w:val="Foote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a:graphicData uri="http://schemas.openxmlformats.org/drawingml/2006/picture">
              <pic:pic>
                <pic:nvPicPr>
                  <pic:cNvPr id="0" name="page_bg.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