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X37a87a3cc223e4ff7150339a00cdd348402709b"/>
    <w:p>
      <w:pPr>
        <w:pStyle w:val="Heading2"/>
      </w:pPr>
      <w:r>
        <w:t xml:space="preserve">Sierra Leone — Sector 2: Climate and carbon technology (including digital MRV)</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 This pass’s sources come from web search, not from primary documents opened and read in full — see the Environment Limitation note below — so every finding here carries the same unverified status as a</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marker: a named, dated, linked lead, not yet a confirmed source. Nothing in this document may be treated as</w:t>
      </w:r>
      <w:r>
        <w:rPr>
          <w:iCs/>
          <w:i/>
        </w:rPr>
        <w:t xml:space="preserve"> </w:t>
      </w:r>
      <w:r>
        <w:rPr>
          <w:iCs/>
          <w:i/>
        </w:rPr>
        <w:t xml:space="preserve">“</w:t>
      </w:r>
      <w:r>
        <w:rPr>
          <w:iCs/>
          <w:i/>
        </w:rPr>
        <w:t xml:space="preserve">Verified</w:t>
      </w:r>
      <w:r>
        <w:rPr>
          <w:iCs/>
          <w:i/>
        </w:rPr>
        <w:t xml:space="preserve">”</w:t>
      </w:r>
      <w:r>
        <w:rPr>
          <w:iCs/>
          <w:i/>
        </w:rPr>
        <w:t xml:space="preserve"> </w:t>
      </w:r>
      <w:r>
        <w:rPr>
          <w:iCs/>
          <w:i/>
        </w:rPr>
        <w:t xml:space="preserve">in the Source Register, and nothing should enter a client-facing deliverable, until a team member opens each cited link directly, per Stage 4 of the AI-Assisted Research Methodology.</w:t>
      </w:r>
    </w:p>
    <w:p>
      <w:r>
        <w:pict>
          <v:rect style="width:0;height:1.5pt" o:hralign="center" o:hrstd="t" o:hr="t"/>
        </w:pict>
      </w:r>
    </w:p>
    <w:p>
      <w:pPr>
        <w:pStyle w:val="FirstParagraph"/>
      </w:pPr>
      <w:r>
        <w:t xml:space="preserve">PROVENANCE HEADER — applied to every raw output file (per Methodology A.5)</w:t>
      </w:r>
    </w:p>
    <w:p>
      <w:pPr>
        <w:numPr>
          <w:ilvl w:val="0"/>
          <w:numId w:val="1001"/>
        </w:numPr>
        <w:pStyle w:val="Compact"/>
      </w:pPr>
      <w:r>
        <w:t xml:space="preserve">Workstream: WS1 Market and Sector Validation</w:t>
      </w:r>
    </w:p>
    <w:p>
      <w:pPr>
        <w:numPr>
          <w:ilvl w:val="0"/>
          <w:numId w:val="1001"/>
        </w:numPr>
        <w:pStyle w:val="Compact"/>
      </w:pPr>
      <w:r>
        <w:t xml:space="preserve">Prompt version: WS1-v1.0 — Sector Investability, Sierra Leone</w:t>
      </w:r>
    </w:p>
    <w:p>
      <w:pPr>
        <w:numPr>
          <w:ilvl w:val="0"/>
          <w:numId w:val="1001"/>
        </w:numPr>
        <w:pStyle w:val="Compact"/>
      </w:pPr>
      <w:r>
        <w:t xml:space="preserve">Sector: 2 of 8 — Climate and carbon technology (including digital MRV)</w:t>
      </w:r>
    </w:p>
    <w:p>
      <w:pPr>
        <w:numPr>
          <w:ilvl w:val="0"/>
          <w:numId w:val="1001"/>
        </w:numPr>
        <w:pStyle w:val="Compact"/>
      </w:pPr>
      <w:r>
        <w:t xml:space="preserve">Engine: Claude (this session) — desk research, single-engine pass</w:t>
      </w:r>
    </w:p>
    <w:p>
      <w:pPr>
        <w:numPr>
          <w:ilvl w:val="0"/>
          <w:numId w:val="1001"/>
        </w:numPr>
        <w:pStyle w:val="Compact"/>
      </w:pPr>
      <w:r>
        <w:t xml:space="preserve">Run date: 2026-09-23</w:t>
      </w:r>
    </w:p>
    <w:p>
      <w:pPr>
        <w:numPr>
          <w:ilvl w:val="0"/>
          <w:numId w:val="1001"/>
        </w:numPr>
        <w:pStyle w:val="Compact"/>
      </w:pPr>
      <w:r>
        <w:t xml:space="preserve">Operator: Investment Operations, Smart Impact Consult (smartimpactconsult.com)</w:t>
      </w:r>
    </w:p>
    <w:p>
      <w:pPr>
        <w:numPr>
          <w:ilvl w:val="0"/>
          <w:numId w:val="1001"/>
        </w:numPr>
        <w:pStyle w:val="Compact"/>
      </w:pPr>
      <w:r>
        <w:t xml:space="preserve">Round: 1 of 2 (Stage 1 desk research, formatted for Stage 2/4 human verification)</w:t>
      </w:r>
    </w:p>
    <w:p>
      <w:pPr>
        <w:numPr>
          <w:ilvl w:val="0"/>
          <w:numId w:val="1001"/>
        </w:numPr>
        <w:pStyle w:val="Compact"/>
      </w:pPr>
      <w:r>
        <w:t xml:space="preserve">Archive path: /Research_Archive/WS1/WS1-v1.0_Claude_Sector02-ClimateCarbon_20260923.md</w:t>
      </w:r>
    </w:p>
    <w:p>
      <w:pPr>
        <w:numPr>
          <w:ilvl w:val="0"/>
          <w:numId w:val="1001"/>
        </w:numPr>
        <w:pStyle w:val="Compact"/>
      </w:pPr>
      <w:r>
        <w:t xml:space="preserve">Linked to: claude_B1.docx,</w:t>
      </w:r>
      <w:r>
        <w:t xml:space="preserve"> </w:t>
      </w:r>
      <w:r>
        <w:t xml:space="preserve">“</w:t>
      </w:r>
      <w:r>
        <w:t xml:space="preserve">Sector 2 — Climate and carbon technology (including digital MRV)</w:t>
      </w:r>
      <w:r>
        <w:t xml:space="preserve">”</w:t>
      </w:r>
      <w:r>
        <w:t xml:space="preserve"> </w:t>
      </w:r>
      <w:r>
        <w:t xml:space="preserve">section (currently thin — one bullet under Part 1,</w:t>
      </w:r>
      <w:r>
        <w:t xml:space="preserve"> </w:t>
      </w:r>
      <w:r>
        <w:t xml:space="preserve">“</w:t>
      </w:r>
      <w:r>
        <w:t xml:space="preserve">no reliable data identified</w:t>
      </w:r>
      <w:r>
        <w:t xml:space="preserve">”</w:t>
      </w:r>
      <w:r>
        <w:t xml:space="preserve"> </w:t>
      </w:r>
      <w:r>
        <w:t xml:space="preserve">for Parts 3–8)</w:t>
      </w:r>
    </w:p>
    <w:p>
      <w:pPr>
        <w:pStyle w:val="FirstParagraph"/>
      </w:pPr>
      <w:r>
        <w:rPr>
          <w:bCs/>
          <w:b/>
        </w:rPr>
        <w:t xml:space="preserve">Environment limitation — read before using this output.</w:t>
      </w:r>
      <w:r>
        <w:t xml:space="preserve"> </w:t>
      </w:r>
      <w:r>
        <w:t xml:space="preserve">In this session, the WebFetch tool used to open and read primary sources directly was blocked by network egress policy for every domain tested, including government (epa.gov.sl, unfccc.int), multilateral (openknowledge.worldbank.org), and even reference sites (en.wikipedia.org) — not a selective block on any one publisher. WebSearch (which returns titled snippets and source URLs, not full page content) remained available and is the sole basis for every finding below. This means Stage 4’s first rule —</w:t>
      </w:r>
      <w:r>
        <w:t xml:space="preserve"> </w:t>
      </w:r>
      <w:r>
        <w:t xml:space="preserve">“</w:t>
      </w:r>
      <w:r>
        <w:t xml:space="preserve">open every citation</w:t>
      </w:r>
      <w:r>
        <w:t xml:space="preserve">”</w:t>
      </w:r>
      <w:r>
        <w:t xml:space="preserve"> </w:t>
      </w:r>
      <w:r>
        <w:t xml:space="preserve">— could not be performed in this session. Every source below is therefore carried at the same status as the</w:t>
      </w:r>
      <w:r>
        <w:t xml:space="preserve"> </w:t>
      </w:r>
      <w:r>
        <w:t xml:space="preserve">“</w:t>
      </w:r>
      <w:r>
        <w:t xml:space="preserve">†</w:t>
      </w:r>
      <w:r>
        <w:t xml:space="preserve">”</w:t>
      </w:r>
      <w:r>
        <w:t xml:space="preserve"> </w:t>
      </w:r>
      <w:r>
        <w:t xml:space="preserve">markers in the existing claude_B1.docx: a named, dated, linked source that has not yet been opened and read in full by a team member. Nothing here should enter a gate pack or the Source Register as</w:t>
      </w:r>
      <w:r>
        <w:t xml:space="preserve"> </w:t>
      </w:r>
      <w:r>
        <w:t xml:space="preserve">“</w:t>
      </w:r>
      <w:r>
        <w:t xml:space="preserve">Verified</w:t>
      </w:r>
      <w:r>
        <w:t xml:space="preserve">”</w:t>
      </w:r>
      <w:r>
        <w:t xml:space="preserve"> </w:t>
      </w:r>
      <w:r>
        <w:t xml:space="preserve">until someone opens each link directly. Contradictions and gaps are flagged the same way Stage 2 requires.</w:t>
      </w:r>
    </w:p>
    <w:p>
      <w:r>
        <w:pict>
          <v:rect style="width:0;height:1.5pt" o:hralign="center" o:hrstd="t" o:hr="t"/>
        </w:pict>
      </w:r>
    </w:p>
    <w:bookmarkEnd w:id="21"/>
    <w:bookmarkEnd w:id="22"/>
    <w:bookmarkStart w:id="65" w:name="Xfffa97aca20faa11df6f1e670bc256a83d368ca"/>
    <w:p>
      <w:pPr>
        <w:pStyle w:val="Heading1"/>
      </w:pPr>
      <w:r>
        <w:t xml:space="preserve">Sector 2 — Climate and carbon technology (including digital MRV)</w:t>
      </w:r>
    </w:p>
    <w:bookmarkStart w:id="37" w:name="part-1-market-structure-and-size"/>
    <w:p>
      <w:pPr>
        <w:pStyle w:val="Heading2"/>
      </w:pPr>
      <w:r>
        <w:t xml:space="preserve">Part 1 — Market structure and size</w:t>
      </w:r>
    </w:p>
    <w:p>
      <w:pPr>
        <w:numPr>
          <w:ilvl w:val="0"/>
          <w:numId w:val="1002"/>
        </w:numPr>
      </w:pPr>
      <w:r>
        <w:rPr>
          <w:bCs/>
          <w:b/>
        </w:rPr>
        <w:t xml:space="preserve">No reliable data identified</w:t>
      </w:r>
      <w:r>
        <w:t xml:space="preserve"> </w:t>
      </w:r>
      <w:r>
        <w:t xml:space="preserve">on a</w:t>
      </w:r>
      <w:r>
        <w:t xml:space="preserve"> </w:t>
      </w:r>
      <w:r>
        <w:t xml:space="preserve">“</w:t>
      </w:r>
      <w:r>
        <w:t xml:space="preserve">climate and carbon technology</w:t>
      </w:r>
      <w:r>
        <w:t xml:space="preserve">”</w:t>
      </w:r>
      <w:r>
        <w:t xml:space="preserve"> </w:t>
      </w:r>
      <w:r>
        <w:t xml:space="preserve">sector as a discrete line item in any Sierra Leonean national statistic — Statistics Sierra Leone does not measure it separately, and none of the searches below surfaced a GDP or employment contribution figure specific to this sector. The sector is better described, on current evidence, as a small number of individual carbon-credit</w:t>
      </w:r>
      <w:r>
        <w:t xml:space="preserve"> </w:t>
      </w:r>
      <w:r>
        <w:rPr>
          <w:iCs/>
          <w:i/>
        </w:rPr>
        <w:t xml:space="preserve">projects</w:t>
      </w:r>
      <w:r>
        <w:t xml:space="preserve"> </w:t>
      </w:r>
      <w:r>
        <w:t xml:space="preserve">rather than a measurable market.</w:t>
      </w:r>
    </w:p>
    <w:p>
      <w:pPr>
        <w:numPr>
          <w:ilvl w:val="0"/>
          <w:numId w:val="1002"/>
        </w:numPr>
      </w:pPr>
      <w:r>
        <w:rPr>
          <w:bCs/>
          <w:b/>
        </w:rPr>
        <w:t xml:space="preserve">Three evidenced carbon-credit projects/developers operate in Sierra Leone</w:t>
      </w:r>
      <w:r>
        <w:t xml:space="preserve">, each larger and more distinct than the single</w:t>
      </w:r>
      <w:r>
        <w:t xml:space="preserve"> </w:t>
      </w:r>
      <w:r>
        <w:t xml:space="preserve">“</w:t>
      </w:r>
      <w:r>
        <w:t xml:space="preserve">Gola only</w:t>
      </w:r>
      <w:r>
        <w:t xml:space="preserve">”</w:t>
      </w:r>
      <w:r>
        <w:t xml:space="preserve"> </w:t>
      </w:r>
      <w:r>
        <w:t xml:space="preserve">picture in the current draft:</w:t>
      </w:r>
    </w:p>
    <w:p>
      <w:pPr>
        <w:numPr>
          <w:ilvl w:val="1"/>
          <w:numId w:val="1003"/>
        </w:numPr>
        <w:pStyle w:val="Compact"/>
      </w:pPr>
      <w:r>
        <w:rPr>
          <w:bCs/>
          <w:b/>
        </w:rPr>
        <w:t xml:space="preserve">Gola Rainforest REDD+</w:t>
      </w:r>
      <w:r>
        <w:t xml:space="preserve"> </w:t>
      </w:r>
      <w:r>
        <w:t xml:space="preserve">— Sierra Leone’s first REDD+ national park project, certified 2015, run through a non-profit company limited by guarantee jointly owned by the RSPB, the Conservation Society of Sierra Leone and the National Protected Area Authority. Cumulative revenue</w:t>
      </w:r>
      <w:r>
        <w:t xml:space="preserve"> </w:t>
      </w:r>
      <w:r>
        <w:t xml:space="preserve">“</w:t>
      </w:r>
      <w:r>
        <w:t xml:space="preserve">over £10 million</w:t>
      </w:r>
      <w:r>
        <w:t xml:space="preserve">”</w:t>
      </w:r>
      <w:r>
        <w:t xml:space="preserve"> </w:t>
      </w:r>
      <w:r>
        <w:t xml:space="preserve">is cited by RSPB-linked reporting, though the underlying report was not opened directly in this session.</w:t>
      </w:r>
      <w:r>
        <w:t xml:space="preserve"> </w:t>
      </w:r>
      <w:hyperlink r:id="rId23">
        <w:r>
          <w:rPr>
            <w:rStyle w:val="Hyperlink"/>
          </w:rPr>
          <w:t xml:space="preserve">RSPB / Trillion Trees</w:t>
        </w:r>
      </w:hyperlink>
      <w:r>
        <w:t xml:space="preserve">;</w:t>
      </w:r>
      <w:r>
        <w:t xml:space="preserve"> </w:t>
      </w:r>
      <w:hyperlink r:id="rId24">
        <w:r>
          <w:rPr>
            <w:rStyle w:val="Hyperlink"/>
          </w:rPr>
          <w:t xml:space="preserve">Conservation Society of Sierra Leone</w:t>
        </w:r>
      </w:hyperlink>
      <w:r>
        <w:t xml:space="preserve"> </w:t>
      </w:r>
      <w:r>
        <w:t xml:space="preserve">—</w:t>
      </w:r>
      <w:r>
        <w:t xml:space="preserve"> </w:t>
      </w:r>
      <w:r>
        <w:rPr>
          <w:bCs/>
          <w:b/>
        </w:rPr>
        <w:t xml:space="preserve">†, not yet opened</w:t>
      </w:r>
      <w:r>
        <w:t xml:space="preserve">.</w:t>
      </w:r>
    </w:p>
    <w:p>
      <w:pPr>
        <w:numPr>
          <w:ilvl w:val="1"/>
          <w:numId w:val="1003"/>
        </w:numPr>
        <w:pStyle w:val="Compact"/>
      </w:pPr>
      <w:r>
        <w:rPr>
          <w:bCs/>
          <w:b/>
        </w:rPr>
        <w:t xml:space="preserve">Miro Forestry’s carbon-credit line</w:t>
      </w:r>
      <w:r>
        <w:t xml:space="preserve"> </w:t>
      </w:r>
      <w:r>
        <w:t xml:space="preserve">— distinct from, and additional to, Miro’s timber/plywood business already logged under Sector 1 (AgTech). Miro registered a Verified Carbon Standard (VCS/Verra) project in 2021 covering roughly 10,000 ha of plantation, of which about half (~5,000 ha) is credit-eligible, and has issued more than 480,000 credits including credits backdated to 2016. Registration and credit sale were structured by the Swiss consultancy South Pole. Miro states this is</w:t>
      </w:r>
      <w:r>
        <w:t xml:space="preserve"> </w:t>
      </w:r>
      <w:r>
        <w:t xml:space="preserve">“</w:t>
      </w:r>
      <w:r>
        <w:t xml:space="preserve">one of the largest volumes of Verified Carbon Standard (VCS) Credits on the African continent.</w:t>
      </w:r>
      <w:r>
        <w:t xml:space="preserve">”</w:t>
      </w:r>
      <w:r>
        <w:t xml:space="preserve"> </w:t>
      </w:r>
      <w:hyperlink r:id="rId25">
        <w:r>
          <w:rPr>
            <w:rStyle w:val="Hyperlink"/>
          </w:rPr>
          <w:t xml:space="preserve">Miro Forestry</w:t>
        </w:r>
      </w:hyperlink>
      <w:r>
        <w:t xml:space="preserve"> </w:t>
      </w:r>
      <w:r>
        <w:t xml:space="preserve">—</w:t>
      </w:r>
      <w:r>
        <w:t xml:space="preserve"> </w:t>
      </w:r>
      <w:r>
        <w:rPr>
          <w:bCs/>
          <w:b/>
        </w:rPr>
        <w:t xml:space="preserve">†, blocked in this session, not opened</w:t>
      </w:r>
      <w:r>
        <w:t xml:space="preserve">; corroborating figures via</w:t>
      </w:r>
      <w:r>
        <w:t xml:space="preserve"> </w:t>
      </w:r>
      <w:hyperlink r:id="rId26">
        <w:r>
          <w:rPr>
            <w:rStyle w:val="Hyperlink"/>
          </w:rPr>
          <w:t xml:space="preserve">REDD Monitor</w:t>
        </w:r>
      </w:hyperlink>
      <w:r>
        <w:t xml:space="preserve"> </w:t>
      </w:r>
      <w:r>
        <w:t xml:space="preserve">and</w:t>
      </w:r>
      <w:r>
        <w:t xml:space="preserve"> </w:t>
      </w:r>
      <w:hyperlink r:id="rId27">
        <w:r>
          <w:rPr>
            <w:rStyle w:val="Hyperlink"/>
          </w:rPr>
          <w:t xml:space="preserve">Eurasia Review</w:t>
        </w:r>
      </w:hyperlink>
      <w:r>
        <w:t xml:space="preserve">, September 2026.</w:t>
      </w:r>
    </w:p>
    <w:p>
      <w:pPr>
        <w:numPr>
          <w:ilvl w:val="1"/>
          <w:numId w:val="1003"/>
        </w:numPr>
        <w:pStyle w:val="Compact"/>
      </w:pPr>
      <w:r>
        <w:rPr>
          <w:bCs/>
          <w:b/>
        </w:rPr>
        <w:t xml:space="preserve">West Africa Blue — Sherbro River Estuary blue carbon project</w:t>
      </w:r>
      <w:r>
        <w:t xml:space="preserve"> </w:t>
      </w:r>
      <w:r>
        <w:t xml:space="preserve">— a Freetown-based, community-centric blue-carbon developer. Its flagship project covers roughly 92,000–94,000 ha of mangrove across 11 chiefdoms in the Sherbro River Estuary, with a potential to abate more than 9 million tCO2e over 30 years (an average of roughly 300,000 tCO2e/year once mature — comparable in scale to Gola). FSD Africa Investments (FSDAi) committed</w:t>
      </w:r>
      <w:r>
        <w:t xml:space="preserve"> </w:t>
      </w:r>
      <w:r>
        <w:rPr>
          <w:bCs/>
          <w:b/>
        </w:rPr>
        <w:t xml:space="preserve">US$2.5 million</w:t>
      </w:r>
      <w:r>
        <w:t xml:space="preserve"> </w:t>
      </w:r>
      <w:r>
        <w:t xml:space="preserve">to the project, announced 2 July 2025 — FSDAi’s first Nature-Based Solutions investment.</w:t>
      </w:r>
      <w:r>
        <w:t xml:space="preserve"> </w:t>
      </w:r>
      <w:hyperlink r:id="rId28">
        <w:r>
          <w:rPr>
            <w:rStyle w:val="Hyperlink"/>
          </w:rPr>
          <w:t xml:space="preserve">FSD Africa</w:t>
        </w:r>
      </w:hyperlink>
      <w:r>
        <w:t xml:space="preserve">;</w:t>
      </w:r>
      <w:r>
        <w:t xml:space="preserve"> </w:t>
      </w:r>
      <w:hyperlink r:id="rId29">
        <w:r>
          <w:rPr>
            <w:rStyle w:val="Hyperlink"/>
          </w:rPr>
          <w:t xml:space="preserve">West Africa Blue</w:t>
        </w:r>
      </w:hyperlink>
      <w:r>
        <w:t xml:space="preserve"> </w:t>
      </w:r>
      <w:r>
        <w:t xml:space="preserve">—</w:t>
      </w:r>
      <w:r>
        <w:t xml:space="preserve"> </w:t>
      </w:r>
      <w:r>
        <w:rPr>
          <w:bCs/>
          <w:b/>
        </w:rPr>
        <w:t xml:space="preserve">†, not opened directly</w:t>
      </w:r>
      <w:r>
        <w:t xml:space="preserve">.</w:t>
      </w:r>
    </w:p>
    <w:p>
      <w:pPr>
        <w:numPr>
          <w:ilvl w:val="0"/>
          <w:numId w:val="1002"/>
        </w:numPr>
      </w:pPr>
      <w:r>
        <w:rPr>
          <w:bCs/>
          <w:b/>
        </w:rPr>
        <w:t xml:space="preserve">No reliable data identified</w:t>
      </w:r>
      <w:r>
        <w:t xml:space="preserve"> </w:t>
      </w:r>
      <w:r>
        <w:t xml:space="preserve">on a Sierra Leone-based digital MRV (monitoring, reporting, verification) software company. MRV, remote sensing and credit-accounting work on all three evidenced projects is performed by foreign specialists (South Pole for Miro; Verra/Gold Standard as the certifying bodies for all projects). Global MRV vendors exist (e.g., Nadar.earth, Carbonfuture, Gold Standard’s own pilot digital-MRV tool) but none was evidenced as active in Sierra Leone specifically.</w:t>
      </w:r>
      <w:r>
        <w:t xml:space="preserve"> </w:t>
      </w:r>
      <w:hyperlink r:id="rId30">
        <w:r>
          <w:rPr>
            <w:rStyle w:val="Hyperlink"/>
          </w:rPr>
          <w:t xml:space="preserve">Naturetechmemos,</w:t>
        </w:r>
        <w:r>
          <w:rPr>
            <w:rStyle w:val="Hyperlink"/>
          </w:rPr>
          <w:t xml:space="preserve"> </w:t>
        </w:r>
        <w:r>
          <w:rPr>
            <w:rStyle w:val="Hyperlink"/>
          </w:rPr>
          <w:t xml:space="preserve">“</w:t>
        </w:r>
        <w:r>
          <w:rPr>
            <w:rStyle w:val="Hyperlink"/>
          </w:rPr>
          <w:t xml:space="preserve">Top 10 MRV Startups,</w:t>
        </w:r>
        <w:r>
          <w:rPr>
            <w:rStyle w:val="Hyperlink"/>
          </w:rPr>
          <w:t xml:space="preserve">”</w:t>
        </w:r>
        <w:r>
          <w:rPr>
            <w:rStyle w:val="Hyperlink"/>
          </w:rPr>
          <w:t xml:space="preserve"> </w:t>
        </w:r>
        <w:r>
          <w:rPr>
            <w:rStyle w:val="Hyperlink"/>
          </w:rPr>
          <w:t xml:space="preserve">2025</w:t>
        </w:r>
      </w:hyperlink>
      <w:r>
        <w:t xml:space="preserve">;</w:t>
      </w:r>
      <w:r>
        <w:t xml:space="preserve"> </w:t>
      </w:r>
      <w:hyperlink r:id="rId31">
        <w:r>
          <w:rPr>
            <w:rStyle w:val="Hyperlink"/>
          </w:rPr>
          <w:t xml:space="preserve">Carbon Pulse, Gold Standard digital MRV pilot call</w:t>
        </w:r>
      </w:hyperlink>
      <w:r>
        <w:t xml:space="preserve"> </w:t>
      </w:r>
      <w:r>
        <w:t xml:space="preserve">— neither names a Sierra Leonean participant.</w:t>
      </w:r>
    </w:p>
    <w:p>
      <w:pPr>
        <w:numPr>
          <w:ilvl w:val="0"/>
          <w:numId w:val="1002"/>
        </w:numPr>
      </w:pPr>
      <w:r>
        <w:rPr>
          <w:bCs/>
          <w:b/>
        </w:rPr>
        <w:t xml:space="preserve">Adjacent climate-tech (not carbon credits): mini-grid/renewable energy.</w:t>
      </w:r>
      <w:r>
        <w:t xml:space="preserve"> </w:t>
      </w:r>
      <w:r>
        <w:t xml:space="preserve">This is worth flagging because it is the only</w:t>
      </w:r>
      <w:r>
        <w:t xml:space="preserve"> </w:t>
      </w:r>
      <w:r>
        <w:rPr>
          <w:iCs/>
          <w:i/>
        </w:rPr>
        <w:t xml:space="preserve">revenue-generating private company</w:t>
      </w:r>
      <w:r>
        <w:t xml:space="preserve"> </w:t>
      </w:r>
      <w:r>
        <w:t xml:space="preserve">evidenced in the sector on a repeatable, non-project-finance basis.</w:t>
      </w:r>
      <w:r>
        <w:t xml:space="preserve"> </w:t>
      </w:r>
      <w:r>
        <w:rPr>
          <w:bCs/>
          <w:b/>
        </w:rPr>
        <w:t xml:space="preserve">Energicity (SL) Limited (trading as Power Leone)</w:t>
      </w:r>
      <w:r>
        <w:t xml:space="preserve"> </w:t>
      </w:r>
      <w:r>
        <w:t xml:space="preserve">operates Sierra Leone’s first mini-grid funded through Sustainable Energy for All’s Universal Energy Facility, delivering a 27kWp solar PV + 85kWh battery system to the town of Borup on 7 June 2024, with 150 connections serving about 1,300 people.</w:t>
      </w:r>
      <w:r>
        <w:t xml:space="preserve"> </w:t>
      </w:r>
      <w:hyperlink r:id="rId32">
        <w:r>
          <w:rPr>
            <w:rStyle w:val="Hyperlink"/>
          </w:rPr>
          <w:t xml:space="preserve">SEforALL</w:t>
        </w:r>
      </w:hyperlink>
      <w:r>
        <w:t xml:space="preserve"> </w:t>
      </w:r>
      <w:r>
        <w:t xml:space="preserve">—</w:t>
      </w:r>
      <w:r>
        <w:t xml:space="preserve"> </w:t>
      </w:r>
      <w:r>
        <w:rPr>
          <w:bCs/>
          <w:b/>
        </w:rPr>
        <w:t xml:space="preserve">†</w:t>
      </w:r>
      <w:r>
        <w:t xml:space="preserve">. This sits inside a larger EU-funded programme: the SOGREA initiative (€22 million catalytic facility for private mini-grid developers, implemented by UNOPS) and a separate €20 million EU-funded Results-Based Financing mechanism targeting 35,000 newly electrified households, with a portfolio of 17 mini-grids expected operational by 2025.</w:t>
      </w:r>
      <w:r>
        <w:t xml:space="preserve"> </w:t>
      </w:r>
      <w:hyperlink r:id="rId33">
        <w:r>
          <w:rPr>
            <w:rStyle w:val="Hyperlink"/>
          </w:rPr>
          <w:t xml:space="preserve">SEforALL, SOGREA</w:t>
        </w:r>
      </w:hyperlink>
      <w:r>
        <w:t xml:space="preserve">;</w:t>
      </w:r>
      <w:r>
        <w:t xml:space="preserve"> </w:t>
      </w:r>
      <w:hyperlink r:id="rId34">
        <w:r>
          <w:rPr>
            <w:rStyle w:val="Hyperlink"/>
          </w:rPr>
          <w:t xml:space="preserve">SEforALL, RBF mechanism</w:t>
        </w:r>
      </w:hyperlink>
      <w:r>
        <w:t xml:space="preserve"> </w:t>
      </w:r>
      <w:r>
        <w:t xml:space="preserve">—</w:t>
      </w:r>
      <w:r>
        <w:t xml:space="preserve"> </w:t>
      </w:r>
      <w:r>
        <w:rPr>
          <w:bCs/>
          <w:b/>
        </w:rPr>
        <w:t xml:space="preserve">†</w:t>
      </w:r>
      <w:r>
        <w:t xml:space="preserve">. Whether to score this under WS1 Sector 2 or treat it as energy infrastructure (outside the eight sectors as scoped) is a Stage 2 scoping question for the team.</w:t>
      </w:r>
    </w:p>
    <w:p>
      <w:pPr>
        <w:numPr>
          <w:ilvl w:val="0"/>
          <w:numId w:val="1002"/>
        </w:numPr>
      </w:pPr>
      <w:r>
        <w:rPr>
          <w:bCs/>
          <w:b/>
        </w:rPr>
        <w:t xml:space="preserve">Growth rate:</w:t>
      </w:r>
      <w:r>
        <w:t xml:space="preserve"> </w:t>
      </w:r>
      <w:r>
        <w:rPr>
          <w:bCs/>
          <w:b/>
        </w:rPr>
        <w:t xml:space="preserve">no reliable Sierra Leone-specific data identified.</w:t>
      </w:r>
      <w:r>
        <w:t xml:space="preserve"> </w:t>
      </w:r>
      <w:r>
        <w:t xml:space="preserve">As</w:t>
      </w:r>
      <w:r>
        <w:t xml:space="preserve"> </w:t>
      </w:r>
      <w:r>
        <w:rPr>
          <w:bCs/>
          <w:b/>
        </w:rPr>
        <w:t xml:space="preserve">regional/global proxy</w:t>
      </w:r>
      <w:r>
        <w:t xml:space="preserve">: the global voluntary carbon market (VCM) — the market these SL projects sell into — fell from roughly USD 2 billion (2022) to USD 723 million (2023) to USD 535 million (2024), a further ~25% year-on-year decline, driven by buyer doubts about credit integrity.</w:t>
      </w:r>
      <w:r>
        <w:t xml:space="preserve"> </w:t>
      </w:r>
      <w:hyperlink r:id="rId35">
        <w:r>
          <w:rPr>
            <w:rStyle w:val="Hyperlink"/>
          </w:rPr>
          <w:t xml:space="preserve">Mongabay,</w:t>
        </w:r>
        <w:r>
          <w:rPr>
            <w:rStyle w:val="Hyperlink"/>
          </w:rPr>
          <w:t xml:space="preserve"> </w:t>
        </w:r>
        <w:r>
          <w:rPr>
            <w:rStyle w:val="Hyperlink"/>
          </w:rPr>
          <w:t xml:space="preserve">“</w:t>
        </w:r>
        <w:r>
          <w:rPr>
            <w:rStyle w:val="Hyperlink"/>
          </w:rPr>
          <w:t xml:space="preserve">The state of carbon markets in 2024</w:t>
        </w:r>
        <w:r>
          <w:rPr>
            <w:rStyle w:val="Hyperlink"/>
          </w:rPr>
          <w:t xml:space="preserve">”</w:t>
        </w:r>
      </w:hyperlink>
      <w:r>
        <w:t xml:space="preserve">;</w:t>
      </w:r>
      <w:r>
        <w:t xml:space="preserve"> </w:t>
      </w:r>
      <w:hyperlink r:id="rId36">
        <w:r>
          <w:rPr>
            <w:rStyle w:val="Hyperlink"/>
          </w:rPr>
          <w:t xml:space="preserve">CarbonCredits.com</w:t>
        </w:r>
      </w:hyperlink>
      <w:r>
        <w:t xml:space="preserve"> </w:t>
      </w:r>
      <w:r>
        <w:t xml:space="preserve">—</w:t>
      </w:r>
      <w:r>
        <w:t xml:space="preserve"> </w:t>
      </w:r>
      <w:r>
        <w:rPr>
          <w:bCs/>
          <w:b/>
        </w:rPr>
        <w:t xml:space="preserve">regional/global proxy, †</w:t>
      </w:r>
      <w:r>
        <w:t xml:space="preserve">. This is the market Sierra Leone’s credit revenue is directly exposed to, and it is shrinking, not growing.</w:t>
      </w:r>
    </w:p>
    <w:p>
      <w:pPr>
        <w:numPr>
          <w:ilvl w:val="0"/>
          <w:numId w:val="1002"/>
        </w:numPr>
      </w:pPr>
      <w:r>
        <w:rPr>
          <w:bCs/>
          <w:b/>
        </w:rPr>
        <w:t xml:space="preserve">Formal vs informal:</w:t>
      </w:r>
      <w:r>
        <w:t xml:space="preserve"> </w:t>
      </w:r>
      <w:r>
        <w:t xml:space="preserve">the sector is structurally formal — a carbon credit cannot exist without registry issuance — so there is no informal segment to size, unlike AgTech or fisheries.</w:t>
      </w:r>
    </w:p>
    <w:p>
      <w:pPr>
        <w:numPr>
          <w:ilvl w:val="0"/>
          <w:numId w:val="1002"/>
        </w:numPr>
      </w:pPr>
      <w:r>
        <w:rPr>
          <w:bCs/>
          <w:b/>
        </w:rPr>
        <w:t xml:space="preserve">Registered enterprises:</w:t>
      </w:r>
      <w:r>
        <w:t xml:space="preserve"> </w:t>
      </w:r>
      <w:r>
        <w:t xml:space="preserve">no dedicated Sierra Leonean registry for carbon-project developers exists (or none was evidenced). Effectively three operating entities/vehicles were identified (Gola’s non-profit company, Miro Forestry Developments Ltd, West Africa Blue/Africa Conservation Initiative).</w:t>
      </w:r>
    </w:p>
    <w:p>
      <w:pPr>
        <w:numPr>
          <w:ilvl w:val="0"/>
          <w:numId w:val="1002"/>
        </w:numPr>
      </w:pPr>
      <w:r>
        <w:rPr>
          <w:bCs/>
          <w:b/>
        </w:rPr>
        <w:t xml:space="preserve">Contribution to GDP and employment:</w:t>
      </w:r>
      <w:r>
        <w:t xml:space="preserve"> </w:t>
      </w:r>
      <w:r>
        <w:rPr>
          <w:bCs/>
          <w:b/>
        </w:rPr>
        <w:t xml:space="preserve">no reliable data identified</w:t>
      </w:r>
      <w:r>
        <w:t xml:space="preserve"> </w:t>
      </w:r>
      <w:r>
        <w:t xml:space="preserve">as a discrete figure. Employment evidence is project-level only (see Part 5).</w:t>
      </w:r>
    </w:p>
    <w:bookmarkEnd w:id="37"/>
    <w:bookmarkStart w:id="45" w:name="part-2-the-structural-problem"/>
    <w:p>
      <w:pPr>
        <w:pStyle w:val="Heading2"/>
      </w:pPr>
      <w:r>
        <w:t xml:space="preserve">Part 2 — The structural problem</w:t>
      </w:r>
    </w:p>
    <w:p>
      <w:pPr>
        <w:numPr>
          <w:ilvl w:val="0"/>
          <w:numId w:val="1004"/>
        </w:numPr>
      </w:pPr>
      <w:r>
        <w:rPr>
          <w:bCs/>
          <w:b/>
        </w:rPr>
        <w:t xml:space="preserve">The core problem:</w:t>
      </w:r>
      <w:r>
        <w:t xml:space="preserve"> </w:t>
      </w:r>
      <w:r>
        <w:t xml:space="preserve">Sierra Leone holds a forest and mangrove carbon stock it cannot itself monetise without foreign intermediation. Verification, standard-setting, credit registration and buyer relationships sit almost entirely outside the country — with Verra and Gold Standard (both international NGOs) as certifiers, and South Pole (Zurich) as the structuring agent for at least one major project (Miro). No domestic MRV, verification or credit-structuring capacity was evidenced.</w:t>
      </w:r>
    </w:p>
    <w:p>
      <w:pPr>
        <w:numPr>
          <w:ilvl w:val="0"/>
          <w:numId w:val="1004"/>
        </w:numPr>
      </w:pPr>
      <w:r>
        <w:rPr>
          <w:bCs/>
          <w:b/>
        </w:rPr>
        <w:t xml:space="preserve">Quantification:</w:t>
      </w:r>
      <w:r>
        <w:t xml:space="preserve"> </w:t>
      </w:r>
      <w:r>
        <w:t xml:space="preserve">Sierra Leone lost about 25% of its forest cover over 20 years (LSE Grantham Institute, carried from the Sector 1 AgTech write-up — cross-sector figure).</w:t>
      </w:r>
      <w:r>
        <w:t xml:space="preserve"> </w:t>
      </w:r>
      <w:hyperlink r:id="rId38">
        <w:r>
          <w:rPr>
            <w:rStyle w:val="Hyperlink"/>
          </w:rPr>
          <w:t xml:space="preserve">LSE Grantham</w:t>
        </w:r>
      </w:hyperlink>
      <w:r>
        <w:t xml:space="preserve"> </w:t>
      </w:r>
      <w:r>
        <w:t xml:space="preserve">—</w:t>
      </w:r>
      <w:r>
        <w:t xml:space="preserve"> </w:t>
      </w:r>
      <w:r>
        <w:rPr>
          <w:bCs/>
          <w:b/>
        </w:rPr>
        <w:t xml:space="preserve">†</w:t>
      </w:r>
      <w:r>
        <w:t xml:space="preserve">. Sierra Leone’s NDC 3.0 (October 2025) puts the country’s total climate-finance need at</w:t>
      </w:r>
      <w:r>
        <w:t xml:space="preserve"> </w:t>
      </w:r>
      <w:r>
        <w:rPr>
          <w:bCs/>
          <w:b/>
        </w:rPr>
        <w:t xml:space="preserve">USD 2.974 billion over 2025–2035</w:t>
      </w:r>
      <w:r>
        <w:t xml:space="preserve">, of which USD 1.024 billion (34.4%) is for mitigation — the nearest quantified figure to a</w:t>
      </w:r>
      <w:r>
        <w:t xml:space="preserve"> </w:t>
      </w:r>
      <w:r>
        <w:t xml:space="preserve">“</w:t>
      </w:r>
      <w:r>
        <w:t xml:space="preserve">financing gap,</w:t>
      </w:r>
      <w:r>
        <w:t xml:space="preserve">”</w:t>
      </w:r>
      <w:r>
        <w:t xml:space="preserve"> </w:t>
      </w:r>
      <w:r>
        <w:t xml:space="preserve">though it covers the whole climate agenda, not carbon-market investability specifically.</w:t>
      </w:r>
      <w:r>
        <w:t xml:space="preserve"> </w:t>
      </w:r>
      <w:hyperlink r:id="rId39">
        <w:r>
          <w:rPr>
            <w:rStyle w:val="Hyperlink"/>
          </w:rPr>
          <w:t xml:space="preserve">UNFCCC, Sierra Leone NDC 3.0</w:t>
        </w:r>
      </w:hyperlink>
      <w:r>
        <w:t xml:space="preserve"> </w:t>
      </w:r>
      <w:r>
        <w:t xml:space="preserve">—</w:t>
      </w:r>
      <w:r>
        <w:t xml:space="preserve"> </w:t>
      </w:r>
      <w:r>
        <w:rPr>
          <w:bCs/>
          <w:b/>
        </w:rPr>
        <w:t xml:space="preserve">†, not opened</w:t>
      </w:r>
      <w:r>
        <w:t xml:space="preserve">.</w:t>
      </w:r>
    </w:p>
    <w:p>
      <w:pPr>
        <w:numPr>
          <w:ilvl w:val="0"/>
          <w:numId w:val="1004"/>
        </w:numPr>
      </w:pPr>
      <w:r>
        <w:rPr>
          <w:bCs/>
          <w:b/>
        </w:rPr>
        <w:t xml:space="preserve">Why the problem has persisted:</w:t>
      </w:r>
      <w:r>
        <w:t xml:space="preserve"> </w:t>
      </w:r>
      <w:r>
        <w:t xml:space="preserve">(a) no enacted overarching Climate Change Act as of 2024 — only a sub-legislative carbon-markets regulation exists (see Part 7); (b) Sierra Leone is not expected to be ready to participate in Paris Agreement Article 6 international carbon-market mechanisms until</w:t>
      </w:r>
      <w:r>
        <w:t xml:space="preserve"> </w:t>
      </w:r>
      <w:r>
        <w:t xml:space="preserve">“</w:t>
      </w:r>
      <w:r>
        <w:t xml:space="preserve">next decade,</w:t>
      </w:r>
      <w:r>
        <w:t xml:space="preserve">”</w:t>
      </w:r>
      <w:r>
        <w:t xml:space="preserve"> </w:t>
      </w:r>
      <w:r>
        <w:t xml:space="preserve">i.e. not before roughly 2033, according to carbon-market trade press.</w:t>
      </w:r>
      <w:r>
        <w:t xml:space="preserve"> </w:t>
      </w:r>
      <w:hyperlink r:id="rId40">
        <w:r>
          <w:rPr>
            <w:rStyle w:val="Hyperlink"/>
          </w:rPr>
          <w:t xml:space="preserve">QC Intel,</w:t>
        </w:r>
        <w:r>
          <w:rPr>
            <w:rStyle w:val="Hyperlink"/>
          </w:rPr>
          <w:t xml:space="preserve"> </w:t>
        </w:r>
        <w:r>
          <w:rPr>
            <w:rStyle w:val="Hyperlink"/>
          </w:rPr>
          <w:t xml:space="preserve">“</w:t>
        </w:r>
        <w:r>
          <w:rPr>
            <w:rStyle w:val="Hyperlink"/>
          </w:rPr>
          <w:t xml:space="preserve">Sierra Leone eyes Article 6 but not until next decade</w:t>
        </w:r>
        <w:r>
          <w:rPr>
            <w:rStyle w:val="Hyperlink"/>
          </w:rPr>
          <w:t xml:space="preserve">”</w:t>
        </w:r>
      </w:hyperlink>
      <w:r>
        <w:t xml:space="preserve"> </w:t>
      </w:r>
      <w:r>
        <w:t xml:space="preserve">—</w:t>
      </w:r>
      <w:r>
        <w:t xml:space="preserve"> </w:t>
      </w:r>
      <w:r>
        <w:rPr>
          <w:bCs/>
          <w:b/>
        </w:rPr>
        <w:t xml:space="preserve">†, blocked, not opened</w:t>
      </w:r>
      <w:r>
        <w:t xml:space="preserve">; (c) no domestic remote-sensing/MRV capacity, forcing every project to import it; (d) land tenure is contested (see below), which raises transaction cost and risk for any developer.</w:t>
      </w:r>
    </w:p>
    <w:p>
      <w:pPr>
        <w:numPr>
          <w:ilvl w:val="0"/>
          <w:numId w:val="1004"/>
        </w:numPr>
      </w:pPr>
      <w:r>
        <w:rPr>
          <w:bCs/>
          <w:b/>
        </w:rPr>
        <w:t xml:space="preserve">Where value leaks, and who captures it:</w:t>
      </w:r>
      <w:r>
        <w:t xml:space="preserve"> </w:t>
      </w:r>
      <w:r>
        <w:t xml:space="preserve">structuring, certification and brokerage fees are captured by Verra, Gold Standard and South Pole. On the community side, the evidence is genuinely mixed and contested — this is itself a finding:</w:t>
      </w:r>
    </w:p>
    <w:p>
      <w:pPr>
        <w:numPr>
          <w:ilvl w:val="1"/>
          <w:numId w:val="1005"/>
        </w:numPr>
        <w:pStyle w:val="Compact"/>
      </w:pPr>
      <w:r>
        <w:t xml:space="preserve">The</w:t>
      </w:r>
      <w:r>
        <w:t xml:space="preserve"> </w:t>
      </w:r>
      <w:r>
        <w:rPr>
          <w:bCs/>
          <w:b/>
        </w:rPr>
        <w:t xml:space="preserve">Miro Forestry carbon project</w:t>
      </w:r>
      <w:r>
        <w:t xml:space="preserve"> </w:t>
      </w:r>
      <w:r>
        <w:t xml:space="preserve">is under active scrutiny. A September 2026 investigation into the</w:t>
      </w:r>
      <w:r>
        <w:t xml:space="preserve"> </w:t>
      </w:r>
      <w:r>
        <w:t xml:space="preserve">“</w:t>
      </w:r>
      <w:r>
        <w:t xml:space="preserve">Reforestation of Degraded Lands in Sierra Leone</w:t>
      </w:r>
      <w:r>
        <w:t xml:space="preserve">”</w:t>
      </w:r>
      <w:r>
        <w:t xml:space="preserve"> </w:t>
      </w:r>
      <w:r>
        <w:t xml:space="preserve">project (Tonkolili and Port Loko districts) found land initially requested at 21,000 ha for a 100-year lease, communities reporting thin consultation, land used for subsistence farming treated as</w:t>
      </w:r>
      <w:r>
        <w:t xml:space="preserve"> </w:t>
      </w:r>
      <w:r>
        <w:t xml:space="preserve">“</w:t>
      </w:r>
      <w:r>
        <w:t xml:space="preserve">degraded,</w:t>
      </w:r>
      <w:r>
        <w:t xml:space="preserve">”</w:t>
      </w:r>
      <w:r>
        <w:t xml:space="preserve"> </w:t>
      </w:r>
      <w:r>
        <w:t xml:space="preserve">rents of roughly</w:t>
      </w:r>
      <w:r>
        <w:t xml:space="preserve"> </w:t>
      </w:r>
      <w:r>
        <w:rPr>
          <w:bCs/>
          <w:b/>
        </w:rPr>
        <w:t xml:space="preserve">US$12/ha</w:t>
      </w:r>
      <w:r>
        <w:t xml:space="preserve"> </w:t>
      </w:r>
      <w:r>
        <w:t xml:space="preserve">described by affected communities as inadequate, and women specifically losing access to fruit and firewood gathering and losing voice in negotiations, with payments concentrated among male elders.</w:t>
      </w:r>
      <w:r>
        <w:t xml:space="preserve"> </w:t>
      </w:r>
      <w:hyperlink r:id="rId41">
        <w:r>
          <w:rPr>
            <w:rStyle w:val="Hyperlink"/>
          </w:rPr>
          <w:t xml:space="preserve">Carbon Pulse</w:t>
        </w:r>
      </w:hyperlink>
      <w:r>
        <w:t xml:space="preserve"> </w:t>
      </w:r>
      <w:r>
        <w:t xml:space="preserve">—</w:t>
      </w:r>
      <w:r>
        <w:t xml:space="preserve"> </w:t>
      </w:r>
      <w:r>
        <w:rPr>
          <w:bCs/>
          <w:b/>
        </w:rPr>
        <w:t xml:space="preserve">†, blocked, not opened</w:t>
      </w:r>
      <w:r>
        <w:t xml:space="preserve">; corroborated via</w:t>
      </w:r>
      <w:r>
        <w:t xml:space="preserve"> </w:t>
      </w:r>
      <w:hyperlink r:id="rId26">
        <w:r>
          <w:rPr>
            <w:rStyle w:val="Hyperlink"/>
          </w:rPr>
          <w:t xml:space="preserve">REDD Monitor</w:t>
        </w:r>
      </w:hyperlink>
      <w:r>
        <w:t xml:space="preserve"> </w:t>
      </w:r>
      <w:r>
        <w:t xml:space="preserve">and</w:t>
      </w:r>
      <w:r>
        <w:t xml:space="preserve"> </w:t>
      </w:r>
      <w:hyperlink r:id="rId42">
        <w:r>
          <w:rPr>
            <w:rStyle w:val="Hyperlink"/>
          </w:rPr>
          <w:t xml:space="preserve">farmlandgrab.org</w:t>
        </w:r>
      </w:hyperlink>
      <w:r>
        <w:t xml:space="preserve">.</w:t>
      </w:r>
    </w:p>
    <w:p>
      <w:pPr>
        <w:numPr>
          <w:ilvl w:val="1"/>
          <w:numId w:val="1005"/>
        </w:numPr>
        <w:pStyle w:val="Compact"/>
      </w:pPr>
      <w:r>
        <w:t xml:space="preserve">By contrast,</w:t>
      </w:r>
      <w:r>
        <w:t xml:space="preserve"> </w:t>
      </w:r>
      <w:r>
        <w:rPr>
          <w:bCs/>
          <w:b/>
        </w:rPr>
        <w:t xml:space="preserve">West Africa Blue’s Sherbro project</w:t>
      </w:r>
      <w:r>
        <w:t xml:space="preserve"> </w:t>
      </w:r>
      <w:r>
        <w:t xml:space="preserve">— the newer entrant — has structured a benefit-sharing agreement, signed by more than 220 communities in Sittia Chiefdom in partnership with the Africa Conservation Initiative (ACI), that commits</w:t>
      </w:r>
      <w:r>
        <w:t xml:space="preserve"> </w:t>
      </w:r>
      <w:r>
        <w:rPr>
          <w:bCs/>
          <w:b/>
        </w:rPr>
        <w:t xml:space="preserve">40% of gross revenue</w:t>
      </w:r>
      <w:r>
        <w:t xml:space="preserve"> </w:t>
      </w:r>
      <w:r>
        <w:t xml:space="preserve">to communities, free-prior-informed-consent standards, transparency on buyers and pricing, and a jointly owned revenue-distribution company with communities in a</w:t>
      </w:r>
      <w:r>
        <w:t xml:space="preserve"> </w:t>
      </w:r>
      <w:r>
        <w:t xml:space="preserve">“</w:t>
      </w:r>
      <w:r>
        <w:t xml:space="preserve">leadership role</w:t>
      </w:r>
      <w:r>
        <w:t xml:space="preserve">”</w:t>
      </w:r>
      <w:r>
        <w:t xml:space="preserve"> </w:t>
      </w:r>
      <w:r>
        <w:t xml:space="preserve">in stewardship. Namati (a grassroots legal-empowerment NGO, also the drafter of Sierra Leone’s 2022 land laws — see Part 7) supported communities through the negotiation.</w:t>
      </w:r>
      <w:r>
        <w:t xml:space="preserve"> </w:t>
      </w:r>
      <w:hyperlink r:id="rId43">
        <w:r>
          <w:rPr>
            <w:rStyle w:val="Hyperlink"/>
          </w:rPr>
          <w:t xml:space="preserve">Mongabay, November 2025</w:t>
        </w:r>
      </w:hyperlink>
      <w:r>
        <w:t xml:space="preserve">;</w:t>
      </w:r>
      <w:r>
        <w:t xml:space="preserve"> </w:t>
      </w:r>
      <w:hyperlink r:id="rId44">
        <w:r>
          <w:rPr>
            <w:rStyle w:val="Hyperlink"/>
          </w:rPr>
          <w:t xml:space="preserve">Carbon Market Watch, December 2025</w:t>
        </w:r>
      </w:hyperlink>
      <w:r>
        <w:t xml:space="preserve"> </w:t>
      </w:r>
      <w:r>
        <w:t xml:space="preserve">—</w:t>
      </w:r>
      <w:r>
        <w:t xml:space="preserve"> </w:t>
      </w:r>
      <w:r>
        <w:rPr>
          <w:bCs/>
          <w:b/>
        </w:rPr>
        <w:t xml:space="preserve">†, both blocked, not opened</w:t>
      </w:r>
      <w:r>
        <w:t xml:space="preserve">.</w:t>
      </w:r>
    </w:p>
    <w:p>
      <w:pPr>
        <w:numPr>
          <w:ilvl w:val="1"/>
          <w:numId w:val="1005"/>
        </w:numPr>
        <w:pStyle w:val="Compact"/>
      </w:pPr>
      <w:r>
        <w:t xml:space="preserve">These two contemporaneous, opposite findings — one project under investigation for extractive terms, the other held up as a model — is itself the central fact for Stage 2: value capture in this sector is not settled by geography or sector alone, it is a function of individual deal structuring, and any investment thesis needs a benefit-sharing and FPIC due-diligence standard, not just a sector screen.</w:t>
      </w:r>
    </w:p>
    <w:bookmarkEnd w:id="45"/>
    <w:bookmarkStart w:id="46" w:name="part-3-is-this-sector-investable-now"/>
    <w:p>
      <w:pPr>
        <w:pStyle w:val="Heading2"/>
      </w:pPr>
      <w:r>
        <w:t xml:space="preserve">Part 3 — Is this sector investable now?</w:t>
      </w:r>
    </w:p>
    <w:p>
      <w:pPr>
        <w:numPr>
          <w:ilvl w:val="0"/>
          <w:numId w:val="1006"/>
        </w:numPr>
      </w:pPr>
      <w:r>
        <w:rPr>
          <w:bCs/>
          <w:b/>
        </w:rPr>
        <w:t xml:space="preserve">Revenue-generating entities today:</w:t>
      </w:r>
      <w:r>
        <w:t xml:space="preserve"> </w:t>
      </w:r>
      <w:r>
        <w:t xml:space="preserve">yes, in a narrow, project-finance sense — Gola (REDD+, since 2015, &gt;£10m cumulative per RSPB-linked reporting) and Miro’s carbon line (since 2021 registration, 480,000+ credits issued) are both generating and monetising credits. West Africa Blue is pre-revenue at project level as of the FSDAi announcement (July 2025) but has secured its first outside capital commitment. None of the three is a</w:t>
      </w:r>
      <w:r>
        <w:t xml:space="preserve"> </w:t>
      </w:r>
      <w:r>
        <w:t xml:space="preserve">“</w:t>
      </w:r>
      <w:r>
        <w:t xml:space="preserve">digital MRV</w:t>
      </w:r>
      <w:r>
        <w:t xml:space="preserve">”</w:t>
      </w:r>
      <w:r>
        <w:t xml:space="preserve"> </w:t>
      </w:r>
      <w:r>
        <w:t xml:space="preserve">company in the software/tech sense the prompt asks about —</w:t>
      </w:r>
      <w:r>
        <w:t xml:space="preserve"> </w:t>
      </w:r>
      <w:r>
        <w:rPr>
          <w:bCs/>
          <w:b/>
        </w:rPr>
        <w:t xml:space="preserve">no reliable data identified</w:t>
      </w:r>
      <w:r>
        <w:t xml:space="preserve"> </w:t>
      </w:r>
      <w:r>
        <w:t xml:space="preserve">on a revenue-generating Sierra Leonean digital-MRV or carbon-tech software company.</w:t>
      </w:r>
    </w:p>
    <w:p>
      <w:pPr>
        <w:numPr>
          <w:ilvl w:val="0"/>
          <w:numId w:val="1006"/>
        </w:numPr>
      </w:pPr>
      <w:r>
        <w:rPr>
          <w:bCs/>
          <w:b/>
        </w:rPr>
        <w:t xml:space="preserve">Capital deployed:</w:t>
      </w:r>
      <w:r>
        <w:t xml:space="preserve"> </w:t>
      </w:r>
      <w:r>
        <w:t xml:space="preserve">the clearest evidenced early-stage-style ticket is</w:t>
      </w:r>
      <w:r>
        <w:t xml:space="preserve"> </w:t>
      </w:r>
      <w:r>
        <w:rPr>
          <w:bCs/>
          <w:b/>
        </w:rPr>
        <w:t xml:space="preserve">FSD Africa Investments’ US$2.5 million into West Africa Blue (July 2025)</w:t>
      </w:r>
      <w:r>
        <w:t xml:space="preserve"> </w:t>
      </w:r>
      <w:r>
        <w:t xml:space="preserve">— described as FSDAi’s first Nature-Based Solutions investment.</w:t>
      </w:r>
      <w:r>
        <w:t xml:space="preserve"> </w:t>
      </w:r>
      <w:hyperlink r:id="rId28">
        <w:r>
          <w:rPr>
            <w:rStyle w:val="Hyperlink"/>
          </w:rPr>
          <w:t xml:space="preserve">FSD Africa</w:t>
        </w:r>
      </w:hyperlink>
      <w:r>
        <w:t xml:space="preserve"> </w:t>
      </w:r>
      <w:r>
        <w:t xml:space="preserve">—</w:t>
      </w:r>
      <w:r>
        <w:t xml:space="preserve"> </w:t>
      </w:r>
      <w:r>
        <w:rPr>
          <w:bCs/>
          <w:b/>
        </w:rPr>
        <w:t xml:space="preserve">†</w:t>
      </w:r>
      <w:r>
        <w:t xml:space="preserve">. Beyond this, capital into the sector has been overwhelmingly grant/donor-funded conservation finance (Gola’s DEFRA/Darwin Initiative, Global Conservation Fund, EU and FFEM funding history) rather than investment capital, and the Miro carbon line rides on top of DFC/CDC/AgDevCo equity and debt into Miro’s underlying forestry business (already counted under Sector 1) — the carbon credits are a second monetisation layer on an asset an investor would have backed for timber/plywood reasons regardless.</w:t>
      </w:r>
    </w:p>
    <w:p>
      <w:pPr>
        <w:numPr>
          <w:ilvl w:val="0"/>
          <w:numId w:val="1006"/>
        </w:numPr>
      </w:pPr>
      <w:r>
        <w:rPr>
          <w:bCs/>
          <w:b/>
        </w:rPr>
        <w:t xml:space="preserve">Minimum viable business model:</w:t>
      </w:r>
      <w:r>
        <w:t xml:space="preserve"> </w:t>
      </w:r>
      <w:r>
        <w:t xml:space="preserve">given the absence of domestic MRV capacity and a near-term Article 6 framework, the only viable model today is a</w:t>
      </w:r>
      <w:r>
        <w:t xml:space="preserve"> </w:t>
      </w:r>
      <w:r>
        <w:rPr>
          <w:bCs/>
          <w:b/>
        </w:rPr>
        <w:t xml:space="preserve">land-based project developer that imports certification and structuring services</w:t>
      </w:r>
      <w:r>
        <w:t xml:space="preserve"> </w:t>
      </w:r>
      <w:r>
        <w:t xml:space="preserve">(as Miro did via South Pole) — not a standalone technology company. A genuine digital-MRV software business would have, at most, three to four potential domestic customers (the project developers themselves) and no compliance-market buyer, since Sierra Leone has no domestic emissions-trading or offset-mandate scheme. That is not a viable standalone venture at this market size.</w:t>
      </w:r>
    </w:p>
    <w:p>
      <w:pPr>
        <w:numPr>
          <w:ilvl w:val="0"/>
          <w:numId w:val="1006"/>
        </w:numPr>
      </w:pPr>
      <w:r>
        <w:rPr>
          <w:bCs/>
          <w:b/>
        </w:rPr>
        <w:t xml:space="preserve">Venture-scale potential:</w:t>
      </w:r>
      <w:r>
        <w:t xml:space="preserve"> </w:t>
      </w:r>
      <w:r>
        <w:rPr>
          <w:bCs/>
          <w:b/>
        </w:rPr>
        <w:t xml:space="preserve">no</w:t>
      </w:r>
      <w:r>
        <w:t xml:space="preserve"> </w:t>
      </w:r>
      <w:r>
        <w:t xml:space="preserve">on current evidence. All three evidenced projects are structurally project-finance or conservation-finance vehicles with 20–30 year time horizons and revenue tied to a global commodity price that fell ~75% in value terms from 2022 to 2024. This mirrors the Sector 1 (AgTech/forestry) conclusion and reinforces it: Sierra Leone’s two largest</w:t>
      </w:r>
      <w:r>
        <w:t xml:space="preserve"> </w:t>
      </w:r>
      <w:r>
        <w:t xml:space="preserve">“</w:t>
      </w:r>
      <w:r>
        <w:t xml:space="preserve">climate and carbon</w:t>
      </w:r>
      <w:r>
        <w:t xml:space="preserve">”</w:t>
      </w:r>
      <w:r>
        <w:t xml:space="preserve"> </w:t>
      </w:r>
      <w:r>
        <w:t xml:space="preserve">balance sheets (Gola, Miro) are non-profit/project-company structures, not scalable technology businesses.</w:t>
      </w:r>
    </w:p>
    <w:p>
      <w:pPr>
        <w:numPr>
          <w:ilvl w:val="0"/>
          <w:numId w:val="1006"/>
        </w:numPr>
      </w:pPr>
      <w:r>
        <w:rPr>
          <w:bCs/>
          <w:b/>
        </w:rPr>
        <w:t xml:space="preserve">What a company would need to reach US$1M annual revenue:</w:t>
      </w:r>
      <w:r>
        <w:t xml:space="preserve"> </w:t>
      </w:r>
      <w:r>
        <w:t xml:space="preserve">using the 2023–24 avoided-deforestation credit price range of roughly</w:t>
      </w:r>
      <w:r>
        <w:t xml:space="preserve"> </w:t>
      </w:r>
      <w:r>
        <w:rPr>
          <w:bCs/>
          <w:b/>
        </w:rPr>
        <w:t xml:space="preserve">US$3–13 per tonne</w:t>
      </w:r>
      <w:r>
        <w:t xml:space="preserve"> </w:t>
      </w:r>
      <w:hyperlink r:id="rId36">
        <w:r>
          <w:rPr>
            <w:rStyle w:val="Hyperlink"/>
          </w:rPr>
          <w:t xml:space="preserve">CarbonCredits.com, 2024</w:t>
        </w:r>
      </w:hyperlink>
      <w:r>
        <w:t xml:space="preserve"> </w:t>
      </w:r>
      <w:r>
        <w:t xml:space="preserve">—</w:t>
      </w:r>
      <w:r>
        <w:t xml:space="preserve"> </w:t>
      </w:r>
      <w:r>
        <w:rPr>
          <w:bCs/>
          <w:b/>
        </w:rPr>
        <w:t xml:space="preserve">regional/global proxy, †</w:t>
      </w:r>
      <w:r>
        <w:t xml:space="preserve"> </w:t>
      </w:r>
      <w:r>
        <w:t xml:space="preserve">— a project would need to certify and sell</w:t>
      </w:r>
      <w:r>
        <w:t xml:space="preserve"> </w:t>
      </w:r>
      <w:r>
        <w:rPr>
          <w:bCs/>
          <w:b/>
        </w:rPr>
        <w:t xml:space="preserve">roughly 77,000 to 330,000 tCO2e per year</w:t>
      </w:r>
      <w:r>
        <w:t xml:space="preserve">, i.e., a project at or above Gola’s scale (~340,000 tCO2e/year avoided per the Nature Sustainability evaluation already logged in the existing draft). That scale requires tens of thousands of hectares under management and multi-year certification lead time — not something a seed-stage company can build organically; it requires either owning/controlling a large land asset from the outset or aggregating across multiple landholders, which is exactly the aggregation and trust-building problem West Africa Blue and Miro are each attempting in different ways.</w:t>
      </w:r>
    </w:p>
    <w:p>
      <w:pPr>
        <w:numPr>
          <w:ilvl w:val="0"/>
          <w:numId w:val="1006"/>
        </w:numPr>
      </w:pPr>
      <w:r>
        <w:rPr>
          <w:bCs/>
          <w:b/>
        </w:rPr>
        <w:t xml:space="preserve">Exit environment:</w:t>
      </w:r>
      <w:r>
        <w:t xml:space="preserve"> </w:t>
      </w:r>
      <w:r>
        <w:rPr>
          <w:bCs/>
          <w:b/>
        </w:rPr>
        <w:t xml:space="preserve">no reliable data identified</w:t>
      </w:r>
      <w:r>
        <w:t xml:space="preserve"> </w:t>
      </w:r>
      <w:r>
        <w:t xml:space="preserve">on an acquisition or exit of a Sierra Leonean carbon-project developer. Regionally, the closest comparable</w:t>
      </w:r>
      <w:r>
        <w:t xml:space="preserve"> </w:t>
      </w:r>
      <w:r>
        <w:t xml:space="preserve">“</w:t>
      </w:r>
      <w:r>
        <w:t xml:space="preserve">exit</w:t>
      </w:r>
      <w:r>
        <w:t xml:space="preserve">”</w:t>
      </w:r>
      <w:r>
        <w:t xml:space="preserve"> </w:t>
      </w:r>
      <w:r>
        <w:t xml:space="preserve">event is negative: Verra’s suspension of the Kariba REDD+ project in Zimbabwe (see Part 8) resulted in credit cancellation, not a sale. There is no evidenced regional buyer market for African carbon-project developer equity at this scale; the realistic monetisation event for a Sierra Leonean climate/carbon venture is a credit off-take or advance-payment agreement (as LEAF Coalition provides elsewhere), not an equity exit.</w:t>
      </w:r>
    </w:p>
    <w:bookmarkEnd w:id="46"/>
    <w:bookmarkStart w:id="48" w:name="part-4-capital-and-instrument-fit"/>
    <w:p>
      <w:pPr>
        <w:pStyle w:val="Heading2"/>
      </w:pPr>
      <w:r>
        <w:t xml:space="preserve">Part 4 — Capital and instrument fit</w:t>
      </w:r>
    </w:p>
    <w:p>
      <w:pPr>
        <w:numPr>
          <w:ilvl w:val="0"/>
          <w:numId w:val="1007"/>
        </w:numPr>
      </w:pPr>
      <w:r>
        <w:rPr>
          <w:bCs/>
          <w:b/>
        </w:rPr>
        <w:t xml:space="preserve">What is actually needed:</w:t>
      </w:r>
      <w:r>
        <w:t xml:space="preserve"> </w:t>
      </w:r>
      <w:r>
        <w:t xml:space="preserve">grant and technical assistance to build MRV/verification capacity and community benefit-sharing structures; results-based/advance-payment finance against future verified credits (the LEAF Coalition/ART TREES model — see Part 6); and, for the handful of land-controlling developers, project/infrastructure-style equity or quasi-equity (as FSDAi provided). Working-capital debt is a poor fit given multi-year, uncertain credit-issuance timing.</w:t>
      </w:r>
    </w:p>
    <w:p>
      <w:pPr>
        <w:numPr>
          <w:ilvl w:val="0"/>
          <w:numId w:val="1007"/>
        </w:numPr>
      </w:pPr>
      <w:r>
        <w:rPr>
          <w:bCs/>
          <w:b/>
        </w:rPr>
        <w:t xml:space="preserve">Debt service vs equity-only:</w:t>
      </w:r>
      <w:r>
        <w:t xml:space="preserve"> </w:t>
      </w:r>
      <w:r>
        <w:t xml:space="preserve">cash flow is equity-only or grant-only in practice. Credit issuance is lumpy and delayed (Miro’s 2021 registration included credits backdated to 2016 — a five-year lag), which is incompatible with scheduled debt service absent an advance-payment or offtake structure to smooth it.</w:t>
      </w:r>
    </w:p>
    <w:p>
      <w:pPr>
        <w:numPr>
          <w:ilvl w:val="0"/>
          <w:numId w:val="1007"/>
        </w:numPr>
      </w:pPr>
      <w:r>
        <w:rPr>
          <w:bCs/>
          <w:b/>
        </w:rPr>
        <w:t xml:space="preserve">Ticket sizes:</w:t>
      </w:r>
      <w:r>
        <w:t xml:space="preserve"> </w:t>
      </w:r>
      <w:r>
        <w:t xml:space="preserve">the one evidenced ticket, FSDAi’s US$2.5 million into West Africa Blue, is the closest benchmark for what an early-stage-style investor can deploy into this sector in Sierra Leone today. Donor/blended programmes operate an order of magnitude larger (€20–22m for the EU/UNOPS mini-grid programmes) but are not equity into a single investable company.</w:t>
      </w:r>
    </w:p>
    <w:p>
      <w:pPr>
        <w:numPr>
          <w:ilvl w:val="0"/>
          <w:numId w:val="1007"/>
        </w:numPr>
      </w:pPr>
      <w:r>
        <w:rPr>
          <w:bCs/>
          <w:b/>
        </w:rPr>
        <w:t xml:space="preserve">Investors active regionally:</w:t>
      </w:r>
      <w:r>
        <w:t xml:space="preserve"> </w:t>
      </w:r>
      <w:r>
        <w:t xml:space="preserve">FSD Africa Investments (blue carbon, West/East Africa); South Pole (structuring/brokerage, not an investor, and reputationally damaged by the Kariba findings — see Part 8); Verra and Gold Standard (standards bodies, not capital providers); LEAF Coalition/Emergent (results-based finance at the jurisdictional/government level — Ghana and Costa Rica signed at COP28 2023, not yet Sierra Leone).</w:t>
      </w:r>
      <w:r>
        <w:t xml:space="preserve"> </w:t>
      </w:r>
      <w:hyperlink r:id="rId47">
        <w:r>
          <w:rPr>
            <w:rStyle w:val="Hyperlink"/>
          </w:rPr>
          <w:t xml:space="preserve">LEAF Coalition</w:t>
        </w:r>
      </w:hyperlink>
      <w:r>
        <w:t xml:space="preserve"> </w:t>
      </w:r>
      <w:r>
        <w:t xml:space="preserve">—</w:t>
      </w:r>
      <w:r>
        <w:t xml:space="preserve"> </w:t>
      </w:r>
      <w:r>
        <w:rPr>
          <w:bCs/>
          <w:b/>
        </w:rPr>
        <w:t xml:space="preserve">†</w:t>
      </w:r>
      <w:r>
        <w:t xml:space="preserve">.</w:t>
      </w:r>
    </w:p>
    <w:p>
      <w:pPr>
        <w:numPr>
          <w:ilvl w:val="0"/>
          <w:numId w:val="1007"/>
        </w:numPr>
      </w:pPr>
      <w:r>
        <w:rPr>
          <w:bCs/>
          <w:b/>
        </w:rPr>
        <w:t xml:space="preserve">Financing gap:</w:t>
      </w:r>
      <w:r>
        <w:t xml:space="preserve"> </w:t>
      </w:r>
      <w:r>
        <w:rPr>
          <w:bCs/>
          <w:b/>
        </w:rPr>
        <w:t xml:space="preserve">no reliable data identified</w:t>
      </w:r>
      <w:r>
        <w:t xml:space="preserve"> </w:t>
      </w:r>
      <w:r>
        <w:t xml:space="preserve">on a quantified, sector-specific financing gap for Sierra Leonean climate/carbon projects. The nearest figure — NDC 3.0’s USD 1.024 billion mitigation-finance need through 2035 — is economy-wide, not carbon-market-specific, and was not independently opened in this session.</w:t>
      </w:r>
    </w:p>
    <w:bookmarkEnd w:id="48"/>
    <w:bookmarkStart w:id="51" w:name="part-5-employment-and-job-readiness"/>
    <w:p>
      <w:pPr>
        <w:pStyle w:val="Heading2"/>
      </w:pPr>
      <w:r>
        <w:t xml:space="preserve">Part 5 — Employment and job readiness</w:t>
      </w:r>
    </w:p>
    <w:p>
      <w:pPr>
        <w:numPr>
          <w:ilvl w:val="0"/>
          <w:numId w:val="1008"/>
        </w:numPr>
      </w:pPr>
      <w:r>
        <w:rPr>
          <w:bCs/>
          <w:b/>
        </w:rPr>
        <w:t xml:space="preserve">Labour intensity:</w:t>
      </w:r>
      <w:r>
        <w:t xml:space="preserve"> </w:t>
      </w:r>
      <w:r>
        <w:t xml:space="preserve">Gola’s REDD+ vehicle supports more than 160 staff, primarily forest guards and community-liaison roles drawn from forest-edge communities, plus a sustainable cocoa production programme.</w:t>
      </w:r>
      <w:r>
        <w:t xml:space="preserve"> </w:t>
      </w:r>
      <w:hyperlink r:id="rId49">
        <w:r>
          <w:rPr>
            <w:rStyle w:val="Hyperlink"/>
          </w:rPr>
          <w:t xml:space="preserve">Climate Impact Partners</w:t>
        </w:r>
      </w:hyperlink>
      <w:r>
        <w:t xml:space="preserve"> </w:t>
      </w:r>
      <w:r>
        <w:t xml:space="preserve">—</w:t>
      </w:r>
      <w:r>
        <w:t xml:space="preserve"> </w:t>
      </w:r>
      <w:r>
        <w:rPr>
          <w:bCs/>
          <w:b/>
        </w:rPr>
        <w:t xml:space="preserve">†</w:t>
      </w:r>
      <w:r>
        <w:t xml:space="preserve">. West Africa Blue’s Sherbro project spans 11 chiefdoms and 220+ communities, implying broad community-level income participation (via the 40% revenue share) rather than a large concentrated payroll — the employment model here is closer to income diversification than formal job creation.</w:t>
      </w:r>
    </w:p>
    <w:p>
      <w:pPr>
        <w:numPr>
          <w:ilvl w:val="0"/>
          <w:numId w:val="1008"/>
        </w:numPr>
      </w:pPr>
      <w:r>
        <w:rPr>
          <w:bCs/>
          <w:b/>
        </w:rPr>
        <w:t xml:space="preserve">Skills base:</w:t>
      </w:r>
      <w:r>
        <w:t xml:space="preserve"> </w:t>
      </w:r>
      <w:r>
        <w:t xml:space="preserve">digital MRV, remote sensing and carbon accounting are not evidenced as present in Sierra Leone. South Pole (Zurich) was specifically retained for Miro’s registration because this capacity does not exist domestically. Talent is the binding constraint for any</w:t>
      </w:r>
      <w:r>
        <w:t xml:space="preserve"> </w:t>
      </w:r>
      <w:r>
        <w:t xml:space="preserve">“</w:t>
      </w:r>
      <w:r>
        <w:t xml:space="preserve">technology</w:t>
      </w:r>
      <w:r>
        <w:t xml:space="preserve">”</w:t>
      </w:r>
      <w:r>
        <w:t xml:space="preserve"> </w:t>
      </w:r>
      <w:r>
        <w:t xml:space="preserve">layer of this sector; it is not a constraint for forest-guarding and community-stewardship roles, which require training but not specialist technical skills.</w:t>
      </w:r>
    </w:p>
    <w:p>
      <w:pPr>
        <w:numPr>
          <w:ilvl w:val="0"/>
          <w:numId w:val="1008"/>
        </w:numPr>
      </w:pPr>
      <w:r>
        <w:rPr>
          <w:bCs/>
          <w:b/>
        </w:rPr>
        <w:t xml:space="preserve">Gender composition:</w:t>
      </w:r>
      <w:r>
        <w:t xml:space="preserve"> </w:t>
      </w:r>
      <w:r>
        <w:t xml:space="preserve">contested and, on the Miro evidence, poor in practice — women reported losing access to fruit and firewood gathering and losing voice in land negotiations, with payments concentrated among male elders (Carbon Pulse investigation, Sept 2026, † above). Policy has moved to correct this: the</w:t>
      </w:r>
      <w:r>
        <w:t xml:space="preserve"> </w:t>
      </w:r>
      <w:r>
        <w:rPr>
          <w:bCs/>
          <w:b/>
        </w:rPr>
        <w:t xml:space="preserve">Customary Land Rights Act, 2022</w:t>
      </w:r>
      <w:r>
        <w:t xml:space="preserve"> </w:t>
      </w:r>
      <w:r>
        <w:t xml:space="preserve">and</w:t>
      </w:r>
      <w:r>
        <w:t xml:space="preserve"> </w:t>
      </w:r>
      <w:r>
        <w:rPr>
          <w:bCs/>
          <w:b/>
        </w:rPr>
        <w:t xml:space="preserve">National Land Commission Act, 2022</w:t>
      </w:r>
      <w:r>
        <w:t xml:space="preserve"> </w:t>
      </w:r>
      <w:r>
        <w:t xml:space="preserve">legally mandate that local land-use committees be at least 30% women and prohibit denial of land rights on the basis of gender.</w:t>
      </w:r>
      <w:r>
        <w:t xml:space="preserve"> </w:t>
      </w:r>
      <w:hyperlink r:id="rId50">
        <w:r>
          <w:rPr>
            <w:rStyle w:val="Hyperlink"/>
          </w:rPr>
          <w:t xml:space="preserve">Namati</w:t>
        </w:r>
      </w:hyperlink>
      <w:r>
        <w:t xml:space="preserve"> </w:t>
      </w:r>
      <w:r>
        <w:t xml:space="preserve">—</w:t>
      </w:r>
      <w:r>
        <w:t xml:space="preserve"> </w:t>
      </w:r>
      <w:r>
        <w:rPr>
          <w:bCs/>
          <w:b/>
        </w:rPr>
        <w:t xml:space="preserve">†</w:t>
      </w:r>
      <w:r>
        <w:t xml:space="preserve">. West Africa Blue’s FPIC-based benefit-sharing model is the sector’s first evidenced attempt to operationalise this, but it is too new (agreement reported November 2025) to show outcomes.</w:t>
      </w:r>
    </w:p>
    <w:p>
      <w:pPr>
        <w:numPr>
          <w:ilvl w:val="0"/>
          <w:numId w:val="1008"/>
        </w:numPr>
      </w:pPr>
      <w:r>
        <w:rPr>
          <w:bCs/>
          <w:b/>
        </w:rPr>
        <w:t xml:space="preserve">Youth employment potential:</w:t>
      </w:r>
      <w:r>
        <w:t xml:space="preserve"> </w:t>
      </w:r>
      <w:r>
        <w:rPr>
          <w:bCs/>
          <w:b/>
        </w:rPr>
        <w:t xml:space="preserve">no reliable data identified</w:t>
      </w:r>
      <w:r>
        <w:t xml:space="preserve"> </w:t>
      </w:r>
      <w:r>
        <w:t xml:space="preserve">specific to this sector. Forest-guard and mangrove-restoration roles are physically demanding and entry-level, a plausible fit for Sierra Leone’s ~19-year median age, but no youth-specific figures were evidenced.</w:t>
      </w:r>
    </w:p>
    <w:p>
      <w:pPr>
        <w:numPr>
          <w:ilvl w:val="0"/>
          <w:numId w:val="1008"/>
        </w:numPr>
      </w:pPr>
      <w:r>
        <w:rPr>
          <w:bCs/>
          <w:b/>
        </w:rPr>
        <w:t xml:space="preserve">Fastest-creating segments:</w:t>
      </w:r>
      <w:r>
        <w:t xml:space="preserve"> </w:t>
      </w:r>
      <w:r>
        <w:t xml:space="preserve">forest-guarding and mangrove restoration/conservation labour creates jobs and income fastest and at the largest headcount, given West Africa Blue’s 92,000–94,000 ha footprint across 11 chiefdoms. A digital-MRV layer, by contrast, would employ at most a handful of skilled analysts — it is not a jobs lever at Sierra Leone’s current stage of sector development.</w:t>
      </w:r>
    </w:p>
    <w:bookmarkEnd w:id="51"/>
    <w:bookmarkStart w:id="55" w:name="X1fb53e779b6e79c585e3690dd6a2948dcd0c556"/>
    <w:p>
      <w:pPr>
        <w:pStyle w:val="Heading2"/>
      </w:pPr>
      <w:r>
        <w:t xml:space="preserve">Part 6 — Investment innovation and de-risking</w:t>
      </w:r>
    </w:p>
    <w:p>
      <w:pPr>
        <w:numPr>
          <w:ilvl w:val="0"/>
          <w:numId w:val="1009"/>
        </w:numPr>
      </w:pPr>
      <w:r>
        <w:rPr>
          <w:bCs/>
          <w:b/>
        </w:rPr>
        <w:t xml:space="preserve">Mechanisms used elsewhere in Africa:</w:t>
      </w:r>
    </w:p>
    <w:p>
      <w:pPr>
        <w:numPr>
          <w:ilvl w:val="1"/>
          <w:numId w:val="1010"/>
        </w:numPr>
        <w:pStyle w:val="Compact"/>
      </w:pPr>
      <w:r>
        <w:rPr>
          <w:bCs/>
          <w:b/>
        </w:rPr>
        <w:t xml:space="preserve">LEAF Coalition / Architecture for REDD+ Transactions (ART) TREES standard</w:t>
      </w:r>
      <w:r>
        <w:t xml:space="preserve"> </w:t>
      </w:r>
      <w:r>
        <w:t xml:space="preserve">— a public-private jurisdictional results-based finance mechanism, coordinated by Emergent, that has mobilised US$1.5 billion in commitments for tropical forest governments meeting ART’s TREES certification, including advance payments specifically designed to help governments overcome upfront financial and technical barriers. Ghana and Costa Rica became the first countries to sign binding LEAF agreements at COP28 (December 2023), unlocking a reported US$60 million+ of forest finance for Ghana.</w:t>
      </w:r>
      <w:r>
        <w:t xml:space="preserve"> </w:t>
      </w:r>
      <w:hyperlink r:id="rId47">
        <w:r>
          <w:rPr>
            <w:rStyle w:val="Hyperlink"/>
          </w:rPr>
          <w:t xml:space="preserve">LEAF Coalition</w:t>
        </w:r>
      </w:hyperlink>
      <w:r>
        <w:t xml:space="preserve">;</w:t>
      </w:r>
      <w:r>
        <w:t xml:space="preserve"> </w:t>
      </w:r>
      <w:hyperlink r:id="rId52">
        <w:r>
          <w:rPr>
            <w:rStyle w:val="Hyperlink"/>
          </w:rPr>
          <w:t xml:space="preserve">NICFI/COP28 summary</w:t>
        </w:r>
      </w:hyperlink>
      <w:r>
        <w:t xml:space="preserve"> </w:t>
      </w:r>
      <w:r>
        <w:t xml:space="preserve">—</w:t>
      </w:r>
      <w:r>
        <w:t xml:space="preserve"> </w:t>
      </w:r>
      <w:r>
        <w:rPr>
          <w:bCs/>
          <w:b/>
        </w:rPr>
        <w:t xml:space="preserve">†, not opened</w:t>
      </w:r>
      <w:r>
        <w:t xml:space="preserve">.</w:t>
      </w:r>
      <w:r>
        <w:t xml:space="preserve"> </w:t>
      </w:r>
      <w:r>
        <w:rPr>
          <w:bCs/>
          <w:b/>
        </w:rPr>
        <w:t xml:space="preserve">No reliable data identified</w:t>
      </w:r>
      <w:r>
        <w:t xml:space="preserve"> </w:t>
      </w:r>
      <w:r>
        <w:t xml:space="preserve">on any Sierra Leone LEAF/ART engagement to date — this is a clear gap relative to Ghana.</w:t>
      </w:r>
    </w:p>
    <w:p>
      <w:pPr>
        <w:numPr>
          <w:ilvl w:val="1"/>
          <w:numId w:val="1010"/>
        </w:numPr>
        <w:pStyle w:val="Compact"/>
      </w:pPr>
      <w:r>
        <w:rPr>
          <w:bCs/>
          <w:b/>
        </w:rPr>
        <w:t xml:space="preserve">Blended/benefit-sharing structuring at project level</w:t>
      </w:r>
      <w:r>
        <w:t xml:space="preserve"> </w:t>
      </w:r>
      <w:r>
        <w:t xml:space="preserve">— West Africa Blue’s FSDAi-backed, ACI-partnered, Namati-supported benefit-sharing structure is itself a de-risking innovation (reducing community and reputational risk relative to the Miro model) rather than a financial instrument, and is the most Sierra Leone-specific example evidenced.</w:t>
      </w:r>
    </w:p>
    <w:p>
      <w:pPr>
        <w:numPr>
          <w:ilvl w:val="0"/>
          <w:numId w:val="1009"/>
        </w:numPr>
      </w:pPr>
      <w:r>
        <w:rPr>
          <w:bCs/>
          <w:b/>
        </w:rPr>
        <w:t xml:space="preserve">What has demonstrably unlocked follow-on commercial capital:</w:t>
      </w:r>
      <w:r>
        <w:t xml:space="preserve"> </w:t>
      </w:r>
      <w:r>
        <w:t xml:space="preserve">the evidence is for LEAF/ART at the</w:t>
      </w:r>
      <w:r>
        <w:t xml:space="preserve"> </w:t>
      </w:r>
      <w:r>
        <w:rPr>
          <w:iCs/>
          <w:i/>
        </w:rPr>
        <w:t xml:space="preserve">jurisdictional</w:t>
      </w:r>
      <w:r>
        <w:t xml:space="preserve"> </w:t>
      </w:r>
      <w:r>
        <w:t xml:space="preserve">level (government-to-buyer), not at Sierra Leone’s</w:t>
      </w:r>
      <w:r>
        <w:t xml:space="preserve"> </w:t>
      </w:r>
      <w:r>
        <w:rPr>
          <w:iCs/>
          <w:i/>
        </w:rPr>
        <w:t xml:space="preserve">project</w:t>
      </w:r>
      <w:r>
        <w:t xml:space="preserve"> </w:t>
      </w:r>
      <w:r>
        <w:t xml:space="preserve">level. No Sierra Leonean project was evidenced as having used an ART TREES/LEAF-style advance payment to unlock further capital.</w:t>
      </w:r>
    </w:p>
    <w:p>
      <w:pPr>
        <w:numPr>
          <w:ilvl w:val="0"/>
          <w:numId w:val="1009"/>
        </w:numPr>
      </w:pPr>
      <w:r>
        <w:rPr>
          <w:bCs/>
          <w:b/>
        </w:rPr>
        <w:t xml:space="preserve">What would need to be true for a commercial investor to enter without concessional support:</w:t>
      </w:r>
      <w:r>
        <w:t xml:space="preserve"> </w:t>
      </w:r>
      <w:r>
        <w:t xml:space="preserve">(a) an enacted overarching Climate Change Act sitting above the existing 2023 carbon-markets sub-regulation (see Part 7); (b) demonstrated, independently verified credit integrity from Sierra Leone’s own projects, given the Kariba precedent (Part 8) has made buyers and investors newly skeptical of REDD+ credit quality generally; (c) a resolved, consistent answer — via enforcement of the 2022 land laws — on whether FPIC and benefit-sharing are reliably enforced, given the Miro investigation is a live, unresolved case; (d) domestic MRV capacity so verification does not have to be imported at cost and multi-year delay.</w:t>
      </w:r>
    </w:p>
    <w:p>
      <w:pPr>
        <w:numPr>
          <w:ilvl w:val="0"/>
          <w:numId w:val="1009"/>
        </w:numPr>
      </w:pPr>
      <w:r>
        <w:rPr>
          <w:bCs/>
          <w:b/>
        </w:rPr>
        <w:t xml:space="preserve">Insurance, guarantee or offtake instruments available today:</w:t>
      </w:r>
      <w:r>
        <w:t xml:space="preserve"> </w:t>
      </w:r>
      <w:r>
        <w:rPr>
          <w:bCs/>
          <w:b/>
        </w:rPr>
        <w:t xml:space="preserve">no reliable data identified</w:t>
      </w:r>
      <w:r>
        <w:t xml:space="preserve"> </w:t>
      </w:r>
      <w:r>
        <w:t xml:space="preserve">on a carbon-specific guarantee or insurance instrument operating in Sierra Leone. FSDAi’s US$2.5m functions as patient, first-mover blended capital rather than a guarantee. Regional political-risk instruments (MIGA, African Trade Insurance Agency) exist but were not evidenced as applied to a Sierra Leonean carbon project specifically (see WS3 for the general country-risk instrument landscape).</w:t>
      </w:r>
    </w:p>
    <w:p>
      <w:pPr>
        <w:numPr>
          <w:ilvl w:val="0"/>
          <w:numId w:val="1009"/>
        </w:numPr>
      </w:pPr>
      <w:r>
        <w:rPr>
          <w:bCs/>
          <w:b/>
        </w:rPr>
        <w:t xml:space="preserve">Role of technical assistance:</w:t>
      </w:r>
      <w:r>
        <w:t xml:space="preserve"> </w:t>
      </w:r>
      <w:r>
        <w:t xml:space="preserve">the two clearest evidenced TA interventions are (a) South Pole’s role structuring Miro’s VCS registration, and (b) the Cadmus Group carbon-market landscape study commissioned by Invest Salone (field work 2024, published/updated through 2025), which recommended clearer taxation treatment of carbon revenue, wider stakeholder consultation on regulatory decisions, capacity-building, and closer public-private coordination as preconditions for a credible market.</w:t>
      </w:r>
      <w:r>
        <w:t xml:space="preserve"> </w:t>
      </w:r>
      <w:hyperlink r:id="rId53">
        <w:r>
          <w:rPr>
            <w:rStyle w:val="Hyperlink"/>
          </w:rPr>
          <w:t xml:space="preserve">Cadmus Group</w:t>
        </w:r>
      </w:hyperlink>
      <w:r>
        <w:t xml:space="preserve"> </w:t>
      </w:r>
      <w:r>
        <w:t xml:space="preserve">—</w:t>
      </w:r>
      <w:r>
        <w:t xml:space="preserve"> </w:t>
      </w:r>
      <w:r>
        <w:rPr>
          <w:bCs/>
          <w:b/>
        </w:rPr>
        <w:t xml:space="preserve">†, blocked, not opened</w:t>
      </w:r>
      <w:r>
        <w:t xml:space="preserve">; briefing note update via</w:t>
      </w:r>
      <w:r>
        <w:t xml:space="preserve"> </w:t>
      </w:r>
      <w:hyperlink r:id="rId54">
        <w:r>
          <w:rPr>
            <w:rStyle w:val="Hyperlink"/>
          </w:rPr>
          <w:t xml:space="preserve">Invest Salone resource bank</w:t>
        </w:r>
      </w:hyperlink>
      <w:r>
        <w:t xml:space="preserve"> </w:t>
      </w:r>
      <w:r>
        <w:t xml:space="preserve">—</w:t>
      </w:r>
      <w:r>
        <w:t xml:space="preserve"> </w:t>
      </w:r>
      <w:r>
        <w:rPr>
          <w:bCs/>
          <w:b/>
        </w:rPr>
        <w:t xml:space="preserve">†, blocked, not opened</w:t>
      </w:r>
      <w:r>
        <w:t xml:space="preserve">.</w:t>
      </w:r>
    </w:p>
    <w:bookmarkEnd w:id="55"/>
    <w:bookmarkStart w:id="59" w:name="part-7-enabling-environment"/>
    <w:p>
      <w:pPr>
        <w:pStyle w:val="Heading2"/>
      </w:pPr>
      <w:r>
        <w:t xml:space="preserve">Part 7 — Enabling environment</w:t>
      </w:r>
    </w:p>
    <w:p>
      <w:pPr>
        <w:numPr>
          <w:ilvl w:val="0"/>
          <w:numId w:val="1011"/>
        </w:numPr>
      </w:pPr>
      <w:r>
        <w:rPr>
          <w:bCs/>
          <w:b/>
        </w:rPr>
        <w:t xml:space="preserve">Current regulation:</w:t>
      </w:r>
      <w:r>
        <w:t xml:space="preserve"> </w:t>
      </w:r>
      <w:r>
        <w:t xml:space="preserve">the</w:t>
      </w:r>
      <w:r>
        <w:t xml:space="preserve"> </w:t>
      </w:r>
      <w:r>
        <w:rPr>
          <w:bCs/>
          <w:b/>
        </w:rPr>
        <w:t xml:space="preserve">Climate Change (Carbon Markets) Regulations, 2023</w:t>
      </w:r>
      <w:r>
        <w:t xml:space="preserve"> </w:t>
      </w:r>
      <w:r>
        <w:t xml:space="preserve">govern carbon-market activity, administered by a Principal Secretary as national focal point, with a National Registrar maintaining project registers.</w:t>
      </w:r>
      <w:r>
        <w:t xml:space="preserve"> </w:t>
      </w:r>
      <w:hyperlink r:id="rId56">
        <w:r>
          <w:rPr>
            <w:rStyle w:val="Hyperlink"/>
          </w:rPr>
          <w:t xml:space="preserve">Regulations text, via Carbon Pulse</w:t>
        </w:r>
      </w:hyperlink>
      <w:r>
        <w:t xml:space="preserve"> </w:t>
      </w:r>
      <w:r>
        <w:t xml:space="preserve">—</w:t>
      </w:r>
      <w:r>
        <w:t xml:space="preserve"> </w:t>
      </w:r>
      <w:r>
        <w:rPr>
          <w:bCs/>
          <w:b/>
        </w:rPr>
        <w:t xml:space="preserve">†, blocked, not opened</w:t>
      </w:r>
      <w:r>
        <w:t xml:space="preserve">. These regulations sit under the</w:t>
      </w:r>
      <w:r>
        <w:t xml:space="preserve"> </w:t>
      </w:r>
      <w:r>
        <w:rPr>
          <w:bCs/>
          <w:b/>
        </w:rPr>
        <w:t xml:space="preserve">Environment Protection Agency Act, 2022</w:t>
      </w:r>
      <w:r>
        <w:t xml:space="preserve"> </w:t>
      </w:r>
      <w:r>
        <w:t xml:space="preserve">and the National Climate Change Policy (2021); the Climate Change Secretariat operates within EPA-Sierra Leone under the Ministry of Environment and Climate Change. As of the IMF’s 2024 Technical Assistance Report,</w:t>
      </w:r>
      <w:r>
        <w:t xml:space="preserve"> </w:t>
      </w:r>
      <w:r>
        <w:rPr>
          <w:bCs/>
          <w:b/>
        </w:rPr>
        <w:t xml:space="preserve">overarching climate change legislation integrating and coordinating sectoral efforts had not yet been enacted</w:t>
      </w:r>
      <w:r>
        <w:t xml:space="preserve"> </w:t>
      </w:r>
      <w:r>
        <w:t xml:space="preserve">— the 2023 carbon-markets regulation is thus a sub-regulation operating ahead of, rather than under, primary climate legislation.</w:t>
      </w:r>
      <w:r>
        <w:t xml:space="preserve"> </w:t>
      </w:r>
      <w:hyperlink r:id="rId57">
        <w:r>
          <w:rPr>
            <w:rStyle w:val="Hyperlink"/>
          </w:rPr>
          <w:t xml:space="preserve">IMF, Sierra Leone Technical Assistance Report — Climate Policy Diagnostic, 2024</w:t>
        </w:r>
      </w:hyperlink>
      <w:r>
        <w:t xml:space="preserve"> </w:t>
      </w:r>
      <w:r>
        <w:t xml:space="preserve">—</w:t>
      </w:r>
      <w:r>
        <w:t xml:space="preserve"> </w:t>
      </w:r>
      <w:r>
        <w:rPr>
          <w:bCs/>
          <w:b/>
        </w:rPr>
        <w:t xml:space="preserve">†, not opened</w:t>
      </w:r>
      <w:r>
        <w:t xml:space="preserve">.</w:t>
      </w:r>
      <w:r>
        <w:t xml:space="preserve"> </w:t>
      </w:r>
      <w:r>
        <w:rPr>
          <w:bCs/>
          <w:b/>
        </w:rPr>
        <w:t xml:space="preserve">No reliable data identified</w:t>
      </w:r>
      <w:r>
        <w:t xml:space="preserve"> </w:t>
      </w:r>
      <w:r>
        <w:t xml:space="preserve">on a specific pending Climate Change Act bill number or parliamentary timeline beyond this.</w:t>
      </w:r>
    </w:p>
    <w:p>
      <w:pPr>
        <w:numPr>
          <w:ilvl w:val="0"/>
          <w:numId w:val="1011"/>
        </w:numPr>
      </w:pPr>
      <w:r>
        <w:rPr>
          <w:bCs/>
          <w:b/>
        </w:rPr>
        <w:t xml:space="preserve">Land law is directly material here.</w:t>
      </w:r>
      <w:r>
        <w:t xml:space="preserve"> </w:t>
      </w:r>
      <w:r>
        <w:t xml:space="preserve">The</w:t>
      </w:r>
      <w:r>
        <w:t xml:space="preserve"> </w:t>
      </w:r>
      <w:r>
        <w:rPr>
          <w:bCs/>
          <w:b/>
        </w:rPr>
        <w:t xml:space="preserve">Customary Land Rights Act, 2022</w:t>
      </w:r>
      <w:r>
        <w:t xml:space="preserve"> </w:t>
      </w:r>
      <w:r>
        <w:t xml:space="preserve">and</w:t>
      </w:r>
      <w:r>
        <w:t xml:space="preserve"> </w:t>
      </w:r>
      <w:r>
        <w:rPr>
          <w:bCs/>
          <w:b/>
        </w:rPr>
        <w:t xml:space="preserve">National Land Commission Act, 2022</w:t>
      </w:r>
      <w:r>
        <w:t xml:space="preserve"> </w:t>
      </w:r>
      <w:r>
        <w:t xml:space="preserve">— described by Namati, their drafters, as</w:t>
      </w:r>
      <w:r>
        <w:t xml:space="preserve"> </w:t>
      </w:r>
      <w:r>
        <w:t xml:space="preserve">“</w:t>
      </w:r>
      <w:r>
        <w:t xml:space="preserve">globally unprecedented</w:t>
      </w:r>
      <w:r>
        <w:t xml:space="preserve">”</w:t>
      </w:r>
      <w:r>
        <w:t xml:space="preserve"> </w:t>
      </w:r>
      <w:r>
        <w:t xml:space="preserve">— grant communities a legal right to Free, Prior and Informed Consent (FPIC) over industrial projects on their land,</w:t>
      </w:r>
      <w:r>
        <w:t xml:space="preserve"> </w:t>
      </w:r>
      <w:r>
        <w:rPr>
          <w:bCs/>
          <w:b/>
        </w:rPr>
        <w:t xml:space="preserve">ban industrial development (including timber and agribusiness) in old-growth forest and other ecologically sensitive areas</w:t>
      </w:r>
      <w:r>
        <w:t xml:space="preserve">, and require local land-use committees to be at least 30% women.</w:t>
      </w:r>
      <w:r>
        <w:t xml:space="preserve"> </w:t>
      </w:r>
      <w:hyperlink r:id="rId58">
        <w:r>
          <w:rPr>
            <w:rStyle w:val="Hyperlink"/>
          </w:rPr>
          <w:t xml:space="preserve">Namati</w:t>
        </w:r>
      </w:hyperlink>
      <w:r>
        <w:t xml:space="preserve"> </w:t>
      </w:r>
      <w:r>
        <w:t xml:space="preserve">—</w:t>
      </w:r>
      <w:r>
        <w:t xml:space="preserve"> </w:t>
      </w:r>
      <w:r>
        <w:rPr>
          <w:bCs/>
          <w:b/>
        </w:rPr>
        <w:t xml:space="preserve">†</w:t>
      </w:r>
      <w:r>
        <w:t xml:space="preserve">. This is directly enabling in principle for community-benefit carbon models (West Africa Blue) and directly exposing for extractive ones (the Miro investigation) — it raises the legal and reputational bar for any new entrant.</w:t>
      </w:r>
    </w:p>
    <w:p>
      <w:pPr>
        <w:numPr>
          <w:ilvl w:val="0"/>
          <w:numId w:val="1011"/>
        </w:numPr>
      </w:pPr>
      <w:r>
        <w:rPr>
          <w:bCs/>
          <w:b/>
        </w:rPr>
        <w:t xml:space="preserve">National policy:</w:t>
      </w:r>
      <w:r>
        <w:t xml:space="preserve"> </w:t>
      </w:r>
      <w:r>
        <w:t xml:space="preserve">Sierra Leone’s NDC 3.0 (2025–2030, submitted October 2025) sets mitigation actions including 50 MW of rural mini-grid capacity and 50W solar PV rollout across schools, hospitals and manufacturing facilities, and treats Article 6 international carbon-market participation as a</w:t>
      </w:r>
      <w:r>
        <w:t xml:space="preserve"> </w:t>
      </w:r>
      <w:r>
        <w:t xml:space="preserve">“</w:t>
      </w:r>
      <w:r>
        <w:t xml:space="preserve">next decade</w:t>
      </w:r>
      <w:r>
        <w:t xml:space="preserve">”</w:t>
      </w:r>
      <w:r>
        <w:t xml:space="preserve"> </w:t>
      </w:r>
      <w:r>
        <w:t xml:space="preserve">(post-2030) horizon rather than a near-term lever.</w:t>
      </w:r>
      <w:r>
        <w:t xml:space="preserve"> </w:t>
      </w:r>
      <w:hyperlink r:id="rId39">
        <w:r>
          <w:rPr>
            <w:rStyle w:val="Hyperlink"/>
          </w:rPr>
          <w:t xml:space="preserve">UNFCCC NDC 3.0</w:t>
        </w:r>
      </w:hyperlink>
      <w:r>
        <w:t xml:space="preserve">;</w:t>
      </w:r>
      <w:r>
        <w:t xml:space="preserve"> </w:t>
      </w:r>
      <w:hyperlink r:id="rId40">
        <w:r>
          <w:rPr>
            <w:rStyle w:val="Hyperlink"/>
          </w:rPr>
          <w:t xml:space="preserve">QC Intel</w:t>
        </w:r>
      </w:hyperlink>
      <w:r>
        <w:t xml:space="preserve"> </w:t>
      </w:r>
      <w:r>
        <w:t xml:space="preserve">— both</w:t>
      </w:r>
      <w:r>
        <w:t xml:space="preserve"> </w:t>
      </w:r>
      <w:r>
        <w:rPr>
          <w:bCs/>
          <w:b/>
        </w:rPr>
        <w:t xml:space="preserve">†, not opened</w:t>
      </w:r>
      <w:r>
        <w:t xml:space="preserve">. The sector also sits within the MTNDP 2024–2030’s technology/infrastructure pillar (already cited cross-sector in the existing draft).</w:t>
      </w:r>
    </w:p>
    <w:p>
      <w:pPr>
        <w:numPr>
          <w:ilvl w:val="0"/>
          <w:numId w:val="1011"/>
        </w:numPr>
      </w:pPr>
      <w:r>
        <w:rPr>
          <w:bCs/>
          <w:b/>
        </w:rPr>
        <w:t xml:space="preserve">Donor/development programmes active:</w:t>
      </w:r>
      <w:r>
        <w:t xml:space="preserve"> </w:t>
      </w:r>
      <w:r>
        <w:t xml:space="preserve">Invest Salone (Cadmus carbon-market landscape study, 2024–2025); FSD Africa Investments (West Africa Blue, July 2025); the EU/UNOPS SOGREA (€22m) and EU-funded RBF mini-grid mechanism (€20m) for the adjacent renewable-energy space.</w:t>
      </w:r>
    </w:p>
    <w:p>
      <w:pPr>
        <w:numPr>
          <w:ilvl w:val="0"/>
          <w:numId w:val="1011"/>
        </w:numPr>
      </w:pPr>
      <w:r>
        <w:rPr>
          <w:bCs/>
          <w:b/>
        </w:rPr>
        <w:t xml:space="preserve">Infrastructure constraints:</w:t>
      </w:r>
      <w:r>
        <w:t xml:space="preserve"> </w:t>
      </w:r>
      <w:r>
        <w:t xml:space="preserve">MRV depends on satellite/remote-sensing data that is processed offshore in every evidenced case; the same power and connectivity constraints already logged for FinTech and AgTech (35.5% electricity access, contested internet-penetration figures) apply equally here and further raise the cost of building any domestic MRV capability.</w:t>
      </w:r>
    </w:p>
    <w:bookmarkEnd w:id="59"/>
    <w:bookmarkStart w:id="62" w:name="part-8-comparative-evidence"/>
    <w:p>
      <w:pPr>
        <w:pStyle w:val="Heading2"/>
      </w:pPr>
      <w:r>
        <w:t xml:space="preserve">Part 8 — Comparative evidence</w:t>
      </w:r>
    </w:p>
    <w:p>
      <w:pPr>
        <w:numPr>
          <w:ilvl w:val="0"/>
          <w:numId w:val="1012"/>
        </w:numPr>
      </w:pPr>
      <w:r>
        <w:rPr>
          <w:bCs/>
          <w:b/>
        </w:rPr>
        <w:t xml:space="preserve">Closest comparator, and a cautionary one: Kariba REDD+, Zimbabwe.</w:t>
      </w:r>
      <w:r>
        <w:t xml:space="preserve"> </w:t>
      </w:r>
      <w:r>
        <w:t xml:space="preserve">Structurally the closest match — a large-scale, foreign-broker-structured (South Pole, the same firm structuring Miro’s Sierra Leone registration) avoided-deforestation REDD+ project selling into the same voluntary market. In October 2023, Verra suspended the Kariba project after finding that</w:t>
      </w:r>
      <w:r>
        <w:t xml:space="preserve"> </w:t>
      </w:r>
      <w:r>
        <w:rPr>
          <w:bCs/>
          <w:b/>
        </w:rPr>
        <w:t xml:space="preserve">more than half of the 27 million credits issued did not correspond to real emission reductions</w:t>
      </w:r>
      <w:r>
        <w:t xml:space="preserve">, acknowledging at least</w:t>
      </w:r>
      <w:r>
        <w:t xml:space="preserve"> </w:t>
      </w:r>
      <w:r>
        <w:rPr>
          <w:bCs/>
          <w:b/>
        </w:rPr>
        <w:t xml:space="preserve">15 million</w:t>
      </w:r>
      <w:r>
        <w:rPr>
          <w:bCs/>
          <w:b/>
        </w:rPr>
        <w:t xml:space="preserve"> </w:t>
      </w:r>
      <w:r>
        <w:rPr>
          <w:bCs/>
          <w:b/>
        </w:rPr>
        <w:t xml:space="preserve">“</w:t>
      </w:r>
      <w:r>
        <w:rPr>
          <w:bCs/>
          <w:b/>
        </w:rPr>
        <w:t xml:space="preserve">excess credits.</w:t>
      </w:r>
      <w:r>
        <w:rPr>
          <w:bCs/>
          <w:b/>
        </w:rPr>
        <w:t xml:space="preserve">”</w:t>
      </w:r>
      <w:r>
        <w:t xml:space="preserve"> </w:t>
      </w:r>
      <w:r>
        <w:t xml:space="preserve">South Pole voluntarily cancelled 2.5 million Kariba credits in response. Corporate buyers exposed included Gucci, Volkswagen, Nestlé and Greenchoice.</w:t>
      </w:r>
      <w:r>
        <w:t xml:space="preserve"> </w:t>
      </w:r>
      <w:hyperlink r:id="rId60">
        <w:r>
          <w:rPr>
            <w:rStyle w:val="Hyperlink"/>
          </w:rPr>
          <w:t xml:space="preserve">Verra</w:t>
        </w:r>
      </w:hyperlink>
      <w:r>
        <w:t xml:space="preserve">;</w:t>
      </w:r>
      <w:r>
        <w:t xml:space="preserve"> </w:t>
      </w:r>
      <w:hyperlink r:id="rId61">
        <w:r>
          <w:rPr>
            <w:rStyle w:val="Hyperlink"/>
          </w:rPr>
          <w:t xml:space="preserve">Climate Change News</w:t>
        </w:r>
      </w:hyperlink>
      <w:r>
        <w:t xml:space="preserve"> </w:t>
      </w:r>
      <w:r>
        <w:t xml:space="preserve">—</w:t>
      </w:r>
      <w:r>
        <w:t xml:space="preserve"> </w:t>
      </w:r>
      <w:r>
        <w:rPr>
          <w:bCs/>
          <w:b/>
        </w:rPr>
        <w:t xml:space="preserve">†, both blocked, not opened</w:t>
      </w:r>
      <w:r>
        <w:t xml:space="preserve">.</w:t>
      </w:r>
      <w:r>
        <w:t xml:space="preserve"> </w:t>
      </w:r>
      <w:r>
        <w:rPr>
          <w:bCs/>
          <w:b/>
        </w:rPr>
        <w:t xml:space="preserve">What failed:</w:t>
      </w:r>
      <w:r>
        <w:t xml:space="preserve"> </w:t>
      </w:r>
      <w:r>
        <w:t xml:space="preserve">an inflated deforestation counterfactual/baseline and insufficient independent verification — precisely the domestic-verification-capacity gap Sierra Leone also has, and precisely the mechanism (South Pole-structured, foreign-verified REDD+) Miro’s Sierra Leone project also uses. This is not a distant analogy; it is the same broker, the same standard type, and the same structural vulnerability.</w:t>
      </w:r>
    </w:p>
    <w:p>
      <w:pPr>
        <w:numPr>
          <w:ilvl w:val="0"/>
          <w:numId w:val="1012"/>
        </w:numPr>
      </w:pPr>
      <w:r>
        <w:rPr>
          <w:bCs/>
          <w:b/>
        </w:rPr>
        <w:t xml:space="preserve">Second comparator: Ghana’s LEAF Coalition/ART TREES deal.</w:t>
      </w:r>
      <w:r>
        <w:t xml:space="preserve"> </w:t>
      </w:r>
      <w:r>
        <w:t xml:space="preserve">Ghana signed a binding jurisdictional results-based finance agreement under LEAF at COP28 (December 2023), reportedly unlocking over US$60 million in forest finance at the government level. This shows the alternative path — government-level, standards-verified, results-based finance — that Sierra Leone has not yet accessed.</w:t>
      </w:r>
      <w:r>
        <w:t xml:space="preserve"> </w:t>
      </w:r>
      <w:r>
        <w:rPr>
          <w:bCs/>
          <w:b/>
        </w:rPr>
        <w:t xml:space="preserve">No reliable data identified</w:t>
      </w:r>
      <w:r>
        <w:t xml:space="preserve"> </w:t>
      </w:r>
      <w:r>
        <w:t xml:space="preserve">on why Sierra Leone has not pursued a LEAF/ART pathway to date; this is a specific, answerable gap for Stage 2 direct engagement (e.g., a conversation with EPA-SL or the Climate Change Secretariat).</w:t>
      </w:r>
    </w:p>
    <w:p>
      <w:pPr>
        <w:pStyle w:val="BlockText"/>
      </w:pPr>
      <w:r>
        <w:rPr>
          <w:bCs/>
          <w:b/>
        </w:rPr>
        <w:t xml:space="preserve">Verdict.</w:t>
      </w:r>
      <w:r>
        <w:t xml:space="preserve"> </w:t>
      </w:r>
      <w:r>
        <w:rPr>
          <w:bCs/>
          <w:b/>
        </w:rPr>
        <w:t xml:space="preserve">Not investable now as venture climate-tech or digital MRV</w:t>
      </w:r>
      <w:r>
        <w:t xml:space="preserve">, and the picture is more developed — and more cautionary — than the existing draft suggests. Three land-based carbon-credit developers now operate (Gola, Miro, West Africa Blue), one has attracted a genuine early-stage-style ticket (FSDAi’s US$2.5m into West Africa Blue, July 2025), and one (Miro) is under live scrutiny for the same land-rights and benefit-sharing failures that caused Verra to suspend a structurally identical Zimbabwean project structured by the same broker. This is asset/conservation-finance and results-based-finance territory, not venture territory: revenue is tied to a global credit price that fell roughly 75% in value terms from 2022–2024, cash flow is multi-year and lumpy, and no domestic MRV or verification capacity exists to support a standalone technology company.</w:t>
      </w:r>
      <w:r>
        <w:t xml:space="preserve"> </w:t>
      </w:r>
      <w:r>
        <w:rPr>
          <w:bCs/>
          <w:b/>
        </w:rPr>
        <w:t xml:space="preserve">What would have to change:</w:t>
      </w:r>
      <w:r>
        <w:t xml:space="preserve"> </w:t>
      </w:r>
      <w:r>
        <w:t xml:space="preserve">an enacted overarching Climate Change Act above the 2023 carbon-markets regulation; independently verified credit integrity from Sierra Leone’s own projects post-Kariba; a resolved outcome on the Miro land-rights investigation as a live signal of whether FPIC is enforced in practice, not just legislated; and either domestic MRV capacity or a Sierra Leone LEAF/ART TREES jurisdictional deal (as Ghana has secured) to give the sector a results-based-finance anchor it currently lacks.</w:t>
      </w:r>
    </w:p>
    <w:p>
      <w:r>
        <w:pict>
          <v:rect style="width:0;height:1.5pt" o:hralign="center" o:hrstd="t" o:hr="t"/>
        </w:pict>
      </w:r>
    </w:p>
    <w:bookmarkEnd w:id="62"/>
    <w:bookmarkStart w:id="63" w:name="X8ffc0814bf06bc0cb65d9e9e00984e3aa907911"/>
    <w:p>
      <w:pPr>
        <w:pStyle w:val="Heading2"/>
      </w:pPr>
      <w:r>
        <w:t xml:space="preserve">Additions required to the master tracker / claude_B1.docx on merge</w:t>
      </w:r>
    </w:p>
    <w:p>
      <w:pPr>
        <w:pStyle w:val="FirstParagraph"/>
      </w:pPr>
      <w:r>
        <w:t xml:space="preserve">For the team merging this into the master document, the following cross-cutting elements in claude_B1.docx will need updating once these findings are verified at Stage 4:</w:t>
      </w:r>
    </w:p>
    <w:p>
      <w:pPr>
        <w:numPr>
          <w:ilvl w:val="0"/>
          <w:numId w:val="1013"/>
        </w:numPr>
        <w:pStyle w:val="Compact"/>
      </w:pPr>
      <w:r>
        <w:rPr>
          <w:bCs/>
          <w:b/>
        </w:rPr>
        <w:t xml:space="preserve">Ranking table / Executive summary:</w:t>
      </w:r>
      <w:r>
        <w:t xml:space="preserve"> </w:t>
      </w:r>
      <w:r>
        <w:t xml:space="preserve">the</w:t>
      </w:r>
      <w:r>
        <w:t xml:space="preserve"> </w:t>
      </w:r>
      <w:r>
        <w:t xml:space="preserve">“</w:t>
      </w:r>
      <w:r>
        <w:t xml:space="preserve">Deciding evidence</w:t>
      </w:r>
      <w:r>
        <w:t xml:space="preserve">”</w:t>
      </w:r>
      <w:r>
        <w:t xml:space="preserve"> </w:t>
      </w:r>
      <w:r>
        <w:t xml:space="preserve">cell for Climate &amp; carbon should be updated from</w:t>
      </w:r>
      <w:r>
        <w:t xml:space="preserve"> </w:t>
      </w:r>
      <w:r>
        <w:t xml:space="preserve">“</w:t>
      </w:r>
      <w:r>
        <w:t xml:space="preserve">One certified, revenue-generating REDD+ asset (Gola); project finance, not venture; no local MRV firms found</w:t>
      </w:r>
      <w:r>
        <w:t xml:space="preserve">”</w:t>
      </w:r>
      <w:r>
        <w:t xml:space="preserve"> </w:t>
      </w:r>
      <w:r>
        <w:t xml:space="preserve">to reflect three developers, the FSDAi ticket, and the Kariba-parallel integrity risk on Miro.</w:t>
      </w:r>
    </w:p>
    <w:p>
      <w:pPr>
        <w:numPr>
          <w:ilvl w:val="0"/>
          <w:numId w:val="1013"/>
        </w:numPr>
        <w:pStyle w:val="Compact"/>
      </w:pPr>
      <w:r>
        <w:rPr>
          <w:bCs/>
          <w:b/>
        </w:rPr>
        <w:t xml:space="preserve">Figure 2 (companies evidenced per sector):</w:t>
      </w:r>
      <w:r>
        <w:t xml:space="preserve"> </w:t>
      </w:r>
      <w:r>
        <w:t xml:space="preserve">Climate &amp; carbon count should move from 1 to</w:t>
      </w:r>
      <w:r>
        <w:t xml:space="preserve"> </w:t>
      </w:r>
      <w:r>
        <w:rPr>
          <w:bCs/>
          <w:b/>
        </w:rPr>
        <w:t xml:space="preserve">3</w:t>
      </w:r>
      <w:r>
        <w:t xml:space="preserve"> </w:t>
      </w:r>
      <w:r>
        <w:t xml:space="preserve">(Gola, Miro carbon line, West Africa Blue) — noting these are project developers, not tech companies.</w:t>
      </w:r>
    </w:p>
    <w:p>
      <w:pPr>
        <w:numPr>
          <w:ilvl w:val="0"/>
          <w:numId w:val="1013"/>
        </w:numPr>
        <w:pStyle w:val="Compact"/>
      </w:pPr>
      <w:r>
        <w:rPr>
          <w:bCs/>
          <w:b/>
        </w:rPr>
        <w:t xml:space="preserve">Figure 3 (ticket sizes):</w:t>
      </w:r>
      <w:r>
        <w:t xml:space="preserve"> </w:t>
      </w:r>
      <w:r>
        <w:t xml:space="preserve">add FSDAi’s US$2.5m into West Africa Blue (2025) as a new evidenced data point.</w:t>
      </w:r>
    </w:p>
    <w:p>
      <w:pPr>
        <w:numPr>
          <w:ilvl w:val="0"/>
          <w:numId w:val="1013"/>
        </w:numPr>
        <w:pStyle w:val="Compact"/>
      </w:pPr>
      <w:r>
        <w:rPr>
          <w:bCs/>
          <w:b/>
        </w:rPr>
        <w:t xml:space="preserve">Contradiction log:</w:t>
      </w:r>
      <w:r>
        <w:t xml:space="preserve"> </w:t>
      </w:r>
      <w:r>
        <w:t xml:space="preserve">add</w:t>
      </w:r>
      <w:r>
        <w:t xml:space="preserve"> </w:t>
      </w:r>
      <w:r>
        <w:t xml:space="preserve">“</w:t>
      </w:r>
      <w:r>
        <w:t xml:space="preserve">Miro carbon project — extractive land-rights findings (Carbon Pulse, Sept 2026) vs West Africa Blue’s benefit-sharing model held up as best practice (Carbon Market Watch, Dec 2025)</w:t>
      </w:r>
      <w:r>
        <w:t xml:space="preserve">”</w:t>
      </w:r>
      <w:r>
        <w:t xml:space="preserve"> </w:t>
      </w:r>
      <w:r>
        <w:t xml:space="preserve">as a live, unresolved contested finding, not a data contradiction but a structural one material to due diligence standards.</w:t>
      </w:r>
    </w:p>
    <w:p>
      <w:pPr>
        <w:numPr>
          <w:ilvl w:val="0"/>
          <w:numId w:val="1013"/>
        </w:numPr>
        <w:pStyle w:val="Compact"/>
      </w:pPr>
      <w:r>
        <w:rPr>
          <w:bCs/>
          <w:b/>
        </w:rPr>
        <w:t xml:space="preserve">Negative-results log:</w:t>
      </w:r>
      <w:r>
        <w:t xml:space="preserve"> </w:t>
      </w:r>
      <w:r>
        <w:t xml:space="preserve">retain</w:t>
      </w:r>
      <w:r>
        <w:t xml:space="preserve"> </w:t>
      </w:r>
      <w:r>
        <w:t xml:space="preserve">“</w:t>
      </w:r>
      <w:r>
        <w:t xml:space="preserve">no Sierra Leone-based digital MRV/carbon-tech software company identified</w:t>
      </w:r>
      <w:r>
        <w:t xml:space="preserve">”</w:t>
      </w:r>
      <w:r>
        <w:t xml:space="preserve"> </w:t>
      </w:r>
      <w:r>
        <w:t xml:space="preserve">and</w:t>
      </w:r>
      <w:r>
        <w:t xml:space="preserve"> </w:t>
      </w:r>
      <w:r>
        <w:t xml:space="preserve">“</w:t>
      </w:r>
      <w:r>
        <w:t xml:space="preserve">no Sierra Leone LEAF/ART TREES engagement identified</w:t>
      </w:r>
      <w:r>
        <w:t xml:space="preserve">”</w:t>
      </w:r>
      <w:r>
        <w:t xml:space="preserve"> </w:t>
      </w:r>
      <w:r>
        <w:t xml:space="preserve">as explicit negative results.</w:t>
      </w:r>
    </w:p>
    <w:p>
      <w:pPr>
        <w:numPr>
          <w:ilvl w:val="0"/>
          <w:numId w:val="1013"/>
        </w:numPr>
        <w:pStyle w:val="Compact"/>
      </w:pPr>
      <w:r>
        <w:rPr>
          <w:bCs/>
          <w:b/>
        </w:rPr>
        <w:t xml:space="preserve">Visibility boundary table:</w:t>
      </w:r>
      <w:r>
        <w:t xml:space="preserve"> </w:t>
      </w:r>
      <w:r>
        <w:t xml:space="preserve">update Climate &amp; carbon row from</w:t>
      </w:r>
      <w:r>
        <w:t xml:space="preserve"> </w:t>
      </w:r>
      <w:r>
        <w:t xml:space="preserve">“</w:t>
      </w:r>
      <w:r>
        <w:t xml:space="preserve">1 (Certified REDD+ asset; no view of early-stage developers)</w:t>
      </w:r>
      <w:r>
        <w:t xml:space="preserve">”</w:t>
      </w:r>
      <w:r>
        <w:t xml:space="preserve"> </w:t>
      </w:r>
      <w:r>
        <w:t xml:space="preserve">to</w:t>
      </w:r>
      <w:r>
        <w:t xml:space="preserve"> </w:t>
      </w:r>
      <w:r>
        <w:t xml:space="preserve">“</w:t>
      </w:r>
      <w:r>
        <w:t xml:space="preserve">3 (Two land-based project developers plus one pre-revenue blue-carbon developer; no visibility into any standalone MRV/tech company, which may simply not exist rather than be invisible).</w:t>
      </w:r>
      <w:r>
        <w:t xml:space="preserve">”</w:t>
      </w:r>
    </w:p>
    <w:bookmarkEnd w:id="63"/>
    <w:bookmarkStart w:id="64"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4"/>
        </w:numPr>
        <w:pStyle w:val="Compact"/>
      </w:pPr>
      <w:r>
        <w:t xml:space="preserve">Open Miro Forestry’s own carbon-credits page and the Carbon Pulse/REDD Monitor investigation in full; reconcile the land-rights findings with any Miro/South Pole response.</w:t>
      </w:r>
    </w:p>
    <w:p>
      <w:pPr>
        <w:numPr>
          <w:ilvl w:val="0"/>
          <w:numId w:val="1014"/>
        </w:numPr>
        <w:pStyle w:val="Compact"/>
      </w:pPr>
      <w:r>
        <w:t xml:space="preserve">Open the FSD Africa Investments press release and the West Africa Blue project page to confirm the US$2.5m instrument type (equity, debt, guarantee?) and confirm the 92,000 vs 94,000 ha and 9 million tCO2e figures, which appeared in slightly different forms across sources.</w:t>
      </w:r>
    </w:p>
    <w:p>
      <w:pPr>
        <w:numPr>
          <w:ilvl w:val="0"/>
          <w:numId w:val="1014"/>
        </w:numPr>
        <w:pStyle w:val="Compact"/>
      </w:pPr>
      <w:r>
        <w:t xml:space="preserve">Open the Sierra Leone NDC 3.0 PDF directly to confirm the US$2.974bn / US$1.024bn figures and locate the Article 6 language first-hand.</w:t>
      </w:r>
    </w:p>
    <w:p>
      <w:pPr>
        <w:numPr>
          <w:ilvl w:val="0"/>
          <w:numId w:val="1014"/>
        </w:numPr>
        <w:pStyle w:val="Compact"/>
      </w:pPr>
      <w:r>
        <w:t xml:space="preserve">Open the 2023 Climate Change (Carbon Markets) Regulations PDF directly.</w:t>
      </w:r>
    </w:p>
    <w:p>
      <w:pPr>
        <w:numPr>
          <w:ilvl w:val="0"/>
          <w:numId w:val="1014"/>
        </w:numPr>
        <w:pStyle w:val="Compact"/>
      </w:pPr>
      <w:r>
        <w:t xml:space="preserve">Confirm via EPA-SL or the Climate Change Secretariat directly (this is a direct-engagement item, not a desk-research one) whether an overarching Climate Change Act has since been tabled in Parliament, and whether Sierra Leone has had any LEAF/ART TREES conversation.</w:t>
      </w:r>
    </w:p>
    <w:p>
      <w:pPr>
        <w:numPr>
          <w:ilvl w:val="0"/>
          <w:numId w:val="1014"/>
        </w:numPr>
        <w:pStyle w:val="Compact"/>
      </w:pPr>
      <w:r>
        <w:t xml:space="preserve">Confirm the</w:t>
      </w:r>
      <w:r>
        <w:t xml:space="preserve"> </w:t>
      </w:r>
      <w:r>
        <w:t xml:space="preserve">“</w:t>
      </w:r>
      <w:r>
        <w:t xml:space="preserve">22 projects (20 Gold Standard, 2 Verra), as of 6 September 2024</w:t>
      </w:r>
      <w:r>
        <w:t xml:space="preserve">”</w:t>
      </w:r>
      <w:r>
        <w:t xml:space="preserve"> </w:t>
      </w:r>
      <w:r>
        <w:t xml:space="preserve">registered-project count that surfaced in search snippets during this session but whose primary source (likely westafricanalliance.org or a carbon-market-watch style publication) could not be identified or opened — this figure is not used in the write-up above because it could not be traced to a specific, citable document in this session.</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cadmusgroup.com/carbon-market-sierra-leone/" TargetMode="External" /><Relationship Type="http://schemas.openxmlformats.org/officeDocument/2006/relationships/hyperlink" Id="rId31" Target="https://carbon-pulse.com/330565/" TargetMode="External" /><Relationship Type="http://schemas.openxmlformats.org/officeDocument/2006/relationships/hyperlink" Id="rId41" Target="https://carbon-pulse.com/546999/" TargetMode="External" /><Relationship Type="http://schemas.openxmlformats.org/officeDocument/2006/relationships/hyperlink" Id="rId56" Target="https://carbon-pulse.com/wp-content/uploads/2024/01/THE-CLIMATE-CHANGECARBON-MARKETS-REGULATIONS2023-1.pdf" TargetMode="External" /><Relationship Type="http://schemas.openxmlformats.org/officeDocument/2006/relationships/hyperlink" Id="rId36" Target="https://carboncredits.com/carbon-prices-and-voluntary-carbon-markets-faced-major-declines-in-2023-whats-next-for-2024/" TargetMode="External" /><Relationship Type="http://schemas.openxmlformats.org/officeDocument/2006/relationships/hyperlink" Id="rId44" Target="https://carbonmarketwatch.org/2025/12/03/sierra-leone-carbon-market-project-demonstrates-more-equitable-benefit-sharing-is-possible/" TargetMode="External" /><Relationship Type="http://schemas.openxmlformats.org/officeDocument/2006/relationships/hyperlink" Id="rId24" Target="https://cs-sl.org/dt_testimonials/securing-the-gola-rainforest-as-sierra-leones-first-redd-national-park/" TargetMode="External" /><Relationship Type="http://schemas.openxmlformats.org/officeDocument/2006/relationships/hyperlink" Id="rId28" Target="https://fsdafrica.org/fsd-africa-investments-announces-first-investment-in-nature-based-solutions-with-us2-5m-commitment-to-west-africa-blue/" TargetMode="External" /><Relationship Type="http://schemas.openxmlformats.org/officeDocument/2006/relationships/hyperlink" Id="rId54" Target="https://investsalone.com/resource-bank/wp-content/uploads/2025/06/Briefing-Note-4-Update-learning-from-best-practice.pdf" TargetMode="External" /><Relationship Type="http://schemas.openxmlformats.org/officeDocument/2006/relationships/hyperlink" Id="rId50" Target="https://namati.org/news-stories/sierra-leone-enacts-unprecedented-laws-related-to-land-climate-sustainable-development/" TargetMode="External" /><Relationship Type="http://schemas.openxmlformats.org/officeDocument/2006/relationships/hyperlink" Id="rId58" Target="https://namati.org/news-stories/sierra-leone-passes-globally-unprecedented-legislation-on-climate-environment/" TargetMode="External" /><Relationship Type="http://schemas.openxmlformats.org/officeDocument/2006/relationships/hyperlink" Id="rId35" Target="https://news.mongabay.com/2024/12/the-state-of-carbon-markets-in-2024/" TargetMode="External" /><Relationship Type="http://schemas.openxmlformats.org/officeDocument/2006/relationships/hyperlink" Id="rId43" Target="https://news.mongabay.com/2025/11/sierra-leone-communities-sign-carbon-agreement-based-on-carbon-justice-principles/" TargetMode="External" /><Relationship Type="http://schemas.openxmlformats.org/officeDocument/2006/relationships/hyperlink" Id="rId26" Target="https://reddmonitor.substack.com/p/the-human-rights-impacts-of-miro" TargetMode="External" /><Relationship Type="http://schemas.openxmlformats.org/officeDocument/2006/relationships/hyperlink" Id="rId20" Target="https://smartimpactconsult.com" TargetMode="External" /><Relationship Type="http://schemas.openxmlformats.org/officeDocument/2006/relationships/hyperlink" Id="rId23" Target="https://trilliontrees.org/project/gola-rainforest/" TargetMode="External" /><Relationship Type="http://schemas.openxmlformats.org/officeDocument/2006/relationships/hyperlink" Id="rId39" Target="https://unfccc.int/sites/default/files/2025-12/Sierra%20Leone%20NDC%203.0.pdf" TargetMode="External" /><Relationship Type="http://schemas.openxmlformats.org/officeDocument/2006/relationships/hyperlink" Id="rId60" Target="https://verra.org/verra-acts-on-kariba-project-cancels-excess-credits-advances-independent-review/" TargetMode="External" /><Relationship Type="http://schemas.openxmlformats.org/officeDocument/2006/relationships/hyperlink" Id="rId61" Target="https://www.climatechangenews.com/2025/09/30/zimbabwe-forest-carbon-megaproject-generated-millions-of-junk-credits/" TargetMode="External" /><Relationship Type="http://schemas.openxmlformats.org/officeDocument/2006/relationships/hyperlink" Id="rId49" Target="https://www.climateimpact.com/global-projects/gola-rainforest-redd-sierra-leone/" TargetMode="External" /><Relationship Type="http://schemas.openxmlformats.org/officeDocument/2006/relationships/hyperlink" Id="rId57" Target="https://www.elibrary.imf.org/view/journals/019/2024/105/article-A001-en.xml" TargetMode="External" /><Relationship Type="http://schemas.openxmlformats.org/officeDocument/2006/relationships/hyperlink" Id="rId27" Target="https://www.eurasiareview.com/03092026-carbon-credit-project-in-sierra-leone-raises-concerns-over-land-rights-and-local-livelihoods-report/" TargetMode="External" /><Relationship Type="http://schemas.openxmlformats.org/officeDocument/2006/relationships/hyperlink" Id="rId42" Target="https://www.farmlandgrab.org/post/33685-revealing-the-hidden-costs-of-carbon-credits" TargetMode="External" /><Relationship Type="http://schemas.openxmlformats.org/officeDocument/2006/relationships/hyperlink" Id="rId47" Target="https://www.leafcoalition.org/about" TargetMode="External" /><Relationship Type="http://schemas.openxmlformats.org/officeDocument/2006/relationships/hyperlink" Id="rId38" Target="https://www.lse.ac.uk/granthaminstitute/?p=70212" TargetMode="External" /><Relationship Type="http://schemas.openxmlformats.org/officeDocument/2006/relationships/hyperlink" Id="rId25" Target="https://www.miroforestry.com/carbon-credits/" TargetMode="External" /><Relationship Type="http://schemas.openxmlformats.org/officeDocument/2006/relationships/hyperlink" Id="rId30" Target="https://www.naturetechmemos.com/p/top-10-mrv-startups-revolutionizing-nature-based-solutions-in-2025" TargetMode="External" /><Relationship Type="http://schemas.openxmlformats.org/officeDocument/2006/relationships/hyperlink" Id="rId52" Target="https://www.nicfi.no/2023/12/02/cop28-breakthrough-for-leaf-and-jurisdictional-redd/" TargetMode="External" /><Relationship Type="http://schemas.openxmlformats.org/officeDocument/2006/relationships/hyperlink" Id="rId40" Target="https://www.qcintel.com/carbon/article/sierra-leone-eyes-article-6-but-not-until-next-decade-54575.html" TargetMode="External" /><Relationship Type="http://schemas.openxmlformats.org/officeDocument/2006/relationships/hyperlink" Id="rId32" Target="https://www.seforall.org/news/first-universal-energy-facility-funded-mini-grid-in-sierra-leone-begins-powering-1300-people-0" TargetMode="External" /><Relationship Type="http://schemas.openxmlformats.org/officeDocument/2006/relationships/hyperlink" Id="rId34" Target="https://www.seforall.org/news/sierra-leone-adopts-results-based-financing-mechanism-for-solar-mini-grids" TargetMode="External" /><Relationship Type="http://schemas.openxmlformats.org/officeDocument/2006/relationships/hyperlink" Id="rId33" Target="https://www.seforall.org/news/sogrea-initiative-launches-eu22-million-investment-facility-to-accelerate-green-mini-grid" TargetMode="External" /><Relationship Type="http://schemas.openxmlformats.org/officeDocument/2006/relationships/hyperlink" Id="rId29" Target="https://www.westafricablue.org/projects-sierraleone" TargetMode="External" /></Relationships>
</file>

<file path=word/_rels/footnotes.xml.rels><?xml version="1.0" encoding="UTF-8"?><Relationships xmlns="http://schemas.openxmlformats.org/package/2006/relationships"><Relationship Type="http://schemas.openxmlformats.org/officeDocument/2006/relationships/hyperlink" Id="rId53" Target="https://cadmusgroup.com/carbon-market-sierra-leone/" TargetMode="External" /><Relationship Type="http://schemas.openxmlformats.org/officeDocument/2006/relationships/hyperlink" Id="rId31" Target="https://carbon-pulse.com/330565/" TargetMode="External" /><Relationship Type="http://schemas.openxmlformats.org/officeDocument/2006/relationships/hyperlink" Id="rId41" Target="https://carbon-pulse.com/546999/" TargetMode="External" /><Relationship Type="http://schemas.openxmlformats.org/officeDocument/2006/relationships/hyperlink" Id="rId56" Target="https://carbon-pulse.com/wp-content/uploads/2024/01/THE-CLIMATE-CHANGECARBON-MARKETS-REGULATIONS2023-1.pdf" TargetMode="External" /><Relationship Type="http://schemas.openxmlformats.org/officeDocument/2006/relationships/hyperlink" Id="rId36" Target="https://carboncredits.com/carbon-prices-and-voluntary-carbon-markets-faced-major-declines-in-2023-whats-next-for-2024/" TargetMode="External" /><Relationship Type="http://schemas.openxmlformats.org/officeDocument/2006/relationships/hyperlink" Id="rId44" Target="https://carbonmarketwatch.org/2025/12/03/sierra-leone-carbon-market-project-demonstrates-more-equitable-benefit-sharing-is-possible/" TargetMode="External" /><Relationship Type="http://schemas.openxmlformats.org/officeDocument/2006/relationships/hyperlink" Id="rId24" Target="https://cs-sl.org/dt_testimonials/securing-the-gola-rainforest-as-sierra-leones-first-redd-national-park/" TargetMode="External" /><Relationship Type="http://schemas.openxmlformats.org/officeDocument/2006/relationships/hyperlink" Id="rId28" Target="https://fsdafrica.org/fsd-africa-investments-announces-first-investment-in-nature-based-solutions-with-us2-5m-commitment-to-west-africa-blue/" TargetMode="External" /><Relationship Type="http://schemas.openxmlformats.org/officeDocument/2006/relationships/hyperlink" Id="rId54" Target="https://investsalone.com/resource-bank/wp-content/uploads/2025/06/Briefing-Note-4-Update-learning-from-best-practice.pdf" TargetMode="External" /><Relationship Type="http://schemas.openxmlformats.org/officeDocument/2006/relationships/hyperlink" Id="rId50" Target="https://namati.org/news-stories/sierra-leone-enacts-unprecedented-laws-related-to-land-climate-sustainable-development/" TargetMode="External" /><Relationship Type="http://schemas.openxmlformats.org/officeDocument/2006/relationships/hyperlink" Id="rId58" Target="https://namati.org/news-stories/sierra-leone-passes-globally-unprecedented-legislation-on-climate-environment/" TargetMode="External" /><Relationship Type="http://schemas.openxmlformats.org/officeDocument/2006/relationships/hyperlink" Id="rId35" Target="https://news.mongabay.com/2024/12/the-state-of-carbon-markets-in-2024/" TargetMode="External" /><Relationship Type="http://schemas.openxmlformats.org/officeDocument/2006/relationships/hyperlink" Id="rId43" Target="https://news.mongabay.com/2025/11/sierra-leone-communities-sign-carbon-agreement-based-on-carbon-justice-principles/" TargetMode="External" /><Relationship Type="http://schemas.openxmlformats.org/officeDocument/2006/relationships/hyperlink" Id="rId26" Target="https://reddmonitor.substack.com/p/the-human-rights-impacts-of-miro" TargetMode="External" /><Relationship Type="http://schemas.openxmlformats.org/officeDocument/2006/relationships/hyperlink" Id="rId20" Target="https://smartimpactconsult.com" TargetMode="External" /><Relationship Type="http://schemas.openxmlformats.org/officeDocument/2006/relationships/hyperlink" Id="rId23" Target="https://trilliontrees.org/project/gola-rainforest/" TargetMode="External" /><Relationship Type="http://schemas.openxmlformats.org/officeDocument/2006/relationships/hyperlink" Id="rId39" Target="https://unfccc.int/sites/default/files/2025-12/Sierra%20Leone%20NDC%203.0.pdf" TargetMode="External" /><Relationship Type="http://schemas.openxmlformats.org/officeDocument/2006/relationships/hyperlink" Id="rId60" Target="https://verra.org/verra-acts-on-kariba-project-cancels-excess-credits-advances-independent-review/" TargetMode="External" /><Relationship Type="http://schemas.openxmlformats.org/officeDocument/2006/relationships/hyperlink" Id="rId61" Target="https://www.climatechangenews.com/2025/09/30/zimbabwe-forest-carbon-megaproject-generated-millions-of-junk-credits/" TargetMode="External" /><Relationship Type="http://schemas.openxmlformats.org/officeDocument/2006/relationships/hyperlink" Id="rId49" Target="https://www.climateimpact.com/global-projects/gola-rainforest-redd-sierra-leone/" TargetMode="External" /><Relationship Type="http://schemas.openxmlformats.org/officeDocument/2006/relationships/hyperlink" Id="rId57" Target="https://www.elibrary.imf.org/view/journals/019/2024/105/article-A001-en.xml" TargetMode="External" /><Relationship Type="http://schemas.openxmlformats.org/officeDocument/2006/relationships/hyperlink" Id="rId27" Target="https://www.eurasiareview.com/03092026-carbon-credit-project-in-sierra-leone-raises-concerns-over-land-rights-and-local-livelihoods-report/" TargetMode="External" /><Relationship Type="http://schemas.openxmlformats.org/officeDocument/2006/relationships/hyperlink" Id="rId42" Target="https://www.farmlandgrab.org/post/33685-revealing-the-hidden-costs-of-carbon-credits" TargetMode="External" /><Relationship Type="http://schemas.openxmlformats.org/officeDocument/2006/relationships/hyperlink" Id="rId47" Target="https://www.leafcoalition.org/about" TargetMode="External" /><Relationship Type="http://schemas.openxmlformats.org/officeDocument/2006/relationships/hyperlink" Id="rId38" Target="https://www.lse.ac.uk/granthaminstitute/?p=70212" TargetMode="External" /><Relationship Type="http://schemas.openxmlformats.org/officeDocument/2006/relationships/hyperlink" Id="rId25" Target="https://www.miroforestry.com/carbon-credits/" TargetMode="External" /><Relationship Type="http://schemas.openxmlformats.org/officeDocument/2006/relationships/hyperlink" Id="rId30" Target="https://www.naturetechmemos.com/p/top-10-mrv-startups-revolutionizing-nature-based-solutions-in-2025" TargetMode="External" /><Relationship Type="http://schemas.openxmlformats.org/officeDocument/2006/relationships/hyperlink" Id="rId52" Target="https://www.nicfi.no/2023/12/02/cop28-breakthrough-for-leaf-and-jurisdictional-redd/" TargetMode="External" /><Relationship Type="http://schemas.openxmlformats.org/officeDocument/2006/relationships/hyperlink" Id="rId40" Target="https://www.qcintel.com/carbon/article/sierra-leone-eyes-article-6-but-not-until-next-decade-54575.html" TargetMode="External" /><Relationship Type="http://schemas.openxmlformats.org/officeDocument/2006/relationships/hyperlink" Id="rId32" Target="https://www.seforall.org/news/first-universal-energy-facility-funded-mini-grid-in-sierra-leone-begins-powering-1300-people-0" TargetMode="External" /><Relationship Type="http://schemas.openxmlformats.org/officeDocument/2006/relationships/hyperlink" Id="rId34" Target="https://www.seforall.org/news/sierra-leone-adopts-results-based-financing-mechanism-for-solar-mini-grids" TargetMode="External" /><Relationship Type="http://schemas.openxmlformats.org/officeDocument/2006/relationships/hyperlink" Id="rId33" Target="https://www.seforall.org/news/sogrea-initiative-launches-eu22-million-investment-facility-to-accelerate-green-mini-grid" TargetMode="External" /><Relationship Type="http://schemas.openxmlformats.org/officeDocument/2006/relationships/hyperlink" Id="rId29" Target="https://www.westafricablue.org/projects-sierrale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2026-09-23T07:29:23Z</dcterms:created>
  <dcterms:modified xsi:type="dcterms:W3CDTF">2026-09-23T07:29:23Z</dcterms:modified>
</cp:coreProperties>
</file>

<file path=docProps/custom.xml><?xml version="1.0" encoding="utf-8"?>
<Properties xmlns="http://schemas.openxmlformats.org/officeDocument/2006/custom-properties" xmlns:vt="http://schemas.openxmlformats.org/officeDocument/2006/docPropsVTypes"/>
</file>