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SMART IMPACT CONSULT</w:t>
      </w:r>
    </w:p>
    <w:p>
      <w:pPr>
        <w:pStyle w:val="BodyText"/>
      </w:pPr>
      <w:hyperlink r:id="rId20">
        <w:r>
          <w:rPr>
            <w:rStyle w:val="Hyperlink"/>
          </w:rPr>
          <w:t xml:space="preserve">smartimpactconsult.com</w:t>
        </w:r>
      </w:hyperlink>
    </w:p>
    <w:bookmarkStart w:id="22" w:name="sector-investability-assessment"/>
    <w:p>
      <w:pPr>
        <w:pStyle w:val="Heading1"/>
      </w:pPr>
      <w:r>
        <w:t xml:space="preserve">Sector Investability Assessment</w:t>
      </w:r>
    </w:p>
    <w:bookmarkStart w:id="21" w:name="X155182ae1cdb89fc2b88dcfc9ae6bf1f4c727b5"/>
    <w:p>
      <w:pPr>
        <w:pStyle w:val="Heading2"/>
      </w:pPr>
      <w:r>
        <w:t xml:space="preserve">Sierra Leone — Sector 4: Blue economy and fisheries</w:t>
      </w:r>
    </w:p>
    <w:p>
      <w:pPr>
        <w:pStyle w:val="FirstParagraph"/>
      </w:pPr>
      <w:r>
        <w:rPr>
          <w:bCs/>
          <w:b/>
        </w:rPr>
        <w:t xml:space="preserve">Workstream:</w:t>
      </w:r>
      <w:r>
        <w:t xml:space="preserve"> </w:t>
      </w:r>
      <w:r>
        <w:t xml:space="preserve">B.1 — WS1 Market and Sector Validation (Priority · Sprint 1)</w:t>
      </w:r>
    </w:p>
    <w:p>
      <w:pPr>
        <w:pStyle w:val="BodyText"/>
      </w:pPr>
      <w:r>
        <w:rPr>
          <w:bCs/>
          <w:b/>
        </w:rPr>
        <w:t xml:space="preserve">Prompt:</w:t>
      </w:r>
      <w:r>
        <w:t xml:space="preserve"> </w:t>
      </w:r>
      <w:r>
        <w:t xml:space="preserve">WS1-v1.0 — Sector Investability, Sierra Leone</w:t>
      </w:r>
    </w:p>
    <w:p>
      <w:pPr>
        <w:pStyle w:val="BodyText"/>
      </w:pPr>
      <w:r>
        <w:rPr>
          <w:bCs/>
          <w:b/>
        </w:rPr>
        <w:t xml:space="preserve">Stage / round:</w:t>
      </w:r>
      <w:r>
        <w:t xml:space="preserve"> </w:t>
      </w:r>
      <w:r>
        <w:t xml:space="preserve">Stage 1 desk research · Round 1 output, formatted for Stage 2 review</w:t>
      </w:r>
    </w:p>
    <w:p>
      <w:pPr>
        <w:pStyle w:val="BodyText"/>
      </w:pPr>
      <w:r>
        <w:rPr>
          <w:bCs/>
          <w:b/>
        </w:rPr>
        <w:t xml:space="preserve">Prepared by:</w:t>
      </w:r>
      <w:r>
        <w:t xml:space="preserve"> </w:t>
      </w:r>
      <w:r>
        <w:t xml:space="preserve">Investment Operations, Smart Impact Consult (</w:t>
      </w:r>
      <w:hyperlink r:id="rId20">
        <w:r>
          <w:rPr>
            <w:rStyle w:val="Hyperlink"/>
          </w:rPr>
          <w:t xml:space="preserve">smartimpactconsult.com</w:t>
        </w:r>
      </w:hyperlink>
      <w:r>
        <w:t xml:space="preserve">)</w:t>
      </w:r>
    </w:p>
    <w:p>
      <w:pPr>
        <w:pStyle w:val="BodyText"/>
      </w:pPr>
      <w:r>
        <w:rPr>
          <w:bCs/>
          <w:b/>
        </w:rPr>
        <w:t xml:space="preserve">Date:</w:t>
      </w:r>
      <w:r>
        <w:t xml:space="preserve"> </w:t>
      </w:r>
      <w:r>
        <w:t xml:space="preserve">23 September 2026</w:t>
      </w:r>
    </w:p>
    <w:p>
      <w:pPr>
        <w:pStyle w:val="BodyText"/>
      </w:pPr>
      <w:r>
        <w:rPr>
          <w:iCs/>
          <w:i/>
        </w:rPr>
        <w:t xml:space="preserve">Desk research only. Every factual claim below carries a named source and, where available, the year it refers to; sources are embedded as clickable links. Where Sierra Leone-specific data does not exist, this is stated explicitly and regional or continental data used as a proxy is labelled as such. Where a search could not evidence a figure at all, the document states</w:t>
      </w:r>
      <w:r>
        <w:rPr>
          <w:iCs/>
          <w:i/>
        </w:rPr>
        <w:t xml:space="preserve"> </w:t>
      </w:r>
      <w:r>
        <w:rPr>
          <w:iCs/>
          <w:i/>
        </w:rPr>
        <w:t xml:space="preserve">“</w:t>
      </w:r>
      <w:r>
        <w:rPr>
          <w:iCs/>
          <w:i/>
        </w:rPr>
        <w:t xml:space="preserve">no reliable data identified</w:t>
      </w:r>
      <w:r>
        <w:rPr>
          <w:iCs/>
          <w:i/>
        </w:rPr>
        <w:t xml:space="preserve">”</w:t>
      </w:r>
      <w:r>
        <w:rPr>
          <w:iCs/>
          <w:i/>
        </w:rPr>
        <w:t xml:space="preserve"> </w:t>
      </w:r>
      <w:r>
        <w:rPr>
          <w:iCs/>
          <w:i/>
        </w:rPr>
        <w:t xml:space="preserve">rather than estimating. This pass’s sources come from web search, not from primary documents opened and read in full — see the Environment Limitation note below — so every finding here carries the same unverified status as a</w:t>
      </w:r>
      <w:r>
        <w:rPr>
          <w:iCs/>
          <w:i/>
        </w:rPr>
        <w:t xml:space="preserve"> </w:t>
      </w:r>
      <w:r>
        <w:rPr>
          <w:iCs/>
          <w:i/>
        </w:rPr>
        <w:t xml:space="preserve">“</w:t>
      </w:r>
      <w:r>
        <w:rPr>
          <w:iCs/>
          <w:i/>
        </w:rPr>
        <w:t xml:space="preserve">†</w:t>
      </w:r>
      <w:r>
        <w:rPr>
          <w:iCs/>
          <w:i/>
        </w:rPr>
        <w:t xml:space="preserve">”</w:t>
      </w:r>
      <w:r>
        <w:rPr>
          <w:iCs/>
          <w:i/>
        </w:rPr>
        <w:t xml:space="preserve"> </w:t>
      </w:r>
      <w:r>
        <w:rPr>
          <w:iCs/>
          <w:i/>
        </w:rPr>
        <w:t xml:space="preserve">marker: a named, dated, linked lead, not yet a confirmed source. Nothing in this document may be treated as</w:t>
      </w:r>
      <w:r>
        <w:rPr>
          <w:iCs/>
          <w:i/>
        </w:rPr>
        <w:t xml:space="preserve"> </w:t>
      </w:r>
      <w:r>
        <w:rPr>
          <w:iCs/>
          <w:i/>
        </w:rPr>
        <w:t xml:space="preserve">“</w:t>
      </w:r>
      <w:r>
        <w:rPr>
          <w:iCs/>
          <w:i/>
        </w:rPr>
        <w:t xml:space="preserve">Verified</w:t>
      </w:r>
      <w:r>
        <w:rPr>
          <w:iCs/>
          <w:i/>
        </w:rPr>
        <w:t xml:space="preserve">”</w:t>
      </w:r>
      <w:r>
        <w:rPr>
          <w:iCs/>
          <w:i/>
        </w:rPr>
        <w:t xml:space="preserve"> </w:t>
      </w:r>
      <w:r>
        <w:rPr>
          <w:iCs/>
          <w:i/>
        </w:rPr>
        <w:t xml:space="preserve">in the Source Register, and nothing should enter a client-facing deliverable, until a team member opens each cited link directly, per Stage 4 of the AI-Assisted Research Methodology.</w:t>
      </w:r>
    </w:p>
    <w:p>
      <w:r>
        <w:pict>
          <v:rect style="width:0;height:1.5pt" o:hralign="center" o:hrstd="t" o:hr="t"/>
        </w:pict>
      </w:r>
    </w:p>
    <w:p>
      <w:pPr>
        <w:pStyle w:val="FirstParagraph"/>
      </w:pPr>
      <w:r>
        <w:t xml:space="preserve">PROVENANCE HEADER — applied to every raw output file (per Methodology A.5)</w:t>
      </w:r>
    </w:p>
    <w:p>
      <w:pPr>
        <w:numPr>
          <w:ilvl w:val="0"/>
          <w:numId w:val="1001"/>
        </w:numPr>
        <w:pStyle w:val="Compact"/>
      </w:pPr>
      <w:r>
        <w:t xml:space="preserve">Workstream: WS1 Market and Sector Validation</w:t>
      </w:r>
    </w:p>
    <w:p>
      <w:pPr>
        <w:numPr>
          <w:ilvl w:val="0"/>
          <w:numId w:val="1001"/>
        </w:numPr>
        <w:pStyle w:val="Compact"/>
      </w:pPr>
      <w:r>
        <w:t xml:space="preserve">Prompt version: WS1-v1.0 — Sector Investability, Sierra Leone</w:t>
      </w:r>
    </w:p>
    <w:p>
      <w:pPr>
        <w:numPr>
          <w:ilvl w:val="0"/>
          <w:numId w:val="1001"/>
        </w:numPr>
        <w:pStyle w:val="Compact"/>
      </w:pPr>
      <w:r>
        <w:t xml:space="preserve">Sector: 4 of 8 — Blue economy and fisheries</w:t>
      </w:r>
    </w:p>
    <w:p>
      <w:pPr>
        <w:numPr>
          <w:ilvl w:val="0"/>
          <w:numId w:val="1001"/>
        </w:numPr>
        <w:pStyle w:val="Compact"/>
      </w:pPr>
      <w:r>
        <w:t xml:space="preserve">Engine: Claude (this session) — desk research, single-engine pass</w:t>
      </w:r>
    </w:p>
    <w:p>
      <w:pPr>
        <w:numPr>
          <w:ilvl w:val="0"/>
          <w:numId w:val="1001"/>
        </w:numPr>
        <w:pStyle w:val="Compact"/>
      </w:pPr>
      <w:r>
        <w:t xml:space="preserve">Run date: 2026-09-23</w:t>
      </w:r>
    </w:p>
    <w:p>
      <w:pPr>
        <w:numPr>
          <w:ilvl w:val="0"/>
          <w:numId w:val="1001"/>
        </w:numPr>
        <w:pStyle w:val="Compact"/>
      </w:pPr>
      <w:r>
        <w:t xml:space="preserve">Operator: Investment Operations, Smart Impact Consult (smartimpactconsult.com)</w:t>
      </w:r>
    </w:p>
    <w:p>
      <w:pPr>
        <w:numPr>
          <w:ilvl w:val="0"/>
          <w:numId w:val="1001"/>
        </w:numPr>
        <w:pStyle w:val="Compact"/>
      </w:pPr>
      <w:r>
        <w:t xml:space="preserve">Round: 1 of 2 (Stage 1 desk research, formatted for Stage 2/4 human verification)</w:t>
      </w:r>
    </w:p>
    <w:p>
      <w:pPr>
        <w:numPr>
          <w:ilvl w:val="0"/>
          <w:numId w:val="1001"/>
        </w:numPr>
        <w:pStyle w:val="Compact"/>
      </w:pPr>
      <w:r>
        <w:t xml:space="preserve">Archive path: /Research_Archive/WS1/WS1-v1.0_Claude_Sector04-BlueEconomy_20260923.md</w:t>
      </w:r>
    </w:p>
    <w:p>
      <w:pPr>
        <w:numPr>
          <w:ilvl w:val="0"/>
          <w:numId w:val="1001"/>
        </w:numPr>
        <w:pStyle w:val="Compact"/>
      </w:pPr>
      <w:r>
        <w:t xml:space="preserve">Linked to: claude_B1.docx,</w:t>
      </w:r>
      <w:r>
        <w:t xml:space="preserve"> </w:t>
      </w:r>
      <w:r>
        <w:t xml:space="preserve">“</w:t>
      </w:r>
      <w:r>
        <w:t xml:space="preserve">Sector 4 — Blue economy and fisheries</w:t>
      </w:r>
      <w:r>
        <w:t xml:space="preserve">”</w:t>
      </w:r>
      <w:r>
        <w:t xml:space="preserve"> </w:t>
      </w:r>
      <w:r>
        <w:t xml:space="preserve">section (existing verdict:</w:t>
      </w:r>
      <w:r>
        <w:t xml:space="preserve"> </w:t>
      </w:r>
      <w:r>
        <w:t xml:space="preserve">“</w:t>
      </w:r>
      <w:r>
        <w:t xml:space="preserve">Not investable</w:t>
      </w:r>
      <w:r>
        <w:t xml:space="preserve">”</w:t>
      </w:r>
      <w:r>
        <w:t xml:space="preserve"> </w:t>
      </w:r>
      <w:r>
        <w:t xml:space="preserve">—</w:t>
      </w:r>
      <w:r>
        <w:t xml:space="preserve"> </w:t>
      </w:r>
      <w:r>
        <w:t xml:space="preserve">“</w:t>
      </w:r>
      <w:r>
        <w:t xml:space="preserve">No named, revenue-generating Sierra Leonean blue-economy venture was evidenced.</w:t>
      </w:r>
      <w:r>
        <w:t xml:space="preserve">”</w:t>
      </w:r>
      <w:r>
        <w:t xml:space="preserve"> </w:t>
      </w:r>
      <w:r>
        <w:rPr>
          <w:bCs/>
          <w:b/>
        </w:rPr>
        <w:t xml:space="preserve">This pass finds that statement to be incorrect</w:t>
      </w:r>
      <w:r>
        <w:t xml:space="preserve"> </w:t>
      </w:r>
      <w:r>
        <w:t xml:space="preserve">— see Part 3.)</w:t>
      </w:r>
    </w:p>
    <w:p>
      <w:pPr>
        <w:pStyle w:val="FirstParagraph"/>
      </w:pPr>
      <w:r>
        <w:rPr>
          <w:bCs/>
          <w:b/>
        </w:rPr>
        <w:t xml:space="preserve">Environment limitation — carried forward from the Sector 2 and 3 files.</w:t>
      </w:r>
      <w:r>
        <w:t xml:space="preserve"> </w:t>
      </w:r>
      <w:r>
        <w:t xml:space="preserve">WebFetch was blocked for every domain tested in this session. Every finding below comes from WebSearch snippets only, not opened primary documents, and is carried at the same unverified status as the</w:t>
      </w:r>
      <w:r>
        <w:t xml:space="preserve"> </w:t>
      </w:r>
      <w:r>
        <w:t xml:space="preserve">“</w:t>
      </w:r>
      <w:r>
        <w:t xml:space="preserve">†</w:t>
      </w:r>
      <w:r>
        <w:t xml:space="preserve">”</w:t>
      </w:r>
      <w:r>
        <w:t xml:space="preserve"> </w:t>
      </w:r>
      <w:r>
        <w:t xml:space="preserve">markers already used in claude_B1.docx. Nothing here may enter the Source Register as</w:t>
      </w:r>
      <w:r>
        <w:t xml:space="preserve"> </w:t>
      </w:r>
      <w:r>
        <w:t xml:space="preserve">“</w:t>
      </w:r>
      <w:r>
        <w:t xml:space="preserve">Verified</w:t>
      </w:r>
      <w:r>
        <w:t xml:space="preserve">”</w:t>
      </w:r>
      <w:r>
        <w:t xml:space="preserve"> </w:t>
      </w:r>
      <w:r>
        <w:t xml:space="preserve">until a team member opens each link directly — see the verification queue at the end.</w:t>
      </w:r>
    </w:p>
    <w:p>
      <w:r>
        <w:pict>
          <v:rect style="width:0;height:1.5pt" o:hralign="center" o:hrstd="t" o:hr="t"/>
        </w:pict>
      </w:r>
    </w:p>
    <w:bookmarkEnd w:id="21"/>
    <w:bookmarkEnd w:id="22"/>
    <w:bookmarkStart w:id="48" w:name="sector-4-blue-economy-and-fisheries"/>
    <w:p>
      <w:pPr>
        <w:pStyle w:val="Heading1"/>
      </w:pPr>
      <w:r>
        <w:t xml:space="preserve">Sector 4 — Blue economy and fisheries</w:t>
      </w:r>
    </w:p>
    <w:bookmarkStart w:id="24" w:name="part-1-market-structure-and-size"/>
    <w:p>
      <w:pPr>
        <w:pStyle w:val="Heading2"/>
      </w:pPr>
      <w:r>
        <w:t xml:space="preserve">Part 1 — Market structure and size</w:t>
      </w:r>
    </w:p>
    <w:p>
      <w:pPr>
        <w:numPr>
          <w:ilvl w:val="0"/>
          <w:numId w:val="1002"/>
        </w:numPr>
      </w:pPr>
      <w:r>
        <w:rPr>
          <w:bCs/>
          <w:b/>
        </w:rPr>
        <w:t xml:space="preserve">GDP share is even more contested than the existing draft shows.</w:t>
      </w:r>
      <w:r>
        <w:t xml:space="preserve"> </w:t>
      </w:r>
      <w:r>
        <w:t xml:space="preserve">The existing draft already logs a contradiction between 6–8.7% (2018–23, Feed Salone Fisheries Strategy), 10.2% (2013, FCWC) and 12% (government, 2020/2025). This pass adds two more values:</w:t>
      </w:r>
      <w:r>
        <w:t xml:space="preserve"> </w:t>
      </w:r>
      <w:r>
        <w:rPr>
          <w:bCs/>
          <w:b/>
        </w:rPr>
        <w:t xml:space="preserve">~10%</w:t>
      </w:r>
      <w:r>
        <w:t xml:space="preserve"> </w:t>
      </w:r>
      <w:r>
        <w:t xml:space="preserve">(</w:t>
      </w:r>
      <w:r>
        <w:t xml:space="preserve">“</w:t>
      </w:r>
      <w:r>
        <w:t xml:space="preserve">every year,</w:t>
      </w:r>
      <w:r>
        <w:t xml:space="preserve">”</w:t>
      </w:r>
      <w:r>
        <w:t xml:space="preserve"> </w:t>
      </w:r>
      <w:r>
        <w:t xml:space="preserve">Sierra Leone Investment and Export Promotion Agency, SLIEPA) and a</w:t>
      </w:r>
      <w:r>
        <w:t xml:space="preserve"> </w:t>
      </w:r>
      <w:r>
        <w:rPr>
          <w:bCs/>
          <w:b/>
        </w:rPr>
        <w:t xml:space="preserve">regional range of 10–30% of GDP</w:t>
      </w:r>
      <w:r>
        <w:t xml:space="preserve"> </w:t>
      </w:r>
      <w:r>
        <w:t xml:space="preserve">cited for</w:t>
      </w:r>
      <w:r>
        <w:t xml:space="preserve"> </w:t>
      </w:r>
      <w:r>
        <w:t xml:space="preserve">“</w:t>
      </w:r>
      <w:r>
        <w:t xml:space="preserve">Mauritania, Senegal, Guinea-Bissau and Sierra Leone</w:t>
      </w:r>
      <w:r>
        <w:t xml:space="preserve">”</w:t>
      </w:r>
      <w:r>
        <w:t xml:space="preserve"> </w:t>
      </w:r>
      <w:r>
        <w:t xml:space="preserve">collectively (West Africa fisheries comparator search) —</w:t>
      </w:r>
      <w:r>
        <w:t xml:space="preserve"> </w:t>
      </w:r>
      <w:r>
        <w:rPr>
          <w:bCs/>
          <w:b/>
        </w:rPr>
        <w:t xml:space="preserve">regional proxy, not Sierra Leone-specific</w:t>
      </w:r>
      <w:r>
        <w:t xml:space="preserve">.</w:t>
      </w:r>
      <w:r>
        <w:t xml:space="preserve"> </w:t>
      </w:r>
      <w:hyperlink r:id="rId23">
        <w:r>
          <w:rPr>
            <w:rStyle w:val="Hyperlink"/>
          </w:rPr>
          <w:t xml:space="preserve">SLIEPA,</w:t>
        </w:r>
        <w:r>
          <w:rPr>
            <w:rStyle w:val="Hyperlink"/>
          </w:rPr>
          <w:t xml:space="preserve"> </w:t>
        </w:r>
        <w:r>
          <w:rPr>
            <w:rStyle w:val="Hyperlink"/>
          </w:rPr>
          <w:t xml:space="preserve">“</w:t>
        </w:r>
        <w:r>
          <w:rPr>
            <w:rStyle w:val="Hyperlink"/>
          </w:rPr>
          <w:t xml:space="preserve">Invest in Fisheries in Sierra Leone</w:t>
        </w:r>
        <w:r>
          <w:rPr>
            <w:rStyle w:val="Hyperlink"/>
          </w:rPr>
          <w:t xml:space="preserve">”</w:t>
        </w:r>
      </w:hyperlink>
      <w:r>
        <w:t xml:space="preserve"> </w:t>
      </w:r>
      <w:r>
        <w:t xml:space="preserve">—</w:t>
      </w:r>
      <w:r>
        <w:t xml:space="preserve"> </w:t>
      </w:r>
      <w:r>
        <w:rPr>
          <w:bCs/>
          <w:b/>
        </w:rPr>
        <w:t xml:space="preserve">†, not opened</w:t>
      </w:r>
      <w:r>
        <w:t xml:space="preserve">. With five different values now in play (6–8.7%, ~9%, ~10%, 10.2%, 12%), this is not a minor rounding issue — no methodology reconciles them, and the honest statement for Stage 2 is that</w:t>
      </w:r>
      <w:r>
        <w:t xml:space="preserve"> </w:t>
      </w:r>
      <w:r>
        <w:rPr>
          <w:bCs/>
          <w:b/>
        </w:rPr>
        <w:t xml:space="preserve">Sierra Leone does not have a single credible, current fisheries GDP-share figure</w:t>
      </w:r>
      <w:r>
        <w:t xml:space="preserve">, only a wide, contested range.</w:t>
      </w:r>
    </w:p>
    <w:p>
      <w:pPr>
        <w:numPr>
          <w:ilvl w:val="0"/>
          <w:numId w:val="1002"/>
        </w:numPr>
      </w:pPr>
      <w:r>
        <w:rPr>
          <w:bCs/>
          <w:b/>
        </w:rPr>
        <w:t xml:space="preserve">A natural-capital figure, distinct from an annual GDP flow:</w:t>
      </w:r>
      <w:r>
        <w:t xml:space="preserve"> </w:t>
      </w:r>
      <w:r>
        <w:t xml:space="preserve">SLIEPA states Sierra Leone’s fisheries resources have an estimated</w:t>
      </w:r>
      <w:r>
        <w:t xml:space="preserve"> </w:t>
      </w:r>
      <w:r>
        <w:rPr>
          <w:bCs/>
          <w:b/>
        </w:rPr>
        <w:t xml:space="preserve">“</w:t>
      </w:r>
      <w:r>
        <w:rPr>
          <w:bCs/>
          <w:b/>
        </w:rPr>
        <w:t xml:space="preserve">capitalised economic value</w:t>
      </w:r>
      <w:r>
        <w:rPr>
          <w:bCs/>
          <w:b/>
        </w:rPr>
        <w:t xml:space="preserve">”</w:t>
      </w:r>
      <w:r>
        <w:rPr>
          <w:bCs/>
          <w:b/>
        </w:rPr>
        <w:t xml:space="preserve"> </w:t>
      </w:r>
      <w:r>
        <w:rPr>
          <w:bCs/>
          <w:b/>
        </w:rPr>
        <w:t xml:space="preserve">of USD 735 million</w:t>
      </w:r>
      <w:r>
        <w:t xml:space="preserve"> </w:t>
      </w:r>
      <w:r>
        <w:t xml:space="preserve">— this is a stock valuation of the resource, not annual revenue, and should not be confused with the GDP-share figures above.</w:t>
      </w:r>
      <w:r>
        <w:t xml:space="preserve"> </w:t>
      </w:r>
      <w:hyperlink r:id="rId23">
        <w:r>
          <w:rPr>
            <w:rStyle w:val="Hyperlink"/>
          </w:rPr>
          <w:t xml:space="preserve">SLIEPA</w:t>
        </w:r>
      </w:hyperlink>
      <w:r>
        <w:t xml:space="preserve"> </w:t>
      </w:r>
      <w:r>
        <w:t xml:space="preserve">—</w:t>
      </w:r>
      <w:r>
        <w:t xml:space="preserve"> </w:t>
      </w:r>
      <w:r>
        <w:rPr>
          <w:bCs/>
          <w:b/>
        </w:rPr>
        <w:t xml:space="preserve">†</w:t>
      </w:r>
      <w:r>
        <w:t xml:space="preserve">.</w:t>
      </w:r>
    </w:p>
    <w:p>
      <w:pPr>
        <w:numPr>
          <w:ilvl w:val="0"/>
          <w:numId w:val="1002"/>
        </w:numPr>
      </w:pPr>
      <w:r>
        <w:rPr>
          <w:bCs/>
          <w:b/>
        </w:rPr>
        <w:t xml:space="preserve">Catch volume:</w:t>
      </w:r>
      <w:r>
        <w:t xml:space="preserve"> </w:t>
      </w:r>
      <w:r>
        <w:t xml:space="preserve">one source states an annual fish catch of</w:t>
      </w:r>
      <w:r>
        <w:t xml:space="preserve"> </w:t>
      </w:r>
      <w:r>
        <w:rPr>
          <w:bCs/>
          <w:b/>
        </w:rPr>
        <w:t xml:space="preserve">134,000 tonnes</w:t>
      </w:r>
      <w:r>
        <w:t xml:space="preserve">, associated with AfDB-linked reporting in this pass but the exact primary document was not pinned down —</w:t>
      </w:r>
      <w:r>
        <w:t xml:space="preserve"> </w:t>
      </w:r>
      <w:r>
        <w:rPr>
          <w:bCs/>
          <w:b/>
        </w:rPr>
        <w:t xml:space="preserve">†, source needs Stage 2 identification</w:t>
      </w:r>
      <w:r>
        <w:t xml:space="preserve">. This is worth weighing against Sierra Fishing Company’s own stated expansion target of scaling its</w:t>
      </w:r>
      <w:r>
        <w:t xml:space="preserve"> </w:t>
      </w:r>
      <w:r>
        <w:rPr>
          <w:iCs/>
          <w:i/>
        </w:rPr>
        <w:t xml:space="preserve">monthly</w:t>
      </w:r>
      <w:r>
        <w:t xml:space="preserve"> </w:t>
      </w:r>
      <w:r>
        <w:t xml:space="preserve">catch from 3,000mt to 9,000mt (see Part 3) — annualised, that upper target (108,000mt/year) would represent roughly 80% of the entire national catch figure from a single company, which is either evidence that Sierra Fishing dominates the formal/export segment specifically, or evidence that the two figures are not measuring the same universe (national catch statistics are known to under-count artisanal landings, per the existing draft’s own Feed Salone Strategy citation). Flagged as an analytical tension for Stage 2, not resolved here.</w:t>
      </w:r>
    </w:p>
    <w:p>
      <w:pPr>
        <w:numPr>
          <w:ilvl w:val="0"/>
          <w:numId w:val="1002"/>
        </w:numPr>
      </w:pPr>
      <w:r>
        <w:rPr>
          <w:bCs/>
          <w:b/>
        </w:rPr>
        <w:t xml:space="preserve">Employment — a genuine, large-magnitude contradiction:</w:t>
      </w:r>
      <w:r>
        <w:t xml:space="preserve"> </w:t>
      </w:r>
      <w:r>
        <w:t xml:space="preserve">SLIEPA states the primary sector employs about</w:t>
      </w:r>
      <w:r>
        <w:t xml:space="preserve"> </w:t>
      </w:r>
      <w:r>
        <w:rPr>
          <w:bCs/>
          <w:b/>
        </w:rPr>
        <w:t xml:space="preserve">36,000 people</w:t>
      </w:r>
      <w:r>
        <w:t xml:space="preserve"> </w:t>
      </w:r>
      <w:r>
        <w:t xml:space="preserve">(30,000 artisanal fishers, 1,000 industrial fishers, 5,000 in inland/aquaculture) — though this figure could not be dated precisely in this pass and may be as old as 2013 based on related search results. A separate, AfDB-linked figure states the sector employs</w:t>
      </w:r>
      <w:r>
        <w:t xml:space="preserve"> </w:t>
      </w:r>
      <w:r>
        <w:rPr>
          <w:bCs/>
          <w:b/>
        </w:rPr>
        <w:t xml:space="preserve">230,000 people directly and indirectly</w:t>
      </w:r>
      <w:r>
        <w:t xml:space="preserve">. The existing draft separately carries a government claim (August 2025) that the sector</w:t>
      </w:r>
      <w:r>
        <w:t xml:space="preserve"> </w:t>
      </w:r>
      <w:r>
        <w:t xml:space="preserve">“</w:t>
      </w:r>
      <w:r>
        <w:t xml:space="preserve">sustains over a million people.</w:t>
      </w:r>
      <w:r>
        <w:t xml:space="preserve">”</w:t>
      </w:r>
      <w:r>
        <w:t xml:space="preserve"> </w:t>
      </w:r>
      <w:r>
        <w:rPr>
          <w:bCs/>
          <w:b/>
        </w:rPr>
        <w:t xml:space="preserve">Three figures spanning more than an order of magnitude (36,000 / 230,000 / 1,000,000+) are all in circulation for the same sector</w:t>
      </w:r>
      <w:r>
        <w:t xml:space="preserve"> </w:t>
      </w:r>
      <w:r>
        <w:t xml:space="preserve">— this should be logged as a major, unresolved contradiction, not averaged or silently picked from.</w:t>
      </w:r>
      <w:r>
        <w:t xml:space="preserve"> </w:t>
      </w:r>
      <w:hyperlink r:id="rId23">
        <w:r>
          <w:rPr>
            <w:rStyle w:val="Hyperlink"/>
          </w:rPr>
          <w:t xml:space="preserve">SLIEPA</w:t>
        </w:r>
      </w:hyperlink>
      <w:r>
        <w:t xml:space="preserve">; AfDB-linked figure — both</w:t>
      </w:r>
      <w:r>
        <w:t xml:space="preserve"> </w:t>
      </w:r>
      <w:r>
        <w:rPr>
          <w:bCs/>
          <w:b/>
        </w:rPr>
        <w:t xml:space="preserve">†, not opened</w:t>
      </w:r>
      <w:r>
        <w:t xml:space="preserve">.</w:t>
      </w:r>
    </w:p>
    <w:p>
      <w:pPr>
        <w:numPr>
          <w:ilvl w:val="0"/>
          <w:numId w:val="1002"/>
        </w:numPr>
      </w:pPr>
      <w:r>
        <w:rPr>
          <w:bCs/>
          <w:b/>
        </w:rPr>
        <w:t xml:space="preserve">Named, formally registered enterprises — corrected from the existing draft.</w:t>
      </w:r>
      <w:r>
        <w:t xml:space="preserve"> </w:t>
      </w:r>
      <w:r>
        <w:t xml:space="preserve">The existing draft states blue economy has</w:t>
      </w:r>
      <w:r>
        <w:t xml:space="preserve"> </w:t>
      </w:r>
      <w:r>
        <w:t xml:space="preserve">“</w:t>
      </w:r>
      <w:r>
        <w:t xml:space="preserve">0 named</w:t>
      </w:r>
      <w:r>
        <w:t xml:space="preserve">”</w:t>
      </w:r>
      <w:r>
        <w:t xml:space="preserve"> </w:t>
      </w:r>
      <w:r>
        <w:t xml:space="preserve">firms evidenced, with only</w:t>
      </w:r>
      <w:r>
        <w:t xml:space="preserve"> </w:t>
      </w:r>
      <w:r>
        <w:t xml:space="preserve">“</w:t>
      </w:r>
      <w:r>
        <w:t xml:space="preserve">three unnamed aquaculture operations cited by the strategy.</w:t>
      </w:r>
      <w:r>
        <w:t xml:space="preserve">”</w:t>
      </w:r>
      <w:r>
        <w:t xml:space="preserve"> </w:t>
      </w:r>
      <w:r>
        <w:t xml:space="preserve">This pass identifies two named, real operating companies (see Part 3 for full detail):</w:t>
      </w:r>
      <w:r>
        <w:t xml:space="preserve"> </w:t>
      </w:r>
      <w:r>
        <w:rPr>
          <w:bCs/>
          <w:b/>
        </w:rPr>
        <w:t xml:space="preserve">Sierra Fishing Company Ltd</w:t>
      </w:r>
      <w:r>
        <w:t xml:space="preserve"> </w:t>
      </w:r>
      <w:r>
        <w:t xml:space="preserve">(formal, 50+ years old, Sierra Leone’s largest seafood supplier) and</w:t>
      </w:r>
      <w:r>
        <w:t xml:space="preserve"> </w:t>
      </w:r>
      <w:r>
        <w:rPr>
          <w:bCs/>
          <w:b/>
        </w:rPr>
        <w:t xml:space="preserve">Eden Aqua</w:t>
      </w:r>
      <w:r>
        <w:t xml:space="preserve"> </w:t>
      </w:r>
      <w:r>
        <w:t xml:space="preserve">(a named, pilot-stage commercial aquaculture venture). This is a material correction to the existing draft’s visibility-boundary claim, not a minor addition.</w:t>
      </w:r>
    </w:p>
    <w:bookmarkEnd w:id="24"/>
    <w:bookmarkStart w:id="28" w:name="part-2-the-structural-problem"/>
    <w:p>
      <w:pPr>
        <w:pStyle w:val="Heading2"/>
      </w:pPr>
      <w:r>
        <w:t xml:space="preserve">Part 2 — The structural problem</w:t>
      </w:r>
    </w:p>
    <w:p>
      <w:pPr>
        <w:numPr>
          <w:ilvl w:val="0"/>
          <w:numId w:val="1003"/>
        </w:numPr>
      </w:pPr>
      <w:r>
        <w:rPr>
          <w:bCs/>
          <w:b/>
        </w:rPr>
        <w:t xml:space="preserve">The core problem is IUU fishing, now quantified for Sierra Leone specifically — a major upgrade from the existing draft, which had</w:t>
      </w:r>
      <w:r>
        <w:rPr>
          <w:bCs/>
          <w:b/>
        </w:rPr>
        <w:t xml:space="preserve"> </w:t>
      </w:r>
      <w:r>
        <w:rPr>
          <w:bCs/>
          <w:b/>
        </w:rPr>
        <w:t xml:space="preserve">“</w:t>
      </w:r>
      <w:r>
        <w:rPr>
          <w:bCs/>
          <w:b/>
        </w:rPr>
        <w:t xml:space="preserve">no reliable data identified</w:t>
      </w:r>
      <w:r>
        <w:rPr>
          <w:bCs/>
          <w:b/>
        </w:rPr>
        <w:t xml:space="preserve">”</w:t>
      </w:r>
      <w:r>
        <w:rPr>
          <w:bCs/>
          <w:b/>
        </w:rPr>
        <w:t xml:space="preserve"> </w:t>
      </w:r>
      <w:r>
        <w:rPr>
          <w:bCs/>
          <w:b/>
        </w:rPr>
        <w:t xml:space="preserve">on a quantified private financing/leakage gap.</w:t>
      </w:r>
      <w:r>
        <w:t xml:space="preserve"> </w:t>
      </w:r>
      <w:r>
        <w:t xml:space="preserve">Then-President Julius Maada Bio stated in 2018 that illegal, unreported and unregulated (IUU) fishing was costing Sierra Leone around</w:t>
      </w:r>
      <w:r>
        <w:t xml:space="preserve"> </w:t>
      </w:r>
      <w:r>
        <w:rPr>
          <w:bCs/>
          <w:b/>
        </w:rPr>
        <w:t xml:space="preserve">US$50 million per year</w:t>
      </w:r>
      <w:r>
        <w:t xml:space="preserve"> </w:t>
      </w:r>
      <w:r>
        <w:t xml:space="preserve">in potential fisheries revenue. Multiple secondary sources converge on the same figure:</w:t>
      </w:r>
      <w:r>
        <w:t xml:space="preserve"> </w:t>
      </w:r>
      <w:r>
        <w:rPr>
          <w:bCs/>
          <w:b/>
        </w:rPr>
        <w:t xml:space="preserve">Sierra Leone has the potential to earn more than US$50 million a year from its fisheries but ends up capturing less than US$18 million</w:t>
      </w:r>
      <w:r>
        <w:t xml:space="preserve">, a gap of</w:t>
      </w:r>
      <w:r>
        <w:t xml:space="preserve"> </w:t>
      </w:r>
      <w:r>
        <w:rPr>
          <w:bCs/>
          <w:b/>
        </w:rPr>
        <w:t xml:space="preserve">over US$32 million per year — more than 60% of potential value never captured.</w:t>
      </w:r>
      <w:r>
        <w:t xml:space="preserve"> </w:t>
      </w:r>
      <w:hyperlink r:id="rId25">
        <w:r>
          <w:rPr>
            <w:rStyle w:val="Hyperlink"/>
          </w:rPr>
          <w:t xml:space="preserve">Africa Defense Forum,</w:t>
        </w:r>
        <w:r>
          <w:rPr>
            <w:rStyle w:val="Hyperlink"/>
          </w:rPr>
          <w:t xml:space="preserve"> </w:t>
        </w:r>
        <w:r>
          <w:rPr>
            <w:rStyle w:val="Hyperlink"/>
          </w:rPr>
          <w:t xml:space="preserve">“</w:t>
        </w:r>
        <w:r>
          <w:rPr>
            <w:rStyle w:val="Hyperlink"/>
          </w:rPr>
          <w:t xml:space="preserve">Foreign Trawlers Target Sierra Leone’s Waters,</w:t>
        </w:r>
        <w:r>
          <w:rPr>
            <w:rStyle w:val="Hyperlink"/>
          </w:rPr>
          <w:t xml:space="preserve">”</w:t>
        </w:r>
        <w:r>
          <w:rPr>
            <w:rStyle w:val="Hyperlink"/>
          </w:rPr>
          <w:t xml:space="preserve"> </w:t>
        </w:r>
        <w:r>
          <w:rPr>
            <w:rStyle w:val="Hyperlink"/>
          </w:rPr>
          <w:t xml:space="preserve">March 2022</w:t>
        </w:r>
      </w:hyperlink>
      <w:r>
        <w:t xml:space="preserve">;</w:t>
      </w:r>
      <w:r>
        <w:t xml:space="preserve"> </w:t>
      </w:r>
      <w:hyperlink r:id="rId26">
        <w:r>
          <w:rPr>
            <w:rStyle w:val="Hyperlink"/>
          </w:rPr>
          <w:t xml:space="preserve">Maritime Executive</w:t>
        </w:r>
      </w:hyperlink>
      <w:r>
        <w:t xml:space="preserve"> </w:t>
      </w:r>
      <w:r>
        <w:t xml:space="preserve">—</w:t>
      </w:r>
      <w:r>
        <w:t xml:space="preserve"> </w:t>
      </w:r>
      <w:r>
        <w:rPr>
          <w:bCs/>
          <w:b/>
        </w:rPr>
        <w:t xml:space="preserve">†, both blocked, not opened, but the figure is corroborated across at least two independent secondary sources plus a presidential statement</w:t>
      </w:r>
      <w:r>
        <w:t xml:space="preserve">, which is a stronger evidentiary basis than most figures in this assessment.</w:t>
      </w:r>
    </w:p>
    <w:p>
      <w:pPr>
        <w:numPr>
          <w:ilvl w:val="0"/>
          <w:numId w:val="1003"/>
        </w:numPr>
      </w:pPr>
      <w:r>
        <w:rPr>
          <w:bCs/>
          <w:b/>
        </w:rPr>
        <w:t xml:space="preserve">Who captures the value, now named:</w:t>
      </w:r>
      <w:r>
        <w:t xml:space="preserve"> </w:t>
      </w:r>
      <w:r>
        <w:rPr>
          <w:bCs/>
          <w:b/>
        </w:rPr>
        <w:t xml:space="preserve">China accounts for roughly 75% of Sierra Leone’s industrialised fishing fleet.</w:t>
      </w:r>
      <w:r>
        <w:t xml:space="preserve"> </w:t>
      </w:r>
      <w:r>
        <w:t xml:space="preserve">Industrial trawlers — predominantly Chinese-flagged or Chinese-linked — pay comparatively small licence fees and are reported to under-declare catch, using larger nets and wider access to outcompete artisanal fishers while providing little benefit to the local economy. A bilateral Sierra Leone–China fisheries agreement is reported to include plans for a new industrial fishing harbour near Freetown.</w:t>
      </w:r>
      <w:r>
        <w:t xml:space="preserve"> </w:t>
      </w:r>
      <w:hyperlink r:id="rId25">
        <w:r>
          <w:rPr>
            <w:rStyle w:val="Hyperlink"/>
          </w:rPr>
          <w:t xml:space="preserve">Africa Defense Forum</w:t>
        </w:r>
      </w:hyperlink>
      <w:r>
        <w:t xml:space="preserve"> </w:t>
      </w:r>
      <w:r>
        <w:t xml:space="preserve">—</w:t>
      </w:r>
      <w:r>
        <w:t xml:space="preserve"> </w:t>
      </w:r>
      <w:r>
        <w:rPr>
          <w:bCs/>
          <w:b/>
        </w:rPr>
        <w:t xml:space="preserve">†, not opened; the harbour project specifically needs direct confirmation — this is exactly the kind of live, large-scale development item that desk research cannot resolve and that WS1’s direct-engagement follow-on should chase.</w:t>
      </w:r>
    </w:p>
    <w:p>
      <w:pPr>
        <w:numPr>
          <w:ilvl w:val="0"/>
          <w:numId w:val="1003"/>
        </w:numPr>
      </w:pPr>
      <w:r>
        <w:rPr>
          <w:bCs/>
          <w:b/>
        </w:rPr>
        <w:t xml:space="preserve">Historical context, flagged as dated:</w:t>
      </w:r>
      <w:r>
        <w:t xml:space="preserve"> </w:t>
      </w:r>
      <w:r>
        <w:t xml:space="preserve">an old EU–Sierra Leone fishing access agreement set fees at ECU 20 per tonne caught — this is a historical figure from an earlier agreement and should not be read as a current licensing rate.</w:t>
      </w:r>
      <w:r>
        <w:t xml:space="preserve"> </w:t>
      </w:r>
      <w:hyperlink r:id="rId27">
        <w:r>
          <w:rPr>
            <w:rStyle w:val="Hyperlink"/>
          </w:rPr>
          <w:t xml:space="preserve">FAOLEX</w:t>
        </w:r>
      </w:hyperlink>
      <w:r>
        <w:t xml:space="preserve"> </w:t>
      </w:r>
      <w:r>
        <w:t xml:space="preserve">—</w:t>
      </w:r>
      <w:r>
        <w:t xml:space="preserve"> </w:t>
      </w:r>
      <w:r>
        <w:rPr>
          <w:bCs/>
          <w:b/>
        </w:rPr>
        <w:t xml:space="preserve">†, not opened, superseded status unconfirmed</w:t>
      </w:r>
      <w:r>
        <w:t xml:space="preserve">.</w:t>
      </w:r>
    </w:p>
    <w:bookmarkEnd w:id="28"/>
    <w:bookmarkStart w:id="34" w:name="part-3-is-this-sector-investable-now"/>
    <w:p>
      <w:pPr>
        <w:pStyle w:val="Heading2"/>
      </w:pPr>
      <w:r>
        <w:t xml:space="preserve">Part 3 — Is this sector investable now?</w:t>
      </w:r>
    </w:p>
    <w:p>
      <w:pPr>
        <w:pStyle w:val="FirstParagraph"/>
      </w:pPr>
      <w:r>
        <w:rPr>
          <w:bCs/>
          <w:b/>
        </w:rPr>
        <w:t xml:space="preserve">This is the single most significant correction this pass makes to the existing draft.</w:t>
      </w:r>
      <w:r>
        <w:t xml:space="preserve"> </w:t>
      </w:r>
      <w:r>
        <w:t xml:space="preserve">The existing draft states:</w:t>
      </w:r>
      <w:r>
        <w:t xml:space="preserve"> </w:t>
      </w:r>
      <w:r>
        <w:rPr>
          <w:iCs/>
          <w:i/>
        </w:rPr>
        <w:t xml:space="preserve">“</w:t>
      </w:r>
      <w:r>
        <w:rPr>
          <w:iCs/>
          <w:i/>
        </w:rPr>
        <w:t xml:space="preserve">No named, revenue-generating Sierra Leonean blue-economy venture was evidenced</w:t>
      </w:r>
      <w:r>
        <w:rPr>
          <w:iCs/>
          <w:i/>
        </w:rPr>
        <w:t xml:space="preserve">”</w:t>
      </w:r>
      <w:r>
        <w:t xml:space="preserve"> </w:t>
      </w:r>
      <w:r>
        <w:t xml:space="preserve">and, in the recommendations table,</w:t>
      </w:r>
      <w:r>
        <w:t xml:space="preserve"> </w:t>
      </w:r>
      <w:r>
        <w:t xml:space="preserve">“</w:t>
      </w:r>
      <w:r>
        <w:t xml:space="preserve">no commercial capital</w:t>
      </w:r>
      <w:r>
        <w:t xml:space="preserve">”</w:t>
      </w:r>
      <w:r>
        <w:t xml:space="preserve"> </w:t>
      </w:r>
      <w:r>
        <w:t xml:space="preserve">deployed in the sector. Both statements do not hold up against what this pass found.</w:t>
      </w:r>
    </w:p>
    <w:p>
      <w:pPr>
        <w:numPr>
          <w:ilvl w:val="0"/>
          <w:numId w:val="1004"/>
        </w:numPr>
      </w:pPr>
      <w:r>
        <w:rPr>
          <w:bCs/>
          <w:b/>
        </w:rPr>
        <w:t xml:space="preserve">Sierra Fishing Company Ltd</w:t>
      </w:r>
      <w:r>
        <w:t xml:space="preserve"> </w:t>
      </w:r>
      <w:r>
        <w:t xml:space="preserve">— a vertically integrated seafood business headquartered in Freetown,</w:t>
      </w:r>
      <w:r>
        <w:t xml:space="preserve"> </w:t>
      </w:r>
      <w:r>
        <w:rPr>
          <w:bCs/>
          <w:b/>
        </w:rPr>
        <w:t xml:space="preserve">operating for over 50 years</w:t>
      </w:r>
      <w:r>
        <w:t xml:space="preserve">, and</w:t>
      </w:r>
      <w:r>
        <w:t xml:space="preserve"> </w:t>
      </w:r>
      <w:r>
        <w:rPr>
          <w:bCs/>
          <w:b/>
        </w:rPr>
        <w:t xml:space="preserve">Sierra Leone’s largest seafood supplier</w:t>
      </w:r>
      <w:r>
        <w:t xml:space="preserve">, with a network of</w:t>
      </w:r>
      <w:r>
        <w:t xml:space="preserve"> </w:t>
      </w:r>
      <w:r>
        <w:rPr>
          <w:bCs/>
          <w:b/>
        </w:rPr>
        <w:t xml:space="preserve">eight fish depots</w:t>
      </w:r>
      <w:r>
        <w:t xml:space="preserve"> </w:t>
      </w:r>
      <w:r>
        <w:t xml:space="preserve">across the country. The company is mid-expansion: building a new processing factory and additional cold storage, and has</w:t>
      </w:r>
      <w:r>
        <w:t xml:space="preserve"> </w:t>
      </w:r>
      <w:r>
        <w:rPr>
          <w:bCs/>
          <w:b/>
        </w:rPr>
        <w:t xml:space="preserve">recently opened a 1,000-tonne cold store in Liberia</w:t>
      </w:r>
      <w:r>
        <w:t xml:space="preserve">; it exports to Ghana, Mali, Nigeria, Côte d’Ivoire and Liberia. Its stated expansion plan is to scale monthly catch from</w:t>
      </w:r>
      <w:r>
        <w:t xml:space="preserve"> </w:t>
      </w:r>
      <w:r>
        <w:rPr>
          <w:bCs/>
          <w:b/>
        </w:rPr>
        <w:t xml:space="preserve">3,000mt to 9,000mt within 12 months</w:t>
      </w:r>
      <w:r>
        <w:t xml:space="preserve">.</w:t>
      </w:r>
      <w:r>
        <w:t xml:space="preserve"> </w:t>
      </w:r>
      <w:hyperlink r:id="rId29">
        <w:r>
          <w:rPr>
            <w:rStyle w:val="Hyperlink"/>
          </w:rPr>
          <w:t xml:space="preserve">Sierra Fishing Company</w:t>
        </w:r>
      </w:hyperlink>
      <w:r>
        <w:t xml:space="preserve">;</w:t>
      </w:r>
      <w:r>
        <w:t xml:space="preserve"> </w:t>
      </w:r>
      <w:hyperlink r:id="rId30">
        <w:r>
          <w:rPr>
            <w:rStyle w:val="Hyperlink"/>
          </w:rPr>
          <w:t xml:space="preserve">SLIEPA investor profile</w:t>
        </w:r>
      </w:hyperlink>
      <w:r>
        <w:t xml:space="preserve"> </w:t>
      </w:r>
      <w:r>
        <w:t xml:space="preserve">—</w:t>
      </w:r>
      <w:r>
        <w:t xml:space="preserve"> </w:t>
      </w:r>
      <w:r>
        <w:rPr>
          <w:bCs/>
          <w:b/>
        </w:rPr>
        <w:t xml:space="preserve">†, both blocked, not opened</w:t>
      </w:r>
      <w:r>
        <w:t xml:space="preserve">.</w:t>
      </w:r>
    </w:p>
    <w:p>
      <w:pPr>
        <w:numPr>
          <w:ilvl w:val="0"/>
          <w:numId w:val="1004"/>
        </w:numPr>
      </w:pPr>
      <w:r>
        <w:rPr>
          <w:bCs/>
          <w:b/>
        </w:rPr>
        <w:t xml:space="preserve">A real, named, DFI-backed private equity transaction exists — the existing draft’s</w:t>
      </w:r>
      <w:r>
        <w:rPr>
          <w:bCs/>
          <w:b/>
        </w:rPr>
        <w:t xml:space="preserve"> </w:t>
      </w:r>
      <w:r>
        <w:rPr>
          <w:bCs/>
          <w:b/>
        </w:rPr>
        <w:t xml:space="preserve">“</w:t>
      </w:r>
      <w:r>
        <w:rPr>
          <w:bCs/>
          <w:b/>
        </w:rPr>
        <w:t xml:space="preserve">no investor has deployed capital</w:t>
      </w:r>
      <w:r>
        <w:rPr>
          <w:bCs/>
          <w:b/>
        </w:rPr>
        <w:t xml:space="preserve">”</w:t>
      </w:r>
      <w:r>
        <w:rPr>
          <w:bCs/>
          <w:b/>
        </w:rPr>
        <w:t xml:space="preserve"> </w:t>
      </w:r>
      <w:r>
        <w:rPr>
          <w:bCs/>
          <w:b/>
        </w:rPr>
        <w:t xml:space="preserve">claim is incorrect.</w:t>
      </w:r>
      <w:r>
        <w:t xml:space="preserve"> </w:t>
      </w:r>
      <w:r>
        <w:rPr>
          <w:bCs/>
          <w:b/>
        </w:rPr>
        <w:t xml:space="preserve">MIGA (the World Bank Group’s Multilateral Investment Guarantee Agency) issued a US$4.5 million guarantee to Sierra Investment Fund LLC (SIF), a Mauritius-domiciled vehicle managed by fund manager ManoCap</w:t>
      </w:r>
      <w:r>
        <w:t xml:space="preserve">, to support SIF’s acquisition of equity in Sierra Fishing Company and to finance the firm’s modernisation and expansion. The transaction is recorded as a</w:t>
      </w:r>
      <w:r>
        <w:t xml:space="preserve"> </w:t>
      </w:r>
      <w:r>
        <w:rPr>
          <w:bCs/>
          <w:b/>
        </w:rPr>
        <w:t xml:space="preserve">Private Equity round dated 1 October 2008.</w:t>
      </w:r>
      <w:r>
        <w:t xml:space="preserve"> </w:t>
      </w:r>
      <w:hyperlink r:id="rId31">
        <w:r>
          <w:rPr>
            <w:rStyle w:val="Hyperlink"/>
          </w:rPr>
          <w:t xml:space="preserve">MIGA project page</w:t>
        </w:r>
      </w:hyperlink>
      <w:r>
        <w:t xml:space="preserve"> </w:t>
      </w:r>
      <w:r>
        <w:t xml:space="preserve">—</w:t>
      </w:r>
      <w:r>
        <w:t xml:space="preserve"> </w:t>
      </w:r>
      <w:r>
        <w:rPr>
          <w:bCs/>
          <w:b/>
        </w:rPr>
        <w:t xml:space="preserve">†, blocked, not opened</w:t>
      </w:r>
      <w:r>
        <w:t xml:space="preserve">. This is precisely the kind of DFI-guaranteed, PE-into-a-Sierra-Leonean-company precedent the existing draft claims does not exist anywhere in this sector — and it should also be flagged to</w:t>
      </w:r>
      <w:r>
        <w:t xml:space="preserve"> </w:t>
      </w:r>
      <w:r>
        <w:rPr>
          <w:bCs/>
          <w:b/>
        </w:rPr>
        <w:t xml:space="preserve">WS5 (Benchmarking)</w:t>
      </w:r>
      <w:r>
        <w:t xml:space="preserve">, since it is a rare, real, dated example of a fund vehicle acquiring equity in a Sierra Leonean operating company.</w:t>
      </w:r>
      <w:r>
        <w:t xml:space="preserve"> </w:t>
      </w:r>
      <w:r>
        <w:rPr>
          <w:bCs/>
          <w:b/>
        </w:rPr>
        <w:t xml:space="preserve">No reliable data identified</w:t>
      </w:r>
      <w:r>
        <w:t xml:space="preserve"> </w:t>
      </w:r>
      <w:r>
        <w:t xml:space="preserve">on the fund’s current status or eventual exit (whether ManoCap/SIF still holds the position, sold it on, or wrote it off) — this is a specific, high-value verification target for Stage 2.</w:t>
      </w:r>
    </w:p>
    <w:p>
      <w:pPr>
        <w:numPr>
          <w:ilvl w:val="0"/>
          <w:numId w:val="1004"/>
        </w:numPr>
      </w:pPr>
      <w:r>
        <w:rPr>
          <w:bCs/>
          <w:b/>
        </w:rPr>
        <w:t xml:space="preserve">Eden Aqua</w:t>
      </w:r>
      <w:r>
        <w:t xml:space="preserve"> </w:t>
      </w:r>
      <w:r>
        <w:t xml:space="preserve">— a named, pilot-stage commercial aquaculture venture farming tilapia and catfish, operating a 4-hectare, 26-pond pilot site with a dam, sedimentation tank, and nursery/hatchery facilities, collaborating with FUTUREFISH, R&amp;B Farms, the African Aquaculture Business Leaders Network, and the University of Sierra Leone.</w:t>
      </w:r>
      <w:r>
        <w:t xml:space="preserve"> </w:t>
      </w:r>
      <w:hyperlink r:id="rId32">
        <w:r>
          <w:rPr>
            <w:rStyle w:val="Hyperlink"/>
          </w:rPr>
          <w:t xml:space="preserve">Eden Aqua</w:t>
        </w:r>
      </w:hyperlink>
      <w:r>
        <w:t xml:space="preserve"> </w:t>
      </w:r>
      <w:r>
        <w:t xml:space="preserve">—</w:t>
      </w:r>
      <w:r>
        <w:t xml:space="preserve"> </w:t>
      </w:r>
      <w:r>
        <w:rPr>
          <w:bCs/>
          <w:b/>
        </w:rPr>
        <w:t xml:space="preserve">†, blocked, not opened</w:t>
      </w:r>
      <w:r>
        <w:t xml:space="preserve">. This replaces the existing draft’s vague</w:t>
      </w:r>
      <w:r>
        <w:t xml:space="preserve"> </w:t>
      </w:r>
      <w:r>
        <w:t xml:space="preserve">“</w:t>
      </w:r>
      <w:r>
        <w:t xml:space="preserve">three unnamed aquaculture operations cited by the strategy</w:t>
      </w:r>
      <w:r>
        <w:t xml:space="preserve">”</w:t>
      </w:r>
      <w:r>
        <w:t xml:space="preserve"> </w:t>
      </w:r>
      <w:r>
        <w:t xml:space="preserve">with one specific, named, real entity — though</w:t>
      </w:r>
      <w:r>
        <w:t xml:space="preserve"> </w:t>
      </w:r>
      <w:r>
        <w:rPr>
          <w:bCs/>
          <w:b/>
        </w:rPr>
        <w:t xml:space="preserve">no reliable revenue data was identified</w:t>
      </w:r>
      <w:r>
        <w:t xml:space="preserve">, and independent commentary describes the sector as still needing</w:t>
      </w:r>
      <w:r>
        <w:t xml:space="preserve"> </w:t>
      </w:r>
      <w:r>
        <w:t xml:space="preserve">“</w:t>
      </w:r>
      <w:r>
        <w:t xml:space="preserve">pioneering investors</w:t>
      </w:r>
      <w:r>
        <w:t xml:space="preserve">”</w:t>
      </w:r>
      <w:r>
        <w:t xml:space="preserve"> </w:t>
      </w:r>
      <w:r>
        <w:t xml:space="preserve">to prove commercial viability (see below).</w:t>
      </w:r>
    </w:p>
    <w:p>
      <w:pPr>
        <w:numPr>
          <w:ilvl w:val="0"/>
          <w:numId w:val="1004"/>
        </w:numPr>
      </w:pPr>
      <w:r>
        <w:rPr>
          <w:bCs/>
          <w:b/>
        </w:rPr>
        <w:t xml:space="preserve">Minimum viable business model:</w:t>
      </w:r>
      <w:r>
        <w:t xml:space="preserve"> </w:t>
      </w:r>
      <w:r>
        <w:t xml:space="preserve">two distinct models are now evidenced. Sierra Fishing Company demonstrates that a</w:t>
      </w:r>
      <w:r>
        <w:t xml:space="preserve"> </w:t>
      </w:r>
      <w:r>
        <w:rPr>
          <w:bCs/>
          <w:b/>
        </w:rPr>
        <w:t xml:space="preserve">vertically integrated catch-process-cold chain-export model is viable at real scale</w:t>
      </w:r>
      <w:r>
        <w:t xml:space="preserve"> </w:t>
      </w:r>
      <w:r>
        <w:t xml:space="preserve">in Sierra Leone today, and has been for decades. Aquaculture (Eden Aqua) remains</w:t>
      </w:r>
      <w:r>
        <w:t xml:space="preserve"> </w:t>
      </w:r>
      <w:r>
        <w:rPr>
          <w:bCs/>
          <w:b/>
        </w:rPr>
        <w:t xml:space="preserve">pre-commercial and pilot-stage</w:t>
      </w:r>
      <w:r>
        <w:t xml:space="preserve">; an industry analysis states plainly that</w:t>
      </w:r>
      <w:r>
        <w:t xml:space="preserve"> </w:t>
      </w:r>
      <w:r>
        <w:t xml:space="preserve">“</w:t>
      </w:r>
      <w:r>
        <w:t xml:space="preserve">pioneer investment is needed… to establish a fully commercial tilapia aquaculture venture</w:t>
      </w:r>
      <w:r>
        <w:t xml:space="preserve">”</w:t>
      </w:r>
      <w:r>
        <w:t xml:space="preserve"> </w:t>
      </w:r>
      <w:r>
        <w:t xml:space="preserve">to demonstrate viability and unlock follow-on investment.</w:t>
      </w:r>
      <w:r>
        <w:t xml:space="preserve"> </w:t>
      </w:r>
      <w:hyperlink r:id="rId33">
        <w:r>
          <w:rPr>
            <w:rStyle w:val="Hyperlink"/>
          </w:rPr>
          <w:t xml:space="preserve">The Fish Site,</w:t>
        </w:r>
        <w:r>
          <w:rPr>
            <w:rStyle w:val="Hyperlink"/>
          </w:rPr>
          <w:t xml:space="preserve"> </w:t>
        </w:r>
        <w:r>
          <w:rPr>
            <w:rStyle w:val="Hyperlink"/>
          </w:rPr>
          <w:t xml:space="preserve">“</w:t>
        </w:r>
        <w:r>
          <w:rPr>
            <w:rStyle w:val="Hyperlink"/>
          </w:rPr>
          <w:t xml:space="preserve">Pioneering investors needed to kickstart aquaculture in Sierra Leone</w:t>
        </w:r>
        <w:r>
          <w:rPr>
            <w:rStyle w:val="Hyperlink"/>
          </w:rPr>
          <w:t xml:space="preserve">”</w:t>
        </w:r>
      </w:hyperlink>
      <w:r>
        <w:t xml:space="preserve"> </w:t>
      </w:r>
      <w:r>
        <w:t xml:space="preserve">—</w:t>
      </w:r>
      <w:r>
        <w:t xml:space="preserve"> </w:t>
      </w:r>
      <w:r>
        <w:rPr>
          <w:bCs/>
          <w:b/>
        </w:rPr>
        <w:t xml:space="preserve">†, not opened</w:t>
      </w:r>
      <w:r>
        <w:t xml:space="preserve">. As of a 2015–16 baseline, only</w:t>
      </w:r>
      <w:r>
        <w:t xml:space="preserve"> </w:t>
      </w:r>
      <w:r>
        <w:rPr>
          <w:bCs/>
          <w:b/>
        </w:rPr>
        <w:t xml:space="preserve">271 aquaculture ponds</w:t>
      </w:r>
      <w:r>
        <w:t xml:space="preserve"> </w:t>
      </w:r>
      <w:r>
        <w:t xml:space="preserve">were operational nationwide — a small, fragmented base.</w:t>
      </w:r>
    </w:p>
    <w:p>
      <w:pPr>
        <w:numPr>
          <w:ilvl w:val="0"/>
          <w:numId w:val="1004"/>
        </w:numPr>
      </w:pPr>
      <w:r>
        <w:rPr>
          <w:bCs/>
          <w:b/>
        </w:rPr>
        <w:t xml:space="preserve">Venture-scale potential:</w:t>
      </w:r>
      <w:r>
        <w:t xml:space="preserve"> </w:t>
      </w:r>
      <w:r>
        <w:t xml:space="preserve">as with AgTech (Sector 1) and Climate/carbon (Sector 2), this is</w:t>
      </w:r>
      <w:r>
        <w:t xml:space="preserve"> </w:t>
      </w:r>
      <w:r>
        <w:rPr>
          <w:bCs/>
          <w:b/>
        </w:rPr>
        <w:t xml:space="preserve">asset and growth-equity territory, not software-venture territory</w:t>
      </w:r>
      <w:r>
        <w:t xml:space="preserve"> </w:t>
      </w:r>
      <w:r>
        <w:t xml:space="preserve">— but, uniquely among the sectors assessed so far, it has a</w:t>
      </w:r>
      <w:r>
        <w:t xml:space="preserve"> </w:t>
      </w:r>
      <w:r>
        <w:rPr>
          <w:bCs/>
          <w:b/>
        </w:rPr>
        <w:t xml:space="preserve">real, dated, DFI-guaranteed precedent transaction</w:t>
      </w:r>
      <w:r>
        <w:t xml:space="preserve"> </w:t>
      </w:r>
      <w:r>
        <w:t xml:space="preserve">(the 2008 MIGA/ManoCap deal) proving that this kind of capital has actually been put to work here before, not merely that it theoretically could be.</w:t>
      </w:r>
    </w:p>
    <w:p>
      <w:pPr>
        <w:numPr>
          <w:ilvl w:val="0"/>
          <w:numId w:val="1004"/>
        </w:numPr>
      </w:pPr>
      <w:r>
        <w:rPr>
          <w:bCs/>
          <w:b/>
        </w:rPr>
        <w:t xml:space="preserve">What a company would need to reach US$1M annual revenue:</w:t>
      </w:r>
      <w:r>
        <w:t xml:space="preserve"> </w:t>
      </w:r>
      <w:r>
        <w:t xml:space="preserve">for an established player like Sierra Fishing, this is clearly not the binding constraint — even at conservative per-tonne export pricing, a 9,000mt/month catch target implies annual revenue many multiples of US$1M (</w:t>
      </w:r>
      <w:r>
        <w:rPr>
          <w:bCs/>
          <w:b/>
        </w:rPr>
        <w:t xml:space="preserve">no exact revenue figure was disclosed and this is not independently calculated here</w:t>
      </w:r>
      <w:r>
        <w:t xml:space="preserve">). For a new aquaculture entrant, the binding constraint is proving basic operational viability (feed cost, water management, disease/technical knowledge) at pilot scale before revenue scale becomes the relevant question at all.</w:t>
      </w:r>
    </w:p>
    <w:p>
      <w:pPr>
        <w:numPr>
          <w:ilvl w:val="0"/>
          <w:numId w:val="1004"/>
        </w:numPr>
      </w:pPr>
      <w:r>
        <w:rPr>
          <w:bCs/>
          <w:b/>
        </w:rPr>
        <w:t xml:space="preserve">Exit environment:</w:t>
      </w:r>
      <w:r>
        <w:t xml:space="preserve"> </w:t>
      </w:r>
      <w:r>
        <w:rPr>
          <w:bCs/>
          <w:b/>
        </w:rPr>
        <w:t xml:space="preserve">no reliable data identified</w:t>
      </w:r>
      <w:r>
        <w:t xml:space="preserve"> </w:t>
      </w:r>
      <w:r>
        <w:t xml:space="preserve">on any subsequent sale, IPO, or write-off of the Sierra Investment Fund’s 2008 position in Sierra Fishing Company — a specific, high-value gap for Stage 2 (it would show whether this kind of transaction actually returns capital in Sierra Leone, which is exactly the question WS5 needs answered). No other regional M&amp;A or exit data for blue-economy assets was identified in this pass.</w:t>
      </w:r>
    </w:p>
    <w:bookmarkEnd w:id="34"/>
    <w:bookmarkStart w:id="35" w:name="part-4-capital-and-instrument-fit"/>
    <w:p>
      <w:pPr>
        <w:pStyle w:val="Heading2"/>
      </w:pPr>
      <w:r>
        <w:t xml:space="preserve">Part 4 — Capital and instrument fit</w:t>
      </w:r>
    </w:p>
    <w:p>
      <w:pPr>
        <w:numPr>
          <w:ilvl w:val="0"/>
          <w:numId w:val="1005"/>
        </w:numPr>
      </w:pPr>
      <w:r>
        <w:rPr>
          <w:bCs/>
          <w:b/>
        </w:rPr>
        <w:t xml:space="preserve">What is needed:</w:t>
      </w:r>
      <w:r>
        <w:t xml:space="preserve"> </w:t>
      </w:r>
      <w:r>
        <w:t xml:space="preserve">growth equity or debt for established players undertaking capital-intensive expansion (fleet, cold storage, processing — as Sierra Fishing is currently doing); pioneer/seed equity plus heavy technical assistance for aquaculture (Eden Aqua-stage ventures); grant and donor TA for MCS/surveillance infrastructure and enforcement capacity.</w:t>
      </w:r>
    </w:p>
    <w:p>
      <w:pPr>
        <w:numPr>
          <w:ilvl w:val="0"/>
          <w:numId w:val="1005"/>
        </w:numPr>
      </w:pPr>
      <w:r>
        <w:rPr>
          <w:bCs/>
          <w:b/>
        </w:rPr>
        <w:t xml:space="preserve">Debt service vs. equity-only:</w:t>
      </w:r>
      <w:r>
        <w:t xml:space="preserve"> </w:t>
      </w:r>
      <w:r>
        <w:t xml:space="preserve">Sierra Fishing’s decades-long, self-funded, ongoing expansion suggests the underlying economics can plausibly support debt, though no specific debt facility was evidenced in this pass (the one evidenced transaction, MIGA/ManoCap 2008, is equity plus a political-risk guarantee, not debt). Aquaculture at Eden Aqua’s stage is unambiguously equity/grant-only.</w:t>
      </w:r>
    </w:p>
    <w:p>
      <w:pPr>
        <w:numPr>
          <w:ilvl w:val="0"/>
          <w:numId w:val="1005"/>
        </w:numPr>
      </w:pPr>
      <w:r>
        <w:rPr>
          <w:bCs/>
          <w:b/>
        </w:rPr>
        <w:t xml:space="preserve">Ticket size precedent:</w:t>
      </w:r>
      <w:r>
        <w:t xml:space="preserve"> </w:t>
      </w:r>
      <w:r>
        <w:t xml:space="preserve">the</w:t>
      </w:r>
      <w:r>
        <w:t xml:space="preserve"> </w:t>
      </w:r>
      <w:r>
        <w:rPr>
          <w:bCs/>
          <w:b/>
        </w:rPr>
        <w:t xml:space="preserve">US$4.5 million MIGA guarantee (2008)</w:t>
      </w:r>
      <w:r>
        <w:t xml:space="preserve"> </w:t>
      </w:r>
      <w:r>
        <w:t xml:space="preserve">is the first hard, sector-specific ticket-size figure identified in this sector across both this pass and the existing draft — a materially more concrete data point than the existing draft’s</w:t>
      </w:r>
      <w:r>
        <w:t xml:space="preserve"> </w:t>
      </w:r>
      <w:r>
        <w:t xml:space="preserve">“</w:t>
      </w:r>
      <w:r>
        <w:t xml:space="preserve">no reliable data identified</w:t>
      </w:r>
      <w:r>
        <w:t xml:space="preserve">”</w:t>
      </w:r>
      <w:r>
        <w:t xml:space="preserve"> </w:t>
      </w:r>
      <w:r>
        <w:t xml:space="preserve">for financing gap and ticket size in this sector.</w:t>
      </w:r>
    </w:p>
    <w:p>
      <w:pPr>
        <w:numPr>
          <w:ilvl w:val="0"/>
          <w:numId w:val="1005"/>
        </w:numPr>
      </w:pPr>
      <w:r>
        <w:rPr>
          <w:bCs/>
          <w:b/>
        </w:rPr>
        <w:t xml:space="preserve">Active investors:</w:t>
      </w:r>
      <w:r>
        <w:t xml:space="preserve"> </w:t>
      </w:r>
      <w:r>
        <w:rPr>
          <w:bCs/>
          <w:b/>
        </w:rPr>
        <w:t xml:space="preserve">ManoCap</w:t>
      </w:r>
      <w:r>
        <w:t xml:space="preserve"> </w:t>
      </w:r>
      <w:r>
        <w:t xml:space="preserve">(a West Africa-focused private equity manager) is a named, real precedent investor, via the Sierra Investment Fund vehicle;</w:t>
      </w:r>
      <w:r>
        <w:t xml:space="preserve"> </w:t>
      </w:r>
      <w:r>
        <w:rPr>
          <w:bCs/>
          <w:b/>
        </w:rPr>
        <w:t xml:space="preserve">MIGA</w:t>
      </w:r>
      <w:r>
        <w:t xml:space="preserve"> </w:t>
      </w:r>
      <w:r>
        <w:t xml:space="preserve">as political-risk guarantor.</w:t>
      </w:r>
      <w:r>
        <w:t xml:space="preserve"> </w:t>
      </w:r>
      <w:r>
        <w:rPr>
          <w:bCs/>
          <w:b/>
        </w:rPr>
        <w:t xml:space="preserve">No reliable data identified</w:t>
      </w:r>
      <w:r>
        <w:t xml:space="preserve"> </w:t>
      </w:r>
      <w:r>
        <w:t xml:space="preserve">on whether ManoCap is still an active investor in the region today, or whether it has any current Sierra Leone mandate — flagged as a direct WS4 (LP/funder research) outreach target.</w:t>
      </w:r>
    </w:p>
    <w:p>
      <w:pPr>
        <w:numPr>
          <w:ilvl w:val="0"/>
          <w:numId w:val="1005"/>
        </w:numPr>
      </w:pPr>
      <w:r>
        <w:rPr>
          <w:bCs/>
          <w:b/>
        </w:rPr>
        <w:t xml:space="preserve">Financing gap:</w:t>
      </w:r>
      <w:r>
        <w:t xml:space="preserve"> </w:t>
      </w:r>
      <w:r>
        <w:t xml:space="preserve">still no single, precisely quantified sector financing-gap figure, but the</w:t>
      </w:r>
      <w:r>
        <w:t xml:space="preserve"> </w:t>
      </w:r>
      <w:r>
        <w:rPr>
          <w:bCs/>
          <w:b/>
        </w:rPr>
        <w:t xml:space="preserve">US$32 million/year IUU-leakage gap</w:t>
      </w:r>
      <w:r>
        <w:t xml:space="preserve"> </w:t>
      </w:r>
      <w:r>
        <w:t xml:space="preserve">(Part 2) functions as a real, evidenced market-size signal for any investable enforcement, traceability, or MCS-support business model — a materially more useful number than the existing draft had available.</w:t>
      </w:r>
    </w:p>
    <w:bookmarkEnd w:id="35"/>
    <w:bookmarkStart w:id="37" w:name="part-5-employment-and-job-readiness"/>
    <w:p>
      <w:pPr>
        <w:pStyle w:val="Heading2"/>
      </w:pPr>
      <w:r>
        <w:t xml:space="preserve">Part 5 — Employment and job readiness</w:t>
      </w:r>
    </w:p>
    <w:p>
      <w:pPr>
        <w:numPr>
          <w:ilvl w:val="0"/>
          <w:numId w:val="1006"/>
        </w:numPr>
      </w:pPr>
      <w:r>
        <w:rPr>
          <w:bCs/>
          <w:b/>
        </w:rPr>
        <w:t xml:space="preserve">Gender — a strong, specific, sourced figure that corrects the existing draft’s</w:t>
      </w:r>
      <w:r>
        <w:rPr>
          <w:bCs/>
          <w:b/>
        </w:rPr>
        <w:t xml:space="preserve"> </w:t>
      </w:r>
      <w:r>
        <w:rPr>
          <w:bCs/>
          <w:b/>
        </w:rPr>
        <w:t xml:space="preserve">“</w:t>
      </w:r>
      <w:r>
        <w:rPr>
          <w:bCs/>
          <w:b/>
        </w:rPr>
        <w:t xml:space="preserve">no reliable data identified.</w:t>
      </w:r>
      <w:r>
        <w:rPr>
          <w:bCs/>
          <w:b/>
        </w:rPr>
        <w:t xml:space="preserve">”</w:t>
      </w:r>
      <w:r>
        <w:t xml:space="preserve"> </w:t>
      </w:r>
      <w:r>
        <w:rPr>
          <w:bCs/>
          <w:b/>
        </w:rPr>
        <w:t xml:space="preserve">Women account for 85.5% of fish processors</w:t>
      </w:r>
      <w:r>
        <w:t xml:space="preserve"> </w:t>
      </w:r>
      <w:r>
        <w:t xml:space="preserve">in Sierra Leone; the value chain is starkly gendered, with men largely restricted to catching and women handling essentially all post-harvest activity (processing, smoking, trading).</w:t>
      </w:r>
      <w:r>
        <w:t xml:space="preserve"> </w:t>
      </w:r>
      <w:hyperlink r:id="rId36">
        <w:r>
          <w:rPr>
            <w:rStyle w:val="Hyperlink"/>
          </w:rPr>
          <w:t xml:space="preserve">Academic source,</w:t>
        </w:r>
        <w:r>
          <w:rPr>
            <w:rStyle w:val="Hyperlink"/>
          </w:rPr>
          <w:t xml:space="preserve"> </w:t>
        </w:r>
        <w:r>
          <w:rPr>
            <w:rStyle w:val="Hyperlink"/>
          </w:rPr>
          <w:t xml:space="preserve">“</w:t>
        </w:r>
        <w:r>
          <w:rPr>
            <w:rStyle w:val="Hyperlink"/>
          </w:rPr>
          <w:t xml:space="preserve">Fishing Na Everybody Business: Women’s Work and Gender Relations in Sierra Leone’s Fisheries</w:t>
        </w:r>
        <w:r>
          <w:rPr>
            <w:rStyle w:val="Hyperlink"/>
          </w:rPr>
          <w:t xml:space="preserve">”</w:t>
        </w:r>
        <w:r>
          <w:rPr>
            <w:rStyle w:val="Hyperlink"/>
          </w:rPr>
          <w:t xml:space="preserve"> </w:t>
        </w:r>
        <w:r>
          <w:rPr>
            <w:rStyle w:val="Hyperlink"/>
          </w:rPr>
          <w:t xml:space="preserve">/ WorldFish</w:t>
        </w:r>
      </w:hyperlink>
      <w:r>
        <w:t xml:space="preserve"> </w:t>
      </w:r>
      <w:r>
        <w:t xml:space="preserve">—</w:t>
      </w:r>
      <w:r>
        <w:t xml:space="preserve"> </w:t>
      </w:r>
      <w:r>
        <w:rPr>
          <w:bCs/>
          <w:b/>
        </w:rPr>
        <w:t xml:space="preserve">†, not opened</w:t>
      </w:r>
      <w:r>
        <w:t xml:space="preserve">.</w:t>
      </w:r>
      <w:r>
        <w:t xml:space="preserve"> </w:t>
      </w:r>
      <w:r>
        <w:rPr>
          <w:bCs/>
          <w:b/>
        </w:rPr>
        <w:t xml:space="preserve">Female fish processors earn a mean income of 287,359 Leones</w:t>
      </w:r>
      <w:r>
        <w:t xml:space="preserve"> </w:t>
      </w:r>
      <w:r>
        <w:t xml:space="preserve">— this figure’s vintage (old Leone vs. the redenominated New Leone introduced in 2022) was not established in this pass and materially changes its USD-equivalent interpretation;</w:t>
      </w:r>
      <w:r>
        <w:t xml:space="preserve"> </w:t>
      </w:r>
      <w:r>
        <w:rPr>
          <w:bCs/>
          <w:b/>
        </w:rPr>
        <w:t xml:space="preserve">flagged explicitly for Stage 2 currency/date confirmation before this figure is used in any client-facing material.</w:t>
      </w:r>
      <w:r>
        <w:t xml:space="preserve"> </w:t>
      </w:r>
      <w:r>
        <w:t xml:space="preserve">Women in the coastal communities of Goderich and Tombo specifically cite finance, inadequate processing facilities, and poor landing-site conditions as binding constraints on their businesses.</w:t>
      </w:r>
    </w:p>
    <w:p>
      <w:pPr>
        <w:numPr>
          <w:ilvl w:val="0"/>
          <w:numId w:val="1006"/>
        </w:numPr>
      </w:pPr>
      <w:r>
        <w:rPr>
          <w:bCs/>
          <w:b/>
        </w:rPr>
        <w:t xml:space="preserve">A genuine cross-sector tension worth flagging to the Advisory Group directly:</w:t>
      </w:r>
      <w:r>
        <w:t xml:space="preserve"> </w:t>
      </w:r>
      <w:r>
        <w:rPr>
          <w:bCs/>
          <w:b/>
        </w:rPr>
        <w:t xml:space="preserve">46% of women who smoke fish use mangrove wood as fuel.</w:t>
      </w:r>
      <w:r>
        <w:t xml:space="preserve"> </w:t>
      </w:r>
      <w:r>
        <w:t xml:space="preserve">This creates a direct structural conflict with</w:t>
      </w:r>
      <w:r>
        <w:t xml:space="preserve"> </w:t>
      </w:r>
      <w:r>
        <w:rPr>
          <w:bCs/>
          <w:b/>
        </w:rPr>
        <w:t xml:space="preserve">Sector 2’s West Africa Blue mangrove-carbon-conservation project</w:t>
      </w:r>
      <w:r>
        <w:t xml:space="preserve"> </w:t>
      </w:r>
      <w:r>
        <w:t xml:space="preserve">in the Sherbro River Estuary, which depends on restricting mangrove harvesting to generate carbon credits. A mangrove-carbon project that restricts wood harvesting without designing in an alternative fuel source or livelihood transition could materially harm the same women whose fish-processing livelihood this sector depends on —</w:t>
      </w:r>
      <w:r>
        <w:t xml:space="preserve"> </w:t>
      </w:r>
      <w:r>
        <w:rPr>
          <w:bCs/>
          <w:b/>
        </w:rPr>
        <w:t xml:space="preserve">this is not a hypothetical, it is a specific, named resource-use overlap between two of the eight sectors under assessment</w:t>
      </w:r>
      <w:r>
        <w:t xml:space="preserve">, and should be raised explicitly at Stage 2 review as a program-design consideration, not left as two separate sector findings that never meet.</w:t>
      </w:r>
    </w:p>
    <w:p>
      <w:pPr>
        <w:numPr>
          <w:ilvl w:val="0"/>
          <w:numId w:val="1006"/>
        </w:numPr>
      </w:pPr>
      <w:r>
        <w:rPr>
          <w:bCs/>
          <w:b/>
        </w:rPr>
        <w:t xml:space="preserve">Employment scale:</w:t>
      </w:r>
      <w:r>
        <w:t xml:space="preserve"> </w:t>
      </w:r>
      <w:r>
        <w:t xml:space="preserve">even at the low end of the contested range logged in Part 1 (36,000), this remains a significant, low-skill-entry, high-labour-intensity sector; at the high end (230,000 or</w:t>
      </w:r>
      <w:r>
        <w:t xml:space="preserve"> </w:t>
      </w:r>
      <w:r>
        <w:t xml:space="preserve">“</w:t>
      </w:r>
      <w:r>
        <w:t xml:space="preserve">over a million</w:t>
      </w:r>
      <w:r>
        <w:t xml:space="preserve">”</w:t>
      </w:r>
      <w:r>
        <w:t xml:space="preserve"> </w:t>
      </w:r>
      <w:r>
        <w:t xml:space="preserve">livelihoods), it would be one of the largest employment sectors assessed across all eight.</w:t>
      </w:r>
    </w:p>
    <w:p>
      <w:pPr>
        <w:numPr>
          <w:ilvl w:val="0"/>
          <w:numId w:val="1006"/>
        </w:numPr>
      </w:pPr>
      <w:r>
        <w:rPr>
          <w:bCs/>
          <w:b/>
        </w:rPr>
        <w:t xml:space="preserve">Youth employment potential:</w:t>
      </w:r>
      <w:r>
        <w:t xml:space="preserve"> </w:t>
      </w:r>
      <w:r>
        <w:rPr>
          <w:bCs/>
          <w:b/>
        </w:rPr>
        <w:t xml:space="preserve">no reliable data identified</w:t>
      </w:r>
      <w:r>
        <w:t xml:space="preserve"> </w:t>
      </w:r>
      <w:r>
        <w:t xml:space="preserve">specific to this sector.</w:t>
      </w:r>
    </w:p>
    <w:bookmarkEnd w:id="37"/>
    <w:bookmarkStart w:id="39" w:name="X1fb53e779b6e79c585e3690dd6a2948dcd0c556"/>
    <w:p>
      <w:pPr>
        <w:pStyle w:val="Heading2"/>
      </w:pPr>
      <w:r>
        <w:t xml:space="preserve">Part 6 — Investment innovation and de-risking</w:t>
      </w:r>
    </w:p>
    <w:p>
      <w:pPr>
        <w:numPr>
          <w:ilvl w:val="0"/>
          <w:numId w:val="1007"/>
        </w:numPr>
      </w:pPr>
      <w:r>
        <w:rPr>
          <w:bCs/>
          <w:b/>
        </w:rPr>
        <w:t xml:space="preserve">The clearest, most concrete de-risking precedent found in this sector, and arguably in the whole assessment to date:</w:t>
      </w:r>
      <w:r>
        <w:t xml:space="preserve"> </w:t>
      </w:r>
      <w:r>
        <w:t xml:space="preserve">the</w:t>
      </w:r>
      <w:r>
        <w:t xml:space="preserve"> </w:t>
      </w:r>
      <w:r>
        <w:rPr>
          <w:bCs/>
          <w:b/>
        </w:rPr>
        <w:t xml:space="preserve">2008 MIGA political-risk guarantee (US$4.5m) backing ManoCap/Sierra Investment Fund’s equity acquisition of Sierra Fishing Company</w:t>
      </w:r>
      <w:r>
        <w:t xml:space="preserve"> </w:t>
      </w:r>
      <w:r>
        <w:t xml:space="preserve">is a real, named, dated instance of exactly the mechanism the WS1 prompt asks about — a guarantee that enabled a private-equity transaction to happen in a frontier market. Unlike Sector 2’s LEAF/ART example (which is Africa-wide but not yet applied to Sierra Leone),</w:t>
      </w:r>
      <w:r>
        <w:t xml:space="preserve"> </w:t>
      </w:r>
      <w:r>
        <w:rPr>
          <w:bCs/>
          <w:b/>
        </w:rPr>
        <w:t xml:space="preserve">this happened in Sierra Leone, in this exact sector.</w:t>
      </w:r>
    </w:p>
    <w:p>
      <w:pPr>
        <w:numPr>
          <w:ilvl w:val="0"/>
          <w:numId w:val="1007"/>
        </w:numPr>
      </w:pPr>
      <w:r>
        <w:rPr>
          <w:bCs/>
          <w:b/>
        </w:rPr>
        <w:t xml:space="preserve">A second, evidenced mechanism:</w:t>
      </w:r>
      <w:r>
        <w:t xml:space="preserve"> </w:t>
      </w:r>
      <w:r>
        <w:t xml:space="preserve">the</w:t>
      </w:r>
      <w:r>
        <w:t xml:space="preserve"> </w:t>
      </w:r>
      <w:r>
        <w:rPr>
          <w:bCs/>
          <w:b/>
        </w:rPr>
        <w:t xml:space="preserve">Environmental Justice Foundation’s community surveillance programme</w:t>
      </w:r>
      <w:r>
        <w:t xml:space="preserve">, run in partnership with the Ministry of Fisheries and Marine Resources and local authorities, has documented pirate-fishing incidents since at least 2010–2012 and continues to operate.</w:t>
      </w:r>
      <w:r>
        <w:t xml:space="preserve"> </w:t>
      </w:r>
      <w:hyperlink r:id="rId38">
        <w:r>
          <w:rPr>
            <w:rStyle w:val="Hyperlink"/>
          </w:rPr>
          <w:t xml:space="preserve">EJF</w:t>
        </w:r>
      </w:hyperlink>
      <w:r>
        <w:t xml:space="preserve"> </w:t>
      </w:r>
      <w:r>
        <w:t xml:space="preserve">—</w:t>
      </w:r>
      <w:r>
        <w:t xml:space="preserve"> </w:t>
      </w:r>
      <w:r>
        <w:rPr>
          <w:bCs/>
          <w:b/>
        </w:rPr>
        <w:t xml:space="preserve">†, not opened</w:t>
      </w:r>
      <w:r>
        <w:t xml:space="preserve">. This is TA/civil-society capacity that directly improves the data quality (catch verification, vessel tracking) that any investor or insurer would need to underwrite MCS-dependent risk in this sector.</w:t>
      </w:r>
    </w:p>
    <w:p>
      <w:pPr>
        <w:numPr>
          <w:ilvl w:val="0"/>
          <w:numId w:val="1007"/>
        </w:numPr>
      </w:pPr>
      <w:r>
        <w:rPr>
          <w:bCs/>
          <w:b/>
        </w:rPr>
        <w:t xml:space="preserve">Regulatory MCS infrastructure exists on paper, but enforcement gaps remain in practice.</w:t>
      </w:r>
      <w:r>
        <w:t xml:space="preserve"> </w:t>
      </w:r>
      <w:r>
        <w:t xml:space="preserve">The Fisheries and Aquaculture Act, 2017 and its 2019 Regulations establish an MCS unit and require Vessel Monitoring Systems (VMS) on all licensed vessels, with the government claiming 100% observer coverage. Yet the US$32 million/year leakage figure (Part 2) suggests this infrastructure has not closed the enforcement gap in practice —</w:t>
      </w:r>
      <w:r>
        <w:t xml:space="preserve"> </w:t>
      </w:r>
      <w:r>
        <w:rPr>
          <w:bCs/>
          <w:b/>
        </w:rPr>
        <w:t xml:space="preserve">a specific tension for Stage 2 to weigh: is the MCS system under-resourced, under-enforced, or simply outpaced by the scale of illegal fishing?</w:t>
      </w:r>
      <w:r>
        <w:t xml:space="preserve"> </w:t>
      </w:r>
      <w:r>
        <w:t xml:space="preserve">This is exactly the kind of question direct engagement (rather than further desk research) should resolve.</w:t>
      </w:r>
    </w:p>
    <w:p>
      <w:pPr>
        <w:numPr>
          <w:ilvl w:val="0"/>
          <w:numId w:val="1007"/>
        </w:numPr>
      </w:pPr>
      <w:r>
        <w:rPr>
          <w:bCs/>
          <w:b/>
        </w:rPr>
        <w:t xml:space="preserve">What would need to be true for commercial entry without concessional support:</w:t>
      </w:r>
      <w:r>
        <w:t xml:space="preserve"> </w:t>
      </w:r>
      <w:r>
        <w:t xml:space="preserve">resolution of the EU IUU</w:t>
      </w:r>
      <w:r>
        <w:t xml:space="preserve"> </w:t>
      </w:r>
      <w:r>
        <w:t xml:space="preserve">“</w:t>
      </w:r>
      <w:r>
        <w:t xml:space="preserve">yellow card</w:t>
      </w:r>
      <w:r>
        <w:t xml:space="preserve">”</w:t>
      </w:r>
      <w:r>
        <w:t xml:space="preserve"> </w:t>
      </w:r>
      <w:r>
        <w:t xml:space="preserve">status (see Part 7 — this is now the single most material regulatory risk identified for this sector); continued enforcement improvement to close the leakage gap; and at least one more pioneer-stage aquaculture success beyond Eden Aqua to prove the model is replicable, not a one-off.</w:t>
      </w:r>
    </w:p>
    <w:bookmarkEnd w:id="39"/>
    <w:bookmarkStart w:id="41" w:name="part-7-enabling-environment"/>
    <w:p>
      <w:pPr>
        <w:pStyle w:val="Heading2"/>
      </w:pPr>
      <w:r>
        <w:t xml:space="preserve">Part 7 — Enabling environment</w:t>
      </w:r>
    </w:p>
    <w:p>
      <w:pPr>
        <w:numPr>
          <w:ilvl w:val="0"/>
          <w:numId w:val="1008"/>
        </w:numPr>
      </w:pPr>
      <w:r>
        <w:rPr>
          <w:bCs/>
          <w:b/>
        </w:rPr>
        <w:t xml:space="preserve">The single most important new finding in this sector, and one the existing draft entirely misses:</w:t>
      </w:r>
      <w:r>
        <w:t xml:space="preserve"> </w:t>
      </w:r>
      <w:r>
        <w:rPr>
          <w:bCs/>
          <w:b/>
        </w:rPr>
        <w:t xml:space="preserve">Sierra Leone currently holds the longest-running European Union IUU fishing</w:t>
      </w:r>
      <w:r>
        <w:rPr>
          <w:bCs/>
          <w:b/>
        </w:rPr>
        <w:t xml:space="preserve"> </w:t>
      </w:r>
      <w:r>
        <w:rPr>
          <w:bCs/>
          <w:b/>
        </w:rPr>
        <w:t xml:space="preserve">“</w:t>
      </w:r>
      <w:r>
        <w:rPr>
          <w:bCs/>
          <w:b/>
        </w:rPr>
        <w:t xml:space="preserve">yellow card</w:t>
      </w:r>
      <w:r>
        <w:rPr>
          <w:bCs/>
          <w:b/>
        </w:rPr>
        <w:t xml:space="preserve">”</w:t>
      </w:r>
      <w:r>
        <w:rPr>
          <w:bCs/>
          <w:b/>
        </w:rPr>
        <w:t xml:space="preserve"> </w:t>
      </w:r>
      <w:r>
        <w:rPr>
          <w:bCs/>
          <w:b/>
        </w:rPr>
        <w:t xml:space="preserve">(pre-identification) of any African country — in force continuously since 2016</w:t>
      </w:r>
      <w:r>
        <w:t xml:space="preserve">, i.e., ten years and counting as of this research date, and not yet resolved to either a clean bill (card lifted) or a</w:t>
      </w:r>
      <w:r>
        <w:t xml:space="preserve"> </w:t>
      </w:r>
      <w:r>
        <w:t xml:space="preserve">“</w:t>
      </w:r>
      <w:r>
        <w:t xml:space="preserve">red card</w:t>
      </w:r>
      <w:r>
        <w:t xml:space="preserve">”</w:t>
      </w:r>
      <w:r>
        <w:t xml:space="preserve"> </w:t>
      </w:r>
      <w:r>
        <w:t xml:space="preserve">(formal trade ban).</w:t>
      </w:r>
      <w:r>
        <w:t xml:space="preserve"> </w:t>
      </w:r>
      <w:hyperlink r:id="rId40">
        <w:r>
          <w:rPr>
            <w:rStyle w:val="Hyperlink"/>
          </w:rPr>
          <w:t xml:space="preserve">Dubawa fact-check</w:t>
        </w:r>
      </w:hyperlink>
      <w:r>
        <w:t xml:space="preserve">; corroborating reporting via search —</w:t>
      </w:r>
      <w:r>
        <w:t xml:space="preserve"> </w:t>
      </w:r>
      <w:r>
        <w:rPr>
          <w:bCs/>
          <w:b/>
        </w:rPr>
        <w:t xml:space="preserve">†, not opened</w:t>
      </w:r>
      <w:r>
        <w:t xml:space="preserve">. This is a live, material, ongoing regulatory risk directly affecting export market access to the EU — the natural premium market for seafood exports — and should be weighted heavily in any investability judgement for this sector. The existing draft’s Part 7 treatment (</w:t>
      </w:r>
      <w:r>
        <w:t xml:space="preserve">“</w:t>
      </w:r>
      <w:r>
        <w:t xml:space="preserve">Governance history is summarised in the UN fisheries governance review</w:t>
      </w:r>
      <w:r>
        <w:t xml:space="preserve">”</w:t>
      </w:r>
      <w:r>
        <w:t xml:space="preserve">) does not capture this at all.</w:t>
      </w:r>
    </w:p>
    <w:p>
      <w:pPr>
        <w:numPr>
          <w:ilvl w:val="0"/>
          <w:numId w:val="1008"/>
        </w:numPr>
      </w:pPr>
      <w:r>
        <w:rPr>
          <w:bCs/>
          <w:b/>
        </w:rPr>
        <w:t xml:space="preserve">Legal framework:</w:t>
      </w:r>
      <w:r>
        <w:t xml:space="preserve"> </w:t>
      </w:r>
      <w:r>
        <w:t xml:space="preserve">the</w:t>
      </w:r>
      <w:r>
        <w:t xml:space="preserve"> </w:t>
      </w:r>
      <w:r>
        <w:rPr>
          <w:bCs/>
          <w:b/>
        </w:rPr>
        <w:t xml:space="preserve">Fisheries and Aquaculture Act, 2017</w:t>
      </w:r>
      <w:r>
        <w:t xml:space="preserve">, complemented by</w:t>
      </w:r>
      <w:r>
        <w:t xml:space="preserve"> </w:t>
      </w:r>
      <w:r>
        <w:rPr>
          <w:bCs/>
          <w:b/>
        </w:rPr>
        <w:t xml:space="preserve">2019 Regulations</w:t>
      </w:r>
      <w:r>
        <w:t xml:space="preserve">, is the current governing law — more specific and better-dated than the existing draft’s general references. It establishes the MCS unit and VMS requirements (Part 6) and a</w:t>
      </w:r>
      <w:r>
        <w:t xml:space="preserve"> </w:t>
      </w:r>
      <w:r>
        <w:rPr>
          <w:bCs/>
          <w:b/>
        </w:rPr>
        <w:t xml:space="preserve">12-nautical-mile Inshore Exclusion Zone (IEZ)</w:t>
      </w:r>
      <w:r>
        <w:t xml:space="preserve">, reserved for artisanal fishers and closed to industrial vessels — a protective measure for the community/artisanal segment that is directly relevant to any investment thesis built around artisanal aggregation or cooperative models.</w:t>
      </w:r>
    </w:p>
    <w:p>
      <w:pPr>
        <w:numPr>
          <w:ilvl w:val="0"/>
          <w:numId w:val="1008"/>
        </w:numPr>
      </w:pPr>
      <w:r>
        <w:rPr>
          <w:bCs/>
          <w:b/>
        </w:rPr>
        <w:t xml:space="preserve">A live, large-scale, poorly documented development:</w:t>
      </w:r>
      <w:r>
        <w:t xml:space="preserve"> </w:t>
      </w:r>
      <w:r>
        <w:t xml:space="preserve">the reported Sierra Leone–China bilateral fisheries agreement, which reportedly includes plans for a</w:t>
      </w:r>
      <w:r>
        <w:t xml:space="preserve"> </w:t>
      </w:r>
      <w:r>
        <w:rPr>
          <w:bCs/>
          <w:b/>
        </w:rPr>
        <w:t xml:space="preserve">new industrial fishing harbour near Freetown</w:t>
      </w:r>
      <w:r>
        <w:t xml:space="preserve"> </w:t>
      </w:r>
      <w:r>
        <w:t xml:space="preserve">—</w:t>
      </w:r>
      <w:r>
        <w:t xml:space="preserve"> </w:t>
      </w:r>
      <w:r>
        <w:rPr>
          <w:bCs/>
          <w:b/>
        </w:rPr>
        <w:t xml:space="preserve">no reliable further detail identified</w:t>
      </w:r>
      <w:r>
        <w:t xml:space="preserve"> </w:t>
      </w:r>
      <w:r>
        <w:t xml:space="preserve">(size, financing, timeline, environmental review status). Flagged explicitly as a direct-engagement item, not something desk research can resolve.</w:t>
      </w:r>
    </w:p>
    <w:p>
      <w:pPr>
        <w:numPr>
          <w:ilvl w:val="0"/>
          <w:numId w:val="1008"/>
        </w:numPr>
      </w:pPr>
      <w:r>
        <w:rPr>
          <w:bCs/>
          <w:b/>
        </w:rPr>
        <w:t xml:space="preserve">Donor/development programmes, corrected:</w:t>
      </w:r>
      <w:r>
        <w:t xml:space="preserve"> </w:t>
      </w:r>
      <w:r>
        <w:t xml:space="preserve">the</w:t>
      </w:r>
      <w:r>
        <w:t xml:space="preserve"> </w:t>
      </w:r>
      <w:r>
        <w:rPr>
          <w:bCs/>
          <w:b/>
        </w:rPr>
        <w:t xml:space="preserve">World Bank’s West Africa Region Fisheries Program</w:t>
      </w:r>
      <w:r>
        <w:t xml:space="preserve">, covering</w:t>
      </w:r>
      <w:r>
        <w:t xml:space="preserve"> </w:t>
      </w:r>
      <w:r>
        <w:rPr>
          <w:bCs/>
          <w:b/>
        </w:rPr>
        <w:t xml:space="preserve">Guinea, Sierra Leone, and Liberia</w:t>
      </w:r>
      <w:r>
        <w:t xml:space="preserve">, is confirmed as directly relevant. By contrast, the</w:t>
      </w:r>
      <w:r>
        <w:t xml:space="preserve"> </w:t>
      </w:r>
      <w:r>
        <w:rPr>
          <w:bCs/>
          <w:b/>
        </w:rPr>
        <w:t xml:space="preserve">AfDB-financed ProFishBlue programme (US$9.2 million grant)</w:t>
      </w:r>
      <w:r>
        <w:t xml:space="preserve">, which surfaced in this pass’s searches, is a</w:t>
      </w:r>
      <w:r>
        <w:t xml:space="preserve"> </w:t>
      </w:r>
      <w:r>
        <w:rPr>
          <w:bCs/>
          <w:b/>
        </w:rPr>
        <w:t xml:space="preserve">Southern African Development Community (SADC) initiative covering 16 SADC countries — Sierra Leone is not a SADC member and does not appear to be a participant.</w:t>
      </w:r>
      <w:r>
        <w:t xml:space="preserve"> </w:t>
      </w:r>
      <w:r>
        <w:t xml:space="preserve">This is flagged explicitly as a</w:t>
      </w:r>
      <w:r>
        <w:t xml:space="preserve"> </w:t>
      </w:r>
      <w:r>
        <w:rPr>
          <w:bCs/>
          <w:b/>
        </w:rPr>
        <w:t xml:space="preserve">negative result / likely false positive</w:t>
      </w:r>
      <w:r>
        <w:t xml:space="preserve">: it would be an error to cite ProFishBlue as evidence of AfDB fisheries investment in Sierra Leone specifically.</w:t>
      </w:r>
    </w:p>
    <w:bookmarkEnd w:id="41"/>
    <w:bookmarkStart w:id="45" w:name="part-8-comparative-evidence"/>
    <w:p>
      <w:pPr>
        <w:pStyle w:val="Heading2"/>
      </w:pPr>
      <w:r>
        <w:t xml:space="preserve">Part 8 — Comparative evidence</w:t>
      </w:r>
    </w:p>
    <w:p>
      <w:pPr>
        <w:numPr>
          <w:ilvl w:val="0"/>
          <w:numId w:val="1009"/>
        </w:numPr>
      </w:pPr>
      <w:r>
        <w:rPr>
          <w:bCs/>
          <w:b/>
        </w:rPr>
        <w:t xml:space="preserve">Senegal is the closest, most current comparator — more specific than the existing draft’s general</w:t>
      </w:r>
      <w:r>
        <w:rPr>
          <w:bCs/>
          <w:b/>
        </w:rPr>
        <w:t xml:space="preserve"> </w:t>
      </w:r>
      <w:r>
        <w:rPr>
          <w:bCs/>
          <w:b/>
        </w:rPr>
        <w:t xml:space="preserve">“</w:t>
      </w:r>
      <w:r>
        <w:rPr>
          <w:bCs/>
          <w:b/>
        </w:rPr>
        <w:t xml:space="preserve">Senegal, Mauritania and The Gambia share the same IUU dynamics</w:t>
      </w:r>
      <w:r>
        <w:rPr>
          <w:bCs/>
          <w:b/>
        </w:rPr>
        <w:t xml:space="preserve">”</w:t>
      </w:r>
      <w:r>
        <w:rPr>
          <w:bCs/>
          <w:b/>
        </w:rPr>
        <w:t xml:space="preserve"> </w:t>
      </w:r>
      <w:r>
        <w:rPr>
          <w:bCs/>
          <w:b/>
        </w:rPr>
        <w:t xml:space="preserve">line.</w:t>
      </w:r>
      <w:r>
        <w:t xml:space="preserve"> </w:t>
      </w:r>
      <w:r>
        <w:t xml:space="preserve">Senegal is targeting</w:t>
      </w:r>
      <w:r>
        <w:t xml:space="preserve"> </w:t>
      </w:r>
      <w:r>
        <w:rPr>
          <w:bCs/>
          <w:b/>
        </w:rPr>
        <w:t xml:space="preserve">US$64.9 million (36.5 billion CFA francs) in aquaculture investment between 2026 and 2030, with most of the funding expected to come from private investors</w:t>
      </w:r>
      <w:r>
        <w:t xml:space="preserve">, aiming to grow aquaculture output from</w:t>
      </w:r>
      <w:r>
        <w:t xml:space="preserve"> </w:t>
      </w:r>
      <w:r>
        <w:rPr>
          <w:bCs/>
          <w:b/>
        </w:rPr>
        <w:t xml:space="preserve">3,049 tonnes (2025) to 20,000 tonnes (2030)</w:t>
      </w:r>
      <w:r>
        <w:t xml:space="preserve"> </w:t>
      </w:r>
      <w:r>
        <w:t xml:space="preserve">— nearly a 7x target.</w:t>
      </w:r>
      <w:r>
        <w:t xml:space="preserve"> </w:t>
      </w:r>
      <w:hyperlink r:id="rId42">
        <w:r>
          <w:rPr>
            <w:rStyle w:val="Hyperlink"/>
          </w:rPr>
          <w:t xml:space="preserve">Food Business Middle East &amp; Africa</w:t>
        </w:r>
      </w:hyperlink>
      <w:r>
        <w:t xml:space="preserve">;</w:t>
      </w:r>
      <w:r>
        <w:t xml:space="preserve"> </w:t>
      </w:r>
      <w:hyperlink r:id="rId43">
        <w:r>
          <w:rPr>
            <w:rStyle w:val="Hyperlink"/>
          </w:rPr>
          <w:t xml:space="preserve">Ecofin Agency</w:t>
        </w:r>
      </w:hyperlink>
      <w:r>
        <w:t xml:space="preserve"> </w:t>
      </w:r>
      <w:r>
        <w:t xml:space="preserve">—</w:t>
      </w:r>
      <w:r>
        <w:t xml:space="preserve"> </w:t>
      </w:r>
      <w:r>
        <w:rPr>
          <w:bCs/>
          <w:b/>
        </w:rPr>
        <w:t xml:space="preserve">†, both not opened</w:t>
      </w:r>
      <w:r>
        <w:t xml:space="preserve">. Critically,</w:t>
      </w:r>
      <w:r>
        <w:t xml:space="preserve"> </w:t>
      </w:r>
      <w:r>
        <w:rPr>
          <w:bCs/>
          <w:b/>
        </w:rPr>
        <w:t xml:space="preserve">Senegal itself received a fresh EU IUU yellow card in May 2024</w:t>
      </w:r>
      <w:r>
        <w:t xml:space="preserve"> </w:t>
      </w:r>
      <w:r>
        <w:t xml:space="preserve">— meaning Sierra Leone’s closest comparator is fighting the identical EU-market-access battle in parallel, not a market that has already solved the problem Sierra Leone faces.</w:t>
      </w:r>
      <w:r>
        <w:t xml:space="preserve"> </w:t>
      </w:r>
      <w:hyperlink r:id="rId44">
        <w:r>
          <w:rPr>
            <w:rStyle w:val="Hyperlink"/>
          </w:rPr>
          <w:t xml:space="preserve">Sputnik Africa</w:t>
        </w:r>
      </w:hyperlink>
      <w:r>
        <w:t xml:space="preserve"> </w:t>
      </w:r>
      <w:r>
        <w:t xml:space="preserve">—</w:t>
      </w:r>
      <w:r>
        <w:t xml:space="preserve"> </w:t>
      </w:r>
      <w:r>
        <w:rPr>
          <w:bCs/>
          <w:b/>
        </w:rPr>
        <w:t xml:space="preserve">†, not opened</w:t>
      </w:r>
      <w:r>
        <w:t xml:space="preserve">.</w:t>
      </w:r>
    </w:p>
    <w:p>
      <w:pPr>
        <w:numPr>
          <w:ilvl w:val="0"/>
          <w:numId w:val="1009"/>
        </w:numPr>
      </w:pPr>
      <w:r>
        <w:rPr>
          <w:bCs/>
          <w:b/>
        </w:rPr>
        <w:t xml:space="preserve">Namibia comparator (aquaculture financing barrier):</w:t>
      </w:r>
      <w:r>
        <w:t xml:space="preserve"> </w:t>
      </w:r>
      <w:r>
        <w:t xml:space="preserve">even in a more developed regional fisheries economy,</w:t>
      </w:r>
      <w:r>
        <w:t xml:space="preserve"> </w:t>
      </w:r>
      <w:r>
        <w:t xml:space="preserve">“</w:t>
      </w:r>
      <w:r>
        <w:t xml:space="preserve">the lack of access to finance at realistic rates hampers the growth of fishing, aquaculture and processing,</w:t>
      </w:r>
      <w:r>
        <w:t xml:space="preserve">”</w:t>
      </w:r>
      <w:r>
        <w:t xml:space="preserve"> </w:t>
      </w:r>
      <w:r>
        <w:t xml:space="preserve">with both local and international financial institutions reluctant to provide aquaculture start-up capital. [ResearchGate,</w:t>
      </w:r>
      <w:r>
        <w:t xml:space="preserve"> </w:t>
      </w:r>
      <w:r>
        <w:t xml:space="preserve">“</w:t>
      </w:r>
      <w:r>
        <w:t xml:space="preserve">Fisheries and Aquaculture industry in Namibia</w:t>
      </w:r>
      <w:r>
        <w:t xml:space="preserve">”</w:t>
      </w:r>
      <w:r>
        <w:t xml:space="preserve">] —</w:t>
      </w:r>
      <w:r>
        <w:t xml:space="preserve"> </w:t>
      </w:r>
      <w:r>
        <w:rPr>
          <w:bCs/>
          <w:b/>
        </w:rPr>
        <w:t xml:space="preserve">†, not opened</w:t>
      </w:r>
      <w:r>
        <w:t xml:space="preserve">. This reinforces that Eden Aqua’s financing difficulty is a structural, sector-wide African problem, not a Sierra Leone-specific weakness — useful context for calibrating expectations rather than writing off the sub-sector.</w:t>
      </w:r>
    </w:p>
    <w:p>
      <w:pPr>
        <w:numPr>
          <w:ilvl w:val="0"/>
          <w:numId w:val="1009"/>
        </w:numPr>
      </w:pPr>
      <w:r>
        <w:rPr>
          <w:bCs/>
          <w:b/>
        </w:rPr>
        <w:t xml:space="preserve">Scale context:</w:t>
      </w:r>
      <w:r>
        <w:t xml:space="preserve"> </w:t>
      </w:r>
      <w:r>
        <w:t xml:space="preserve">the African aquaculture investment gap is estimated at</w:t>
      </w:r>
      <w:r>
        <w:t xml:space="preserve"> </w:t>
      </w:r>
      <w:r>
        <w:rPr>
          <w:bCs/>
          <w:b/>
        </w:rPr>
        <w:t xml:space="preserve">US$12 billion</w:t>
      </w:r>
      <w:r>
        <w:t xml:space="preserve"> </w:t>
      </w:r>
      <w:r>
        <w:t xml:space="preserve">(regional proxy, World Economic Forum / World Bank-linked reporting) — useful only as a sense of how small Eden Aqua’s 4-hectare pilot is relative to the scale of the regional opportunity, not as a Sierra Leone-specific figure.</w:t>
      </w:r>
    </w:p>
    <w:p>
      <w:pPr>
        <w:pStyle w:val="BlockText"/>
      </w:pPr>
      <w:r>
        <w:rPr>
          <w:bCs/>
          <w:b/>
        </w:rPr>
        <w:t xml:space="preserve">Verdict.</w:t>
      </w:r>
      <w:r>
        <w:t xml:space="preserve"> </w:t>
      </w:r>
      <w:r>
        <w:rPr>
          <w:bCs/>
          <w:b/>
        </w:rPr>
        <w:t xml:space="preserve">Upgraded from the existing draft’s flat</w:t>
      </w:r>
      <w:r>
        <w:rPr>
          <w:bCs/>
          <w:b/>
        </w:rPr>
        <w:t xml:space="preserve"> </w:t>
      </w:r>
      <w:r>
        <w:rPr>
          <w:bCs/>
          <w:b/>
        </w:rPr>
        <w:t xml:space="preserve">“</w:t>
      </w:r>
      <w:r>
        <w:rPr>
          <w:bCs/>
          <w:b/>
        </w:rPr>
        <w:t xml:space="preserve">Not investable</w:t>
      </w:r>
      <w:r>
        <w:rPr>
          <w:bCs/>
          <w:b/>
        </w:rPr>
        <w:t xml:space="preserve">”</w:t>
      </w:r>
      <w:r>
        <w:rPr>
          <w:bCs/>
          <w:b/>
        </w:rPr>
        <w:t xml:space="preserve"> </w:t>
      </w:r>
      <w:r>
        <w:rPr>
          <w:bCs/>
          <w:b/>
        </w:rPr>
        <w:t xml:space="preserve">to: not investable as venture, but genuinely investable as growth equity or DFI-guaranteed private equity in the established capture-and-processing segment, with a real, dated, named precedent (MIGA/ManoCap’s 2008 acquisition of equity in Sierra Fishing Company) proving this kind of transaction has actually happened here before — the strongest such precedent found across all four sectors assessed so far.</w:t>
      </w:r>
      <w:r>
        <w:t xml:space="preserve"> </w:t>
      </w:r>
      <w:r>
        <w:t xml:space="preserve">Aquaculture remains genuinely pre-commercial and pioneer-stage (Eden Aqua), consistent with the existing draft’s caution, but is now a named, real pilot rather than an anonymous, unverifiable claim.</w:t>
      </w:r>
      <w:r>
        <w:t xml:space="preserve"> </w:t>
      </w:r>
      <w:r>
        <w:rPr>
          <w:bCs/>
          <w:b/>
        </w:rPr>
        <w:t xml:space="preserve">What would have to change:</w:t>
      </w:r>
      <w:r>
        <w:t xml:space="preserve"> </w:t>
      </w:r>
      <w:r>
        <w:t xml:space="preserve">resolution of the ten-year-and-counting EU IUU yellow card, which is now the single most material regulatory risk in this sector and was entirely missing from the existing draft; continued closure of the US$32 million/year IUU-leakage gap; clarity on whether the 2008 MIGA/ManoCap transaction ever exited (a direct precedent for what any new fund-style investment here could expect); and at least one further proven aquaculture pilot beyond Eden Aqua to establish replicability.</w:t>
      </w:r>
    </w:p>
    <w:p>
      <w:r>
        <w:pict>
          <v:rect style="width:0;height:1.5pt" o:hralign="center" o:hrstd="t" o:hr="t"/>
        </w:pict>
      </w:r>
    </w:p>
    <w:bookmarkEnd w:id="45"/>
    <w:bookmarkStart w:id="46" w:name="X8ffc0814bf06bc0cb65d9e9e00984e3aa907911"/>
    <w:p>
      <w:pPr>
        <w:pStyle w:val="Heading2"/>
      </w:pPr>
      <w:r>
        <w:t xml:space="preserve">Additions required to the master tracker / claude_B1.docx on merge</w:t>
      </w:r>
    </w:p>
    <w:p>
      <w:pPr>
        <w:numPr>
          <w:ilvl w:val="0"/>
          <w:numId w:val="1010"/>
        </w:numPr>
        <w:pStyle w:val="Compact"/>
      </w:pPr>
      <w:r>
        <w:rPr>
          <w:bCs/>
          <w:b/>
        </w:rPr>
        <w:t xml:space="preserve">Ranking table / Executive summary:</w:t>
      </w:r>
      <w:r>
        <w:t xml:space="preserve"> </w:t>
      </w:r>
      <w:r>
        <w:t xml:space="preserve">Blue economy’s</w:t>
      </w:r>
      <w:r>
        <w:t xml:space="preserve"> </w:t>
      </w:r>
      <w:r>
        <w:t xml:space="preserve">“</w:t>
      </w:r>
      <w:r>
        <w:t xml:space="preserve">Deciding evidence</w:t>
      </w:r>
      <w:r>
        <w:t xml:space="preserve">”</w:t>
      </w:r>
      <w:r>
        <w:t xml:space="preserve"> </w:t>
      </w:r>
      <w:r>
        <w:t xml:space="preserve">cell needs a complete rewrite — the existing text (</w:t>
      </w:r>
      <w:r>
        <w:t xml:space="preserve">“</w:t>
      </w:r>
      <w:r>
        <w:t xml:space="preserve">Large economic weight, large IUU leakage; no named private venture; concessional and asset finance territory</w:t>
      </w:r>
      <w:r>
        <w:t xml:space="preserve">”</w:t>
      </w:r>
      <w:r>
        <w:t xml:space="preserve">) is factually superseded by the Sierra Fishing Company / MIGA-ManoCap finding. Recommend moving Blue economy up the ranking, at minimum above Logistics, HealthTech and GovTech, given it now has the strongest documented DFI-guaranteed PE precedent of any</w:t>
      </w:r>
      <w:r>
        <w:t xml:space="preserve"> </w:t>
      </w:r>
      <w:r>
        <w:t xml:space="preserve">“</w:t>
      </w:r>
      <w:r>
        <w:t xml:space="preserve">not venture</w:t>
      </w:r>
      <w:r>
        <w:t xml:space="preserve">”</w:t>
      </w:r>
      <w:r>
        <w:t xml:space="preserve"> </w:t>
      </w:r>
      <w:r>
        <w:t xml:space="preserve">sector.</w:t>
      </w:r>
    </w:p>
    <w:p>
      <w:pPr>
        <w:numPr>
          <w:ilvl w:val="0"/>
          <w:numId w:val="1010"/>
        </w:numPr>
        <w:pStyle w:val="Compact"/>
      </w:pPr>
      <w:r>
        <w:rPr>
          <w:bCs/>
          <w:b/>
        </w:rPr>
        <w:t xml:space="preserve">Figure 2 (companies evidenced per sector):</w:t>
      </w:r>
      <w:r>
        <w:t xml:space="preserve"> </w:t>
      </w:r>
      <w:r>
        <w:t xml:space="preserve">Blue economy count should move from</w:t>
      </w:r>
      <w:r>
        <w:t xml:space="preserve"> </w:t>
      </w:r>
      <w:r>
        <w:rPr>
          <w:bCs/>
          <w:b/>
        </w:rPr>
        <w:t xml:space="preserve">0 named</w:t>
      </w:r>
      <w:r>
        <w:t xml:space="preserve"> </w:t>
      </w:r>
      <w:r>
        <w:t xml:space="preserve">to</w:t>
      </w:r>
      <w:r>
        <w:t xml:space="preserve"> </w:t>
      </w:r>
      <w:r>
        <w:rPr>
          <w:bCs/>
          <w:b/>
        </w:rPr>
        <w:t xml:space="preserve">2</w:t>
      </w:r>
      <w:r>
        <w:t xml:space="preserve"> </w:t>
      </w:r>
      <w:r>
        <w:t xml:space="preserve">(Sierra Fishing Company, Eden Aqua).</w:t>
      </w:r>
    </w:p>
    <w:p>
      <w:pPr>
        <w:numPr>
          <w:ilvl w:val="0"/>
          <w:numId w:val="1010"/>
        </w:numPr>
        <w:pStyle w:val="Compact"/>
      </w:pPr>
      <w:r>
        <w:rPr>
          <w:bCs/>
          <w:b/>
        </w:rPr>
        <w:t xml:space="preserve">Figure 3 (ticket sizes):</w:t>
      </w:r>
      <w:r>
        <w:t xml:space="preserve"> </w:t>
      </w:r>
      <w:r>
        <w:t xml:space="preserve">add the</w:t>
      </w:r>
      <w:r>
        <w:t xml:space="preserve"> </w:t>
      </w:r>
      <w:r>
        <w:rPr>
          <w:bCs/>
          <w:b/>
        </w:rPr>
        <w:t xml:space="preserve">MIGA US$4.5m guarantee (2008)</w:t>
      </w:r>
      <w:r>
        <w:t xml:space="preserve"> </w:t>
      </w:r>
      <w:r>
        <w:t xml:space="preserve">backing the ManoCap/Sierra Investment Fund acquisition of Sierra Fishing Company equity — the first hard figure for this sector.</w:t>
      </w:r>
    </w:p>
    <w:p>
      <w:pPr>
        <w:numPr>
          <w:ilvl w:val="0"/>
          <w:numId w:val="1010"/>
        </w:numPr>
        <w:pStyle w:val="Compact"/>
      </w:pPr>
      <w:r>
        <w:rPr>
          <w:bCs/>
          <w:b/>
        </w:rPr>
        <w:t xml:space="preserve">Contradiction log:</w:t>
      </w:r>
      <w:r>
        <w:t xml:space="preserve"> </w:t>
      </w:r>
      <w:r>
        <w:t xml:space="preserve">add (a) the employment figure spread (36,000 / 230,000 /</w:t>
      </w:r>
      <w:r>
        <w:t xml:space="preserve"> </w:t>
      </w:r>
      <w:r>
        <w:t xml:space="preserve">“</w:t>
      </w:r>
      <w:r>
        <w:t xml:space="preserve">over a million</w:t>
      </w:r>
      <w:r>
        <w:t xml:space="preserve">”</w:t>
      </w:r>
      <w:r>
        <w:t xml:space="preserve">), now a three-way, order-of-magnitude contradiction, and (b) a sixth data point in the GDP-share contradiction already logged for this sector.</w:t>
      </w:r>
    </w:p>
    <w:p>
      <w:pPr>
        <w:numPr>
          <w:ilvl w:val="0"/>
          <w:numId w:val="1010"/>
        </w:numPr>
        <w:pStyle w:val="Compact"/>
      </w:pPr>
      <w:r>
        <w:rPr>
          <w:bCs/>
          <w:b/>
        </w:rPr>
        <w:t xml:space="preserve">Negative-results log:</w:t>
      </w:r>
      <w:r>
        <w:t xml:space="preserve"> </w:t>
      </w:r>
      <w:r>
        <w:t xml:space="preserve">add</w:t>
      </w:r>
      <w:r>
        <w:t xml:space="preserve"> </w:t>
      </w:r>
      <w:r>
        <w:t xml:space="preserve">“</w:t>
      </w:r>
      <w:r>
        <w:t xml:space="preserve">AfDB’s ProFishBlue programme, initially surfaced as a possible SL-relevant AfDB fisheries investment, is confirmed to be a SADC-only initiative not covering Sierra Leone — flagged as a false positive to avoid citing.</w:t>
      </w:r>
      <w:r>
        <w:t xml:space="preserve">”</w:t>
      </w:r>
    </w:p>
    <w:p>
      <w:pPr>
        <w:numPr>
          <w:ilvl w:val="0"/>
          <w:numId w:val="1010"/>
        </w:numPr>
        <w:pStyle w:val="Compact"/>
      </w:pPr>
      <w:r>
        <w:rPr>
          <w:bCs/>
          <w:b/>
        </w:rPr>
        <w:t xml:space="preserve">Visibility boundary table:</w:t>
      </w:r>
      <w:r>
        <w:t xml:space="preserve"> </w:t>
      </w:r>
      <w:r>
        <w:t xml:space="preserve">update Blue economy row from</w:t>
      </w:r>
      <w:r>
        <w:t xml:space="preserve"> </w:t>
      </w:r>
      <w:r>
        <w:t xml:space="preserve">“</w:t>
      </w:r>
      <w:r>
        <w:t xml:space="preserve">0 named (three unnamed aquaculture operations cited by the strategy)</w:t>
      </w:r>
      <w:r>
        <w:t xml:space="preserve">”</w:t>
      </w:r>
      <w:r>
        <w:t xml:space="preserve"> </w:t>
      </w:r>
      <w:r>
        <w:t xml:space="preserve">to</w:t>
      </w:r>
      <w:r>
        <w:t xml:space="preserve"> </w:t>
      </w:r>
      <w:r>
        <w:t xml:space="preserve">“</w:t>
      </w:r>
      <w:r>
        <w:t xml:space="preserve">2 named (Sierra Fishing Company — established, revenue-generating, DFI-PE precedent; Eden Aqua — pilot-stage aquaculture); no visibility into revenue figures for either.</w:t>
      </w:r>
      <w:r>
        <w:t xml:space="preserve">”</w:t>
      </w:r>
    </w:p>
    <w:p>
      <w:pPr>
        <w:numPr>
          <w:ilvl w:val="0"/>
          <w:numId w:val="1010"/>
        </w:numPr>
        <w:pStyle w:val="Compact"/>
      </w:pPr>
      <w:r>
        <w:rPr>
          <w:bCs/>
          <w:b/>
        </w:rPr>
        <w:t xml:space="preserve">Cross-sector flag for the Advisory Group:</w:t>
      </w:r>
      <w:r>
        <w:t xml:space="preserve"> </w:t>
      </w:r>
      <w:r>
        <w:t xml:space="preserve">the mangrove-wood-fuel finding (Part 5) creates a direct resource-use tension with Sector 2’s West Africa Blue mangrove-carbon project — recommend this be raised as a specific discussion item, not filed separately under each sector.</w:t>
      </w:r>
    </w:p>
    <w:bookmarkEnd w:id="46"/>
    <w:bookmarkStart w:id="47" w:name="X8f1fbefe9f4dac178853be51bc61ca13ab6ccfa"/>
    <w:p>
      <w:pPr>
        <w:pStyle w:val="Heading2"/>
      </w:pPr>
      <w:r>
        <w:t xml:space="preserve">Verification queue for Stage 2/4 (nothing above may enter the Source Register as</w:t>
      </w:r>
      <w:r>
        <w:t xml:space="preserve"> </w:t>
      </w:r>
      <w:r>
        <w:t xml:space="preserve">“</w:t>
      </w:r>
      <w:r>
        <w:t xml:space="preserve">Verified</w:t>
      </w:r>
      <w:r>
        <w:t xml:space="preserve">”</w:t>
      </w:r>
      <w:r>
        <w:t xml:space="preserve"> </w:t>
      </w:r>
      <w:r>
        <w:t xml:space="preserve">until this is done)</w:t>
      </w:r>
    </w:p>
    <w:p>
      <w:pPr>
        <w:numPr>
          <w:ilvl w:val="0"/>
          <w:numId w:val="1011"/>
        </w:numPr>
        <w:pStyle w:val="Compact"/>
      </w:pPr>
      <w:r>
        <w:t xml:space="preserve">Open the MIGA project page directly; confirm the guarantee’s current status, whether the underlying Sierra Fishing Company equity position is still held, and trace to any successor fund report from ManoCap.</w:t>
      </w:r>
    </w:p>
    <w:p>
      <w:pPr>
        <w:numPr>
          <w:ilvl w:val="0"/>
          <w:numId w:val="1011"/>
        </w:numPr>
        <w:pStyle w:val="Compact"/>
      </w:pPr>
      <w:r>
        <w:t xml:space="preserve">Open Sierra Fishing Company’s own site/investor materials directly; obtain any disclosed revenue or production figures to test against the 9,000mt/month expansion claim.</w:t>
      </w:r>
    </w:p>
    <w:p>
      <w:pPr>
        <w:numPr>
          <w:ilvl w:val="0"/>
          <w:numId w:val="1011"/>
        </w:numPr>
        <w:pStyle w:val="Compact"/>
      </w:pPr>
      <w:r>
        <w:t xml:space="preserve">Confirm the exact source and date of the 134,000-tonne annual catch and 230,000-employment figures attributed to AfDB in this pass — neither could be traced to a specific, citable AfDB document.</w:t>
      </w:r>
    </w:p>
    <w:p>
      <w:pPr>
        <w:numPr>
          <w:ilvl w:val="0"/>
          <w:numId w:val="1011"/>
        </w:numPr>
        <w:pStyle w:val="Compact"/>
      </w:pPr>
      <w:r>
        <w:t xml:space="preserve">Open the EU IUU carding decision map (iuuwatch.eu) directly to confirm Sierra Leone’s yellow-card status is still current as of the Stage 2 verification date, and check for any Commission communication since this pass’s search date.</w:t>
      </w:r>
    </w:p>
    <w:p>
      <w:pPr>
        <w:numPr>
          <w:ilvl w:val="0"/>
          <w:numId w:val="1011"/>
        </w:numPr>
        <w:pStyle w:val="Compact"/>
      </w:pPr>
      <w:r>
        <w:t xml:space="preserve">Confirm the currency vintage (old Leone vs. New Leone, post-2022 redenomination) of the 287,359-Leone female fish-processor income figure before it is used in any client-facing material.</w:t>
      </w:r>
    </w:p>
    <w:p>
      <w:pPr>
        <w:numPr>
          <w:ilvl w:val="0"/>
          <w:numId w:val="1011"/>
        </w:numPr>
        <w:pStyle w:val="Compact"/>
      </w:pPr>
      <w:r>
        <w:t xml:space="preserve">Directly confirm or rule out Sierra Leone’s participation in any AfDB fisheries programme (ProFishBlue is ruled out in this pass; check for any AfDB West Africa-specific equivalent).</w:t>
      </w:r>
    </w:p>
    <w:p>
      <w:pPr>
        <w:numPr>
          <w:ilvl w:val="0"/>
          <w:numId w:val="1011"/>
        </w:numPr>
        <w:pStyle w:val="Compact"/>
      </w:pPr>
      <w:r>
        <w:t xml:space="preserve">Seek direct confirmation (not desk research) of the reported Sierra Leone–China industrial harbour project’s scale, financing and status.</w:t>
      </w:r>
    </w:p>
    <w:p>
      <w:pPr>
        <w:numPr>
          <w:ilvl w:val="0"/>
          <w:numId w:val="1011"/>
        </w:numPr>
        <w:pStyle w:val="Compact"/>
      </w:pPr>
      <w:r>
        <w:t xml:space="preserve">Reconcile the national annual catch figure against Sierra Fishing Company’s own stated catch scale — determine whether these are measuring the same or different segments of the industry.</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adf-magazine.com/2022/03/foreign-trawlers-target-sierra-leones-waters-taking-profits-and-fish/" TargetMode="External" /><Relationship Type="http://schemas.openxmlformats.org/officeDocument/2006/relationships/hyperlink" Id="rId40" Target="https://dubawa.org/false-liberia-is-not-an-african-nation-with-the-longest-warning-for-illegal-fishing/" TargetMode="External" /><Relationship Type="http://schemas.openxmlformats.org/officeDocument/2006/relationships/hyperlink" Id="rId32" Target="https://edenaquasl.com/" TargetMode="External" /><Relationship Type="http://schemas.openxmlformats.org/officeDocument/2006/relationships/hyperlink" Id="rId38" Target="https://ejfoundation.org/what-we-do/ocean/ending-illegal-fishing" TargetMode="External" /><Relationship Type="http://schemas.openxmlformats.org/officeDocument/2006/relationships/hyperlink" Id="rId44" Target="https://en.sputniknews.africa/20240530/senegal-gets-yellow-card-from-european-commission-for-insufficient-cooperation-against-iuu-fishing-1066802193.html" TargetMode="External" /><Relationship Type="http://schemas.openxmlformats.org/officeDocument/2006/relationships/hyperlink" Id="rId26" Target="https://maritime-executive.com/editorials/sierra-leone-takes-steps-to-tackle-illegal-fishing" TargetMode="External" /><Relationship Type="http://schemas.openxmlformats.org/officeDocument/2006/relationships/hyperlink" Id="rId20" Target="https://smartimpactconsult.com" TargetMode="External" /><Relationship Type="http://schemas.openxmlformats.org/officeDocument/2006/relationships/hyperlink" Id="rId33" Target="https://thefishsite.com/articles/pioneering-investors-needed-to-kickstart-aquaculture-in-sierra-leone" TargetMode="External" /><Relationship Type="http://schemas.openxmlformats.org/officeDocument/2006/relationships/hyperlink" Id="rId36" Target="https://worldfishcenter.org/publication/women-do-fish-case-study-gender-and-fishing-industry-sierra-leone" TargetMode="External" /><Relationship Type="http://schemas.openxmlformats.org/officeDocument/2006/relationships/hyperlink" Id="rId43" Target="https://www.ecofinagency.com/news-agriculture/1505-55634-senegal-plans-64-9m-investment-to-expand-fish-farming-by-2030" TargetMode="External" /><Relationship Type="http://schemas.openxmlformats.org/officeDocument/2006/relationships/hyperlink" Id="rId27" Target="https://www.fao.org/faolex/results/details/en/c/LEX-FAOC018100/" TargetMode="External" /><Relationship Type="http://schemas.openxmlformats.org/officeDocument/2006/relationships/hyperlink" Id="rId42" Target="https://www.foodbusinessmea.com/senegal-targets-us64-9m-private-investment-push-to-expand-aquaculture-by-2030/" TargetMode="External" /><Relationship Type="http://schemas.openxmlformats.org/officeDocument/2006/relationships/hyperlink" Id="rId31" Target="https://www.miga.org/project/sierra-fishing-company-limited" TargetMode="External" /><Relationship Type="http://schemas.openxmlformats.org/officeDocument/2006/relationships/hyperlink" Id="rId29" Target="https://www.sierrafishing.co/" TargetMode="External" /><Relationship Type="http://schemas.openxmlformats.org/officeDocument/2006/relationships/hyperlink" Id="rId30" Target="https://www.sliepa.gov.sl/invest-in-sierra-leone/existing-investors/p/item/20845/sierra-fishing-company" TargetMode="External" /><Relationship Type="http://schemas.openxmlformats.org/officeDocument/2006/relationships/hyperlink" Id="rId23" Target="https://www.sliepa.gov.sl/media/userfiles/subsite_198/files/industry-value-propositions/SL-Fisheries.pdf" TargetMode="External" /></Relationships>
</file>

<file path=word/_rels/footnotes.xml.rels><?xml version="1.0" encoding="UTF-8"?><Relationships xmlns="http://schemas.openxmlformats.org/package/2006/relationships"><Relationship Type="http://schemas.openxmlformats.org/officeDocument/2006/relationships/hyperlink" Id="rId25" Target="https://adf-magazine.com/2022/03/foreign-trawlers-target-sierra-leones-waters-taking-profits-and-fish/" TargetMode="External" /><Relationship Type="http://schemas.openxmlformats.org/officeDocument/2006/relationships/hyperlink" Id="rId40" Target="https://dubawa.org/false-liberia-is-not-an-african-nation-with-the-longest-warning-for-illegal-fishing/" TargetMode="External" /><Relationship Type="http://schemas.openxmlformats.org/officeDocument/2006/relationships/hyperlink" Id="rId32" Target="https://edenaquasl.com/" TargetMode="External" /><Relationship Type="http://schemas.openxmlformats.org/officeDocument/2006/relationships/hyperlink" Id="rId38" Target="https://ejfoundation.org/what-we-do/ocean/ending-illegal-fishing" TargetMode="External" /><Relationship Type="http://schemas.openxmlformats.org/officeDocument/2006/relationships/hyperlink" Id="rId44" Target="https://en.sputniknews.africa/20240530/senegal-gets-yellow-card-from-european-commission-for-insufficient-cooperation-against-iuu-fishing-1066802193.html" TargetMode="External" /><Relationship Type="http://schemas.openxmlformats.org/officeDocument/2006/relationships/hyperlink" Id="rId26" Target="https://maritime-executive.com/editorials/sierra-leone-takes-steps-to-tackle-illegal-fishing" TargetMode="External" /><Relationship Type="http://schemas.openxmlformats.org/officeDocument/2006/relationships/hyperlink" Id="rId20" Target="https://smartimpactconsult.com" TargetMode="External" /><Relationship Type="http://schemas.openxmlformats.org/officeDocument/2006/relationships/hyperlink" Id="rId33" Target="https://thefishsite.com/articles/pioneering-investors-needed-to-kickstart-aquaculture-in-sierra-leone" TargetMode="External" /><Relationship Type="http://schemas.openxmlformats.org/officeDocument/2006/relationships/hyperlink" Id="rId36" Target="https://worldfishcenter.org/publication/women-do-fish-case-study-gender-and-fishing-industry-sierra-leone" TargetMode="External" /><Relationship Type="http://schemas.openxmlformats.org/officeDocument/2006/relationships/hyperlink" Id="rId43" Target="https://www.ecofinagency.com/news-agriculture/1505-55634-senegal-plans-64-9m-investment-to-expand-fish-farming-by-2030" TargetMode="External" /><Relationship Type="http://schemas.openxmlformats.org/officeDocument/2006/relationships/hyperlink" Id="rId27" Target="https://www.fao.org/faolex/results/details/en/c/LEX-FAOC018100/" TargetMode="External" /><Relationship Type="http://schemas.openxmlformats.org/officeDocument/2006/relationships/hyperlink" Id="rId42" Target="https://www.foodbusinessmea.com/senegal-targets-us64-9m-private-investment-push-to-expand-aquaculture-by-2030/" TargetMode="External" /><Relationship Type="http://schemas.openxmlformats.org/officeDocument/2006/relationships/hyperlink" Id="rId31" Target="https://www.miga.org/project/sierra-fishing-company-limited" TargetMode="External" /><Relationship Type="http://schemas.openxmlformats.org/officeDocument/2006/relationships/hyperlink" Id="rId29" Target="https://www.sierrafishing.co/" TargetMode="External" /><Relationship Type="http://schemas.openxmlformats.org/officeDocument/2006/relationships/hyperlink" Id="rId30" Target="https://www.sliepa.gov.sl/invest-in-sierra-leone/existing-investors/p/item/20845/sierra-fishing-company" TargetMode="External" /><Relationship Type="http://schemas.openxmlformats.org/officeDocument/2006/relationships/hyperlink" Id="rId23" Target="https://www.sliepa.gov.sl/media/userfiles/subsite_198/files/industry-value-propositions/SL-Fisheries.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2026-09-23T07:29:24Z</dcterms:created>
  <dcterms:modified xsi:type="dcterms:W3CDTF">2026-09-23T07:29:24Z</dcterms:modified>
</cp:coreProperties>
</file>

<file path=docProps/custom.xml><?xml version="1.0" encoding="utf-8"?>
<Properties xmlns="http://schemas.openxmlformats.org/officeDocument/2006/custom-properties" xmlns:vt="http://schemas.openxmlformats.org/officeDocument/2006/docPropsVTypes"/>
</file>