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SMART IMPACT CONSULT</w:t>
      </w:r>
    </w:p>
    <w:p>
      <w:pPr>
        <w:pStyle w:val="BodyText"/>
      </w:pPr>
      <w:hyperlink r:id="rId20">
        <w:r>
          <w:rPr>
            <w:rStyle w:val="Hyperlink"/>
          </w:rPr>
          <w:t xml:space="preserve">smartimpactconsult.com</w:t>
        </w:r>
      </w:hyperlink>
    </w:p>
    <w:bookmarkStart w:id="22" w:name="sector-investability-assessment"/>
    <w:p>
      <w:pPr>
        <w:pStyle w:val="Heading1"/>
      </w:pPr>
      <w:r>
        <w:t xml:space="preserve">Sector Investability Assessment</w:t>
      </w:r>
    </w:p>
    <w:bookmarkStart w:id="21" w:name="X59ee4d18a37d2da6a702c0c67de9272b10119c2"/>
    <w:p>
      <w:pPr>
        <w:pStyle w:val="Heading2"/>
      </w:pPr>
      <w:r>
        <w:t xml:space="preserve">Sierra Leone — Sector 5: Logistics and trade technology</w:t>
      </w:r>
    </w:p>
    <w:p>
      <w:pPr>
        <w:pStyle w:val="FirstParagraph"/>
      </w:pPr>
      <w:r>
        <w:rPr>
          <w:bCs/>
          <w:b/>
        </w:rPr>
        <w:t xml:space="preserve">Workstream:</w:t>
      </w:r>
      <w:r>
        <w:t xml:space="preserve"> </w:t>
      </w:r>
      <w:r>
        <w:t xml:space="preserve">B.1 — WS1 Market and Sector Validation (Priority · Sprint 1)</w:t>
      </w:r>
    </w:p>
    <w:p>
      <w:pPr>
        <w:pStyle w:val="BodyText"/>
      </w:pPr>
      <w:r>
        <w:rPr>
          <w:bCs/>
          <w:b/>
        </w:rPr>
        <w:t xml:space="preserve">Prompt:</w:t>
      </w:r>
      <w:r>
        <w:t xml:space="preserve"> </w:t>
      </w:r>
      <w:r>
        <w:t xml:space="preserve">WS1-v1.0 — Sector Investability, Sierra Leone</w:t>
      </w:r>
    </w:p>
    <w:p>
      <w:pPr>
        <w:pStyle w:val="BodyText"/>
      </w:pPr>
      <w:r>
        <w:rPr>
          <w:bCs/>
          <w:b/>
        </w:rPr>
        <w:t xml:space="preserve">Stage / round:</w:t>
      </w:r>
      <w:r>
        <w:t xml:space="preserve"> </w:t>
      </w:r>
      <w:r>
        <w:t xml:space="preserve">Stage 1 desk research · Round 1 output, formatted for Stage 2 review</w:t>
      </w:r>
    </w:p>
    <w:p>
      <w:pPr>
        <w:pStyle w:val="BodyText"/>
      </w:pPr>
      <w:r>
        <w:rPr>
          <w:bCs/>
          <w:b/>
        </w:rPr>
        <w:t xml:space="preserve">Prepared by:</w:t>
      </w:r>
      <w:r>
        <w:t xml:space="preserve"> </w:t>
      </w:r>
      <w:r>
        <w:t xml:space="preserve">Investment Operations, Smart Impact Consult (</w:t>
      </w:r>
      <w:hyperlink r:id="rId20">
        <w:r>
          <w:rPr>
            <w:rStyle w:val="Hyperlink"/>
          </w:rPr>
          <w:t xml:space="preserve">smartimpactconsult.com</w:t>
        </w:r>
      </w:hyperlink>
      <w:r>
        <w:t xml:space="preserve">)</w:t>
      </w:r>
    </w:p>
    <w:p>
      <w:pPr>
        <w:pStyle w:val="BodyText"/>
      </w:pPr>
      <w:r>
        <w:rPr>
          <w:bCs/>
          <w:b/>
        </w:rPr>
        <w:t xml:space="preserve">Date:</w:t>
      </w:r>
      <w:r>
        <w:t xml:space="preserve"> </w:t>
      </w:r>
      <w:r>
        <w:t xml:space="preserve">23 September 2026</w:t>
      </w:r>
    </w:p>
    <w:p>
      <w:pPr>
        <w:pStyle w:val="BodyText"/>
      </w:pPr>
      <w:r>
        <w:rPr>
          <w:iCs/>
          <w:i/>
        </w:rPr>
        <w:t xml:space="preserve">Desk research only. Every factual claim below carries a named source and, where available, the year it refers to; sources are embedded as clickable links. Where Sierra Leone-specific data does not exist, this is stated explicitly and regional or continental data used as a proxy is labelled as such. Where a search could not evidence a figure at all, the document states</w:t>
      </w:r>
      <w:r>
        <w:rPr>
          <w:iCs/>
          <w:i/>
        </w:rPr>
        <w:t xml:space="preserve"> </w:t>
      </w:r>
      <w:r>
        <w:rPr>
          <w:iCs/>
          <w:i/>
        </w:rPr>
        <w:t xml:space="preserve">“</w:t>
      </w:r>
      <w:r>
        <w:rPr>
          <w:iCs/>
          <w:i/>
        </w:rPr>
        <w:t xml:space="preserve">no reliable data identified</w:t>
      </w:r>
      <w:r>
        <w:rPr>
          <w:iCs/>
          <w:i/>
        </w:rPr>
        <w:t xml:space="preserve">”</w:t>
      </w:r>
      <w:r>
        <w:rPr>
          <w:iCs/>
          <w:i/>
        </w:rPr>
        <w:t xml:space="preserve"> </w:t>
      </w:r>
      <w:r>
        <w:rPr>
          <w:iCs/>
          <w:i/>
        </w:rPr>
        <w:t xml:space="preserve">rather than estimating. This pass’s sources come from web search, not from primary documents opened and read in full — see the Environment Limitation note below — so every finding here carries the same unverified status as a</w:t>
      </w:r>
      <w:r>
        <w:rPr>
          <w:iCs/>
          <w:i/>
        </w:rPr>
        <w:t xml:space="preserve"> </w:t>
      </w:r>
      <w:r>
        <w:rPr>
          <w:iCs/>
          <w:i/>
        </w:rPr>
        <w:t xml:space="preserve">“</w:t>
      </w:r>
      <w:r>
        <w:rPr>
          <w:iCs/>
          <w:i/>
        </w:rPr>
        <w:t xml:space="preserve">†</w:t>
      </w:r>
      <w:r>
        <w:rPr>
          <w:iCs/>
          <w:i/>
        </w:rPr>
        <w:t xml:space="preserve">”</w:t>
      </w:r>
      <w:r>
        <w:rPr>
          <w:iCs/>
          <w:i/>
        </w:rPr>
        <w:t xml:space="preserve"> </w:t>
      </w:r>
      <w:r>
        <w:rPr>
          <w:iCs/>
          <w:i/>
        </w:rPr>
        <w:t xml:space="preserve">marker: a named, dated, linked lead, not yet a confirmed source. Nothing in this document may be treated as</w:t>
      </w:r>
      <w:r>
        <w:rPr>
          <w:iCs/>
          <w:i/>
        </w:rPr>
        <w:t xml:space="preserve"> </w:t>
      </w:r>
      <w:r>
        <w:rPr>
          <w:iCs/>
          <w:i/>
        </w:rPr>
        <w:t xml:space="preserve">“</w:t>
      </w:r>
      <w:r>
        <w:rPr>
          <w:iCs/>
          <w:i/>
        </w:rPr>
        <w:t xml:space="preserve">Verified</w:t>
      </w:r>
      <w:r>
        <w:rPr>
          <w:iCs/>
          <w:i/>
        </w:rPr>
        <w:t xml:space="preserve">”</w:t>
      </w:r>
      <w:r>
        <w:rPr>
          <w:iCs/>
          <w:i/>
        </w:rPr>
        <w:t xml:space="preserve"> </w:t>
      </w:r>
      <w:r>
        <w:rPr>
          <w:iCs/>
          <w:i/>
        </w:rPr>
        <w:t xml:space="preserve">in the Source Register, and nothing should enter a client-facing deliverable, until a team member opens each cited link directly, per Stage 4 of the AI-Assisted Research Methodology.</w:t>
      </w:r>
    </w:p>
    <w:p>
      <w:r>
        <w:pict>
          <v:rect style="width:0;height:1.5pt" o:hralign="center" o:hrstd="t" o:hr="t"/>
        </w:pict>
      </w:r>
    </w:p>
    <w:p>
      <w:pPr>
        <w:pStyle w:val="FirstParagraph"/>
      </w:pPr>
      <w:r>
        <w:t xml:space="preserve">PROVENANCE HEADER — applied to every raw output file (per Methodology A.5)</w:t>
      </w:r>
    </w:p>
    <w:p>
      <w:pPr>
        <w:numPr>
          <w:ilvl w:val="0"/>
          <w:numId w:val="1001"/>
        </w:numPr>
        <w:pStyle w:val="Compact"/>
      </w:pPr>
      <w:r>
        <w:t xml:space="preserve">Workstream: WS1 Market and Sector Validation</w:t>
      </w:r>
    </w:p>
    <w:p>
      <w:pPr>
        <w:numPr>
          <w:ilvl w:val="0"/>
          <w:numId w:val="1001"/>
        </w:numPr>
        <w:pStyle w:val="Compact"/>
      </w:pPr>
      <w:r>
        <w:t xml:space="preserve">Prompt version: WS1-v1.0 — Sector Investability, Sierra Leone</w:t>
      </w:r>
    </w:p>
    <w:p>
      <w:pPr>
        <w:numPr>
          <w:ilvl w:val="0"/>
          <w:numId w:val="1001"/>
        </w:numPr>
        <w:pStyle w:val="Compact"/>
      </w:pPr>
      <w:r>
        <w:t xml:space="preserve">Sector: 5 of 8 — Logistics and trade technology</w:t>
      </w:r>
    </w:p>
    <w:p>
      <w:pPr>
        <w:numPr>
          <w:ilvl w:val="0"/>
          <w:numId w:val="1001"/>
        </w:numPr>
        <w:pStyle w:val="Compact"/>
      </w:pPr>
      <w:r>
        <w:t xml:space="preserve">Engine: Claude (this session) — desk research, single-engine pass</w:t>
      </w:r>
    </w:p>
    <w:p>
      <w:pPr>
        <w:numPr>
          <w:ilvl w:val="0"/>
          <w:numId w:val="1001"/>
        </w:numPr>
        <w:pStyle w:val="Compact"/>
      </w:pPr>
      <w:r>
        <w:t xml:space="preserve">Run date: 2026-09-23</w:t>
      </w:r>
    </w:p>
    <w:p>
      <w:pPr>
        <w:numPr>
          <w:ilvl w:val="0"/>
          <w:numId w:val="1001"/>
        </w:numPr>
        <w:pStyle w:val="Compact"/>
      </w:pPr>
      <w:r>
        <w:t xml:space="preserve">Operator: Investment Operations, Smart Impact Consult (smartimpactconsult.com)</w:t>
      </w:r>
    </w:p>
    <w:p>
      <w:pPr>
        <w:numPr>
          <w:ilvl w:val="0"/>
          <w:numId w:val="1001"/>
        </w:numPr>
        <w:pStyle w:val="Compact"/>
      </w:pPr>
      <w:r>
        <w:t xml:space="preserve">Round: 1 of 2 (Stage 1 desk research, formatted for Stage 2/4 human verification)</w:t>
      </w:r>
    </w:p>
    <w:p>
      <w:pPr>
        <w:numPr>
          <w:ilvl w:val="0"/>
          <w:numId w:val="1001"/>
        </w:numPr>
        <w:pStyle w:val="Compact"/>
      </w:pPr>
      <w:r>
        <w:t xml:space="preserve">Archive path: /Research_Archive/WS1/WS1-v1.0_Claude_Sector05-LogisticsTradeTech_20260923.md</w:t>
      </w:r>
    </w:p>
    <w:p>
      <w:pPr>
        <w:numPr>
          <w:ilvl w:val="0"/>
          <w:numId w:val="1001"/>
        </w:numPr>
        <w:pStyle w:val="Compact"/>
      </w:pPr>
      <w:r>
        <w:t xml:space="preserve">Linked to: claude_B1.docx,</w:t>
      </w:r>
      <w:r>
        <w:t xml:space="preserve"> </w:t>
      </w:r>
      <w:r>
        <w:t xml:space="preserve">“</w:t>
      </w:r>
      <w:r>
        <w:t xml:space="preserve">Sector 5 — Logistics and trade technology</w:t>
      </w:r>
      <w:r>
        <w:t xml:space="preserve">”</w:t>
      </w:r>
      <w:r>
        <w:t xml:space="preserve"> </w:t>
      </w:r>
      <w:r>
        <w:t xml:space="preserve">section (existing verdict:</w:t>
      </w:r>
      <w:r>
        <w:t xml:space="preserve"> </w:t>
      </w:r>
      <w:r>
        <w:t xml:space="preserve">“</w:t>
      </w:r>
      <w:r>
        <w:t xml:space="preserve">Not investable</w:t>
      </w:r>
      <w:r>
        <w:t xml:space="preserve">”</w:t>
      </w:r>
      <w:r>
        <w:t xml:space="preserve"> </w:t>
      </w:r>
      <w:r>
        <w:t xml:space="preserve">— this pass confirms and materially strengthens that verdict with a direct revealed-preference finding: none of West Africa’s well-funded regional freight-tech platforms have entered Sierra Leone despite years of expansion activity.)</w:t>
      </w:r>
    </w:p>
    <w:p>
      <w:pPr>
        <w:pStyle w:val="FirstParagraph"/>
      </w:pPr>
      <w:r>
        <w:rPr>
          <w:bCs/>
          <w:b/>
        </w:rPr>
        <w:t xml:space="preserve">Environment limitation — carried forward from all prior sector files.</w:t>
      </w:r>
      <w:r>
        <w:t xml:space="preserve"> </w:t>
      </w:r>
      <w:r>
        <w:t xml:space="preserve">WebFetch was blocked for every domain tested in this session. Every finding below comes from WebSearch snippets only, not opened primary documents, and is carried at the same unverified status as the</w:t>
      </w:r>
      <w:r>
        <w:t xml:space="preserve"> </w:t>
      </w:r>
      <w:r>
        <w:t xml:space="preserve">“</w:t>
      </w:r>
      <w:r>
        <w:t xml:space="preserve">†</w:t>
      </w:r>
      <w:r>
        <w:t xml:space="preserve">”</w:t>
      </w:r>
      <w:r>
        <w:t xml:space="preserve"> </w:t>
      </w:r>
      <w:r>
        <w:t xml:space="preserve">markers already used in claude_B1.docx. Nothing here may enter the Source Register as</w:t>
      </w:r>
      <w:r>
        <w:t xml:space="preserve"> </w:t>
      </w:r>
      <w:r>
        <w:t xml:space="preserve">“</w:t>
      </w:r>
      <w:r>
        <w:t xml:space="preserve">Verified</w:t>
      </w:r>
      <w:r>
        <w:t xml:space="preserve">”</w:t>
      </w:r>
      <w:r>
        <w:t xml:space="preserve"> </w:t>
      </w:r>
      <w:r>
        <w:t xml:space="preserve">until a team member opens each link directly — see the verification queue at the end.</w:t>
      </w:r>
    </w:p>
    <w:p>
      <w:r>
        <w:pict>
          <v:rect style="width:0;height:1.5pt" o:hralign="center" o:hrstd="t" o:hr="t"/>
        </w:pict>
      </w:r>
    </w:p>
    <w:bookmarkEnd w:id="21"/>
    <w:bookmarkEnd w:id="22"/>
    <w:bookmarkStart w:id="47" w:name="sector-5-logistics-and-trade-technology"/>
    <w:p>
      <w:pPr>
        <w:pStyle w:val="Heading1"/>
      </w:pPr>
      <w:r>
        <w:t xml:space="preserve">Sector 5 — Logistics and trade technology</w:t>
      </w:r>
    </w:p>
    <w:bookmarkStart w:id="27" w:name="part-1-market-structure-and-size"/>
    <w:p>
      <w:pPr>
        <w:pStyle w:val="Heading2"/>
      </w:pPr>
      <w:r>
        <w:t xml:space="preserve">Part 1 — Market structure and size</w:t>
      </w:r>
    </w:p>
    <w:p>
      <w:pPr>
        <w:numPr>
          <w:ilvl w:val="0"/>
          <w:numId w:val="1002"/>
        </w:numPr>
      </w:pPr>
      <w:r>
        <w:rPr>
          <w:bCs/>
          <w:b/>
        </w:rPr>
        <w:t xml:space="preserve">No dedicated</w:t>
      </w:r>
      <w:r>
        <w:rPr>
          <w:bCs/>
          <w:b/>
        </w:rPr>
        <w:t xml:space="preserve"> </w:t>
      </w:r>
      <w:r>
        <w:rPr>
          <w:bCs/>
          <w:b/>
        </w:rPr>
        <w:t xml:space="preserve">“</w:t>
      </w:r>
      <w:r>
        <w:rPr>
          <w:bCs/>
          <w:b/>
        </w:rPr>
        <w:t xml:space="preserve">logistics-tech</w:t>
      </w:r>
      <w:r>
        <w:rPr>
          <w:bCs/>
          <w:b/>
        </w:rPr>
        <w:t xml:space="preserve">”</w:t>
      </w:r>
      <w:r>
        <w:rPr>
          <w:bCs/>
          <w:b/>
        </w:rPr>
        <w:t xml:space="preserve"> </w:t>
      </w:r>
      <w:r>
        <w:rPr>
          <w:bCs/>
          <w:b/>
        </w:rPr>
        <w:t xml:space="preserve">sub-sector is measured</w:t>
      </w:r>
      <w:r>
        <w:t xml:space="preserve"> </w:t>
      </w:r>
      <w:r>
        <w:t xml:space="preserve">— consistent with the existing draft. But this pass identifies one real, large, revenue-generating operator anchoring the physical logistics backbone:</w:t>
      </w:r>
      <w:r>
        <w:t xml:space="preserve"> </w:t>
      </w:r>
      <w:r>
        <w:rPr>
          <w:bCs/>
          <w:b/>
        </w:rPr>
        <w:t xml:space="preserve">Freetown Terminal</w:t>
      </w:r>
      <w:r>
        <w:t xml:space="preserve">, a subsidiary of French multinational</w:t>
      </w:r>
      <w:r>
        <w:t xml:space="preserve"> </w:t>
      </w:r>
      <w:r>
        <w:rPr>
          <w:bCs/>
          <w:b/>
        </w:rPr>
        <w:t xml:space="preserve">Bolloré Ports</w:t>
      </w:r>
      <w:r>
        <w:t xml:space="preserve">, which has held the container terminal concession (berths 3–6) at the Port of Freetown since a 25 November 2010 agreement, effective March 2011. A new 270-metre deep-water wharf is expanding total container capacity to</w:t>
      </w:r>
      <w:r>
        <w:t xml:space="preserve"> </w:t>
      </w:r>
      <w:r>
        <w:rPr>
          <w:bCs/>
          <w:b/>
        </w:rPr>
        <w:t xml:space="preserve">750,000 TEUs</w:t>
      </w:r>
      <w:r>
        <w:t xml:space="preserve">, and modernisation work is reported to have driven roughly a</w:t>
      </w:r>
      <w:r>
        <w:t xml:space="preserve"> </w:t>
      </w:r>
      <w:r>
        <w:rPr>
          <w:bCs/>
          <w:b/>
        </w:rPr>
        <w:t xml:space="preserve">30% increase in traffic</w:t>
      </w:r>
      <w:r>
        <w:t xml:space="preserve"> </w:t>
      </w:r>
      <w:r>
        <w:t xml:space="preserve">over a recent four-year period (exact years not established in this pass).</w:t>
      </w:r>
      <w:r>
        <w:t xml:space="preserve"> </w:t>
      </w:r>
      <w:hyperlink r:id="rId23">
        <w:r>
          <w:rPr>
            <w:rStyle w:val="Hyperlink"/>
          </w:rPr>
          <w:t xml:space="preserve">Bolloré Ports</w:t>
        </w:r>
      </w:hyperlink>
      <w:r>
        <w:t xml:space="preserve">;</w:t>
      </w:r>
      <w:r>
        <w:t xml:space="preserve"> </w:t>
      </w:r>
      <w:hyperlink r:id="rId24">
        <w:r>
          <w:rPr>
            <w:rStyle w:val="Hyperlink"/>
          </w:rPr>
          <w:t xml:space="preserve">Freetown Terminal</w:t>
        </w:r>
      </w:hyperlink>
      <w:r>
        <w:t xml:space="preserve"> </w:t>
      </w:r>
      <w:r>
        <w:t xml:space="preserve">—</w:t>
      </w:r>
      <w:r>
        <w:t xml:space="preserve"> </w:t>
      </w:r>
      <w:r>
        <w:rPr>
          <w:bCs/>
          <w:b/>
        </w:rPr>
        <w:t xml:space="preserve">†, both blocked, not opened</w:t>
      </w:r>
      <w:r>
        <w:t xml:space="preserve">. This is real, scaled, revenue-generating activity in the sector — but it is a large foreign-multinational concession, not a Sierra Leonean company an early-stage or growth fund could invest in; this distinction matters and should not be conflated with sector investability for SIC’s likely mandate.</w:t>
      </w:r>
    </w:p>
    <w:p>
      <w:pPr>
        <w:numPr>
          <w:ilvl w:val="0"/>
          <w:numId w:val="1002"/>
        </w:numPr>
      </w:pPr>
      <w:r>
        <w:rPr>
          <w:bCs/>
          <w:b/>
        </w:rPr>
        <w:t xml:space="preserve">Road network, quantified:</w:t>
      </w:r>
      <w:r>
        <w:t xml:space="preserve"> </w:t>
      </w:r>
      <w:r>
        <w:t xml:space="preserve">Sierra Leone has a public road network of about</w:t>
      </w:r>
      <w:r>
        <w:t xml:space="preserve"> </w:t>
      </w:r>
      <w:r>
        <w:rPr>
          <w:bCs/>
          <w:b/>
        </w:rPr>
        <w:t xml:space="preserve">11,700km</w:t>
      </w:r>
      <w:r>
        <w:t xml:space="preserve">, of which</w:t>
      </w:r>
      <w:r>
        <w:t xml:space="preserve"> </w:t>
      </w:r>
      <w:r>
        <w:rPr>
          <w:bCs/>
          <w:b/>
        </w:rPr>
        <w:t xml:space="preserve">8,700km</w:t>
      </w:r>
      <w:r>
        <w:t xml:space="preserve"> </w:t>
      </w:r>
      <w:r>
        <w:t xml:space="preserve">are nationally classified (primary/Grade A, secondary/Grade B, feeder/Grade F). As of 2019 data, only</w:t>
      </w:r>
      <w:r>
        <w:t xml:space="preserve"> </w:t>
      </w:r>
      <w:r>
        <w:rPr>
          <w:bCs/>
          <w:b/>
        </w:rPr>
        <w:t xml:space="preserve">about 40% of primary roads were paved in good or fair condition</w:t>
      </w:r>
      <w:r>
        <w:t xml:space="preserve">;</w:t>
      </w:r>
      <w:r>
        <w:t xml:space="preserve"> </w:t>
      </w:r>
      <w:r>
        <w:rPr>
          <w:bCs/>
          <w:b/>
        </w:rPr>
        <w:t xml:space="preserve">almost all secondary and feeder roads are unpaved</w:t>
      </w:r>
      <w:r>
        <w:t xml:space="preserve">, with</w:t>
      </w:r>
      <w:r>
        <w:t xml:space="preserve"> </w:t>
      </w:r>
      <w:r>
        <w:rPr>
          <w:bCs/>
          <w:b/>
        </w:rPr>
        <w:t xml:space="preserve">57% of those in fair or poor condition</w:t>
      </w:r>
      <w:r>
        <w:t xml:space="preserve">. More than 90 bridges are flagged as critical chokepoints given the length of the wet season.</w:t>
      </w:r>
      <w:r>
        <w:t xml:space="preserve"> </w:t>
      </w:r>
      <w:hyperlink r:id="rId25">
        <w:r>
          <w:rPr>
            <w:rStyle w:val="Hyperlink"/>
          </w:rPr>
          <w:t xml:space="preserve">Digital Logistics Capacity Assessments / World Bank</w:t>
        </w:r>
      </w:hyperlink>
      <w:r>
        <w:t xml:space="preserve"> </w:t>
      </w:r>
      <w:r>
        <w:t xml:space="preserve">—</w:t>
      </w:r>
      <w:r>
        <w:t xml:space="preserve"> </w:t>
      </w:r>
      <w:r>
        <w:rPr>
          <w:bCs/>
          <w:b/>
        </w:rPr>
        <w:t xml:space="preserve">†, not opened</w:t>
      </w:r>
      <w:r>
        <w:t xml:space="preserve">. This directly reinforces the same feeder-road gap already logged under Sector 1 (AgTech post-harvest losses) — the two sectors share an identical physical-infrastructure constraint.</w:t>
      </w:r>
    </w:p>
    <w:p>
      <w:pPr>
        <w:numPr>
          <w:ilvl w:val="0"/>
          <w:numId w:val="1002"/>
        </w:numPr>
      </w:pPr>
      <w:r>
        <w:rPr>
          <w:bCs/>
          <w:b/>
        </w:rPr>
        <w:t xml:space="preserve">Registered enterprises:</w:t>
      </w:r>
      <w:r>
        <w:t xml:space="preserve"> </w:t>
      </w:r>
      <w:r>
        <w:t xml:space="preserve">no comprehensive registry count identified. Named conventional forwarders exist (e.g.,</w:t>
      </w:r>
      <w:r>
        <w:t xml:space="preserve"> </w:t>
      </w:r>
      <w:r>
        <w:rPr>
          <w:bCs/>
          <w:b/>
        </w:rPr>
        <w:t xml:space="preserve">Leone Freight &amp; Logistics</w:t>
      </w:r>
      <w:r>
        <w:t xml:space="preserve">, a UK-based operator specialising in door-to-door cargo to Sierra Leone, Ghana, Nigeria and The Gambia — primarily a diaspora-shipping business, not a domestic trade-tech venture)</w:t>
      </w:r>
      <w:r>
        <w:t xml:space="preserve"> </w:t>
      </w:r>
      <w:hyperlink r:id="rId26">
        <w:r>
          <w:rPr>
            <w:rStyle w:val="Hyperlink"/>
          </w:rPr>
          <w:t xml:space="preserve">Leone Freight &amp; Logistics</w:t>
        </w:r>
      </w:hyperlink>
      <w:r>
        <w:t xml:space="preserve"> </w:t>
      </w:r>
      <w:r>
        <w:t xml:space="preserve">—</w:t>
      </w:r>
      <w:r>
        <w:t xml:space="preserve"> </w:t>
      </w:r>
      <w:r>
        <w:rPr>
          <w:bCs/>
          <w:b/>
        </w:rPr>
        <w:t xml:space="preserve">†</w:t>
      </w:r>
      <w:r>
        <w:t xml:space="preserve">, alongside multiple listed forwarders on international directories (JCtrans, Cargo Yellow Pages) — consistent with the existing draft’s</w:t>
      </w:r>
      <w:r>
        <w:t xml:space="preserve"> </w:t>
      </w:r>
      <w:r>
        <w:t xml:space="preserve">“</w:t>
      </w:r>
      <w:r>
        <w:t xml:space="preserve">conventional forwarders and shipping agents</w:t>
      </w:r>
      <w:r>
        <w:t xml:space="preserve">”</w:t>
      </w:r>
      <w:r>
        <w:t xml:space="preserve"> </w:t>
      </w:r>
      <w:r>
        <w:t xml:space="preserve">characterisation.</w:t>
      </w:r>
    </w:p>
    <w:p>
      <w:pPr>
        <w:numPr>
          <w:ilvl w:val="0"/>
          <w:numId w:val="1002"/>
        </w:numPr>
      </w:pPr>
      <w:r>
        <w:rPr>
          <w:bCs/>
          <w:b/>
        </w:rPr>
        <w:t xml:space="preserve">GDP and employment contribution:</w:t>
      </w:r>
      <w:r>
        <w:t xml:space="preserve"> </w:t>
      </w:r>
      <w:r>
        <w:rPr>
          <w:bCs/>
          <w:b/>
        </w:rPr>
        <w:t xml:space="preserve">no reliable Sierra Leone-specific figure identified</w:t>
      </w:r>
      <w:r>
        <w:t xml:space="preserve">, consistent with the existing draft.</w:t>
      </w:r>
    </w:p>
    <w:bookmarkEnd w:id="27"/>
    <w:bookmarkStart w:id="32" w:name="part-2-the-structural-problem"/>
    <w:p>
      <w:pPr>
        <w:pStyle w:val="Heading2"/>
      </w:pPr>
      <w:r>
        <w:t xml:space="preserve">Part 2 — The structural problem</w:t>
      </w:r>
    </w:p>
    <w:p>
      <w:pPr>
        <w:numPr>
          <w:ilvl w:val="0"/>
          <w:numId w:val="1003"/>
        </w:numPr>
      </w:pPr>
      <w:r>
        <w:rPr>
          <w:bCs/>
          <w:b/>
        </w:rPr>
        <w:t xml:space="preserve">Core problem confirmed, and partially quantified for the first time:</w:t>
      </w:r>
      <w:r>
        <w:t xml:space="preserve"> </w:t>
      </w:r>
      <w:r>
        <w:t xml:space="preserve">an IMF staff report finds that</w:t>
      </w:r>
      <w:r>
        <w:t xml:space="preserve"> </w:t>
      </w:r>
      <w:r>
        <w:rPr>
          <w:bCs/>
          <w:b/>
        </w:rPr>
        <w:t xml:space="preserve">reducing import clearance time from 5 days to half a day</w:t>
      </w:r>
      <w:r>
        <w:t xml:space="preserve"> </w:t>
      </w:r>
      <w:r>
        <w:t xml:space="preserve">could yield meaningful welfare and trade-volume gains for Sierra Leone.</w:t>
      </w:r>
      <w:r>
        <w:t xml:space="preserve"> </w:t>
      </w:r>
      <w:hyperlink r:id="rId28">
        <w:r>
          <w:rPr>
            <w:rStyle w:val="Hyperlink"/>
          </w:rPr>
          <w:t xml:space="preserve">IMF,</w:t>
        </w:r>
        <w:r>
          <w:rPr>
            <w:rStyle w:val="Hyperlink"/>
          </w:rPr>
          <w:t xml:space="preserve"> </w:t>
        </w:r>
        <w:r>
          <w:rPr>
            <w:rStyle w:val="Hyperlink"/>
          </w:rPr>
          <w:t xml:space="preserve">“</w:t>
        </w:r>
        <w:r>
          <w:rPr>
            <w:rStyle w:val="Hyperlink"/>
          </w:rPr>
          <w:t xml:space="preserve">Trade Costs and Facilitation in Sierra Leone,</w:t>
        </w:r>
        <w:r>
          <w:rPr>
            <w:rStyle w:val="Hyperlink"/>
          </w:rPr>
          <w:t xml:space="preserve">”</w:t>
        </w:r>
        <w:r>
          <w:rPr>
            <w:rStyle w:val="Hyperlink"/>
          </w:rPr>
          <w:t xml:space="preserve"> </w:t>
        </w:r>
        <w:r>
          <w:rPr>
            <w:rStyle w:val="Hyperlink"/>
          </w:rPr>
          <w:t xml:space="preserve">Staff Country Report 2024/322</w:t>
        </w:r>
      </w:hyperlink>
      <w:r>
        <w:t xml:space="preserve"> </w:t>
      </w:r>
      <w:r>
        <w:t xml:space="preserve">—</w:t>
      </w:r>
      <w:r>
        <w:t xml:space="preserve"> </w:t>
      </w:r>
      <w:r>
        <w:rPr>
          <w:bCs/>
          <w:b/>
        </w:rPr>
        <w:t xml:space="preserve">†, not opened; a dollar value for the gain was not found in this pass, only the time-reduction target.</w:t>
      </w:r>
      <w:r>
        <w:t xml:space="preserve"> </w:t>
      </w:r>
      <w:r>
        <w:t xml:space="preserve">This is a real efficiency benchmark, though not a full financing-gap figure.</w:t>
      </w:r>
    </w:p>
    <w:p>
      <w:pPr>
        <w:numPr>
          <w:ilvl w:val="0"/>
          <w:numId w:val="1003"/>
        </w:numPr>
      </w:pPr>
      <w:r>
        <w:rPr>
          <w:bCs/>
          <w:b/>
        </w:rPr>
        <w:t xml:space="preserve">Sierra Leone’s digital-trade infrastructure is mid-transition, not complete — a more precise picture than the existing draft’s general</w:t>
      </w:r>
      <w:r>
        <w:rPr>
          <w:bCs/>
          <w:b/>
        </w:rPr>
        <w:t xml:space="preserve"> </w:t>
      </w:r>
      <w:r>
        <w:rPr>
          <w:bCs/>
          <w:b/>
        </w:rPr>
        <w:t xml:space="preserve">“</w:t>
      </w:r>
      <w:r>
        <w:rPr>
          <w:bCs/>
          <w:b/>
        </w:rPr>
        <w:t xml:space="preserve">paper-based clearance</w:t>
      </w:r>
      <w:r>
        <w:rPr>
          <w:bCs/>
          <w:b/>
        </w:rPr>
        <w:t xml:space="preserve">”</w:t>
      </w:r>
      <w:r>
        <w:rPr>
          <w:bCs/>
          <w:b/>
        </w:rPr>
        <w:t xml:space="preserve"> </w:t>
      </w:r>
      <w:r>
        <w:rPr>
          <w:bCs/>
          <w:b/>
        </w:rPr>
        <w:t xml:space="preserve">line:</w:t>
      </w:r>
    </w:p>
    <w:p>
      <w:pPr>
        <w:numPr>
          <w:ilvl w:val="1"/>
          <w:numId w:val="1004"/>
        </w:numPr>
        <w:pStyle w:val="Compact"/>
      </w:pPr>
      <w:r>
        <w:t xml:space="preserve">An</w:t>
      </w:r>
      <w:r>
        <w:t xml:space="preserve"> </w:t>
      </w:r>
      <w:r>
        <w:rPr>
          <w:bCs/>
          <w:b/>
        </w:rPr>
        <w:t xml:space="preserve">Electronic Single Window has been launched</w:t>
      </w:r>
      <w:r>
        <w:t xml:space="preserve"> </w:t>
      </w:r>
      <w:r>
        <w:t xml:space="preserve">and was specifically commended in the WTO’s</w:t>
      </w:r>
      <w:r>
        <w:t xml:space="preserve"> </w:t>
      </w:r>
      <w:r>
        <w:rPr>
          <w:bCs/>
          <w:b/>
        </w:rPr>
        <w:t xml:space="preserve">March 2025 Trade Policy Review</w:t>
      </w:r>
      <w:r>
        <w:t xml:space="preserve">.</w:t>
      </w:r>
      <w:r>
        <w:t xml:space="preserve"> </w:t>
      </w:r>
      <w:hyperlink r:id="rId29">
        <w:r>
          <w:rPr>
            <w:rStyle w:val="Hyperlink"/>
          </w:rPr>
          <w:t xml:space="preserve">WTO</w:t>
        </w:r>
      </w:hyperlink>
      <w:r>
        <w:t xml:space="preserve"> </w:t>
      </w:r>
      <w:r>
        <w:t xml:space="preserve">—</w:t>
      </w:r>
      <w:r>
        <w:t xml:space="preserve"> </w:t>
      </w:r>
      <w:r>
        <w:rPr>
          <w:bCs/>
          <w:b/>
        </w:rPr>
        <w:t xml:space="preserve">†, not opened</w:t>
      </w:r>
      <w:r>
        <w:t xml:space="preserve">.</w:t>
      </w:r>
    </w:p>
    <w:p>
      <w:pPr>
        <w:numPr>
          <w:ilvl w:val="1"/>
          <w:numId w:val="1004"/>
        </w:numPr>
        <w:pStyle w:val="Compact"/>
      </w:pPr>
      <w:r>
        <w:t xml:space="preserve">Sierra Leone’s own customs delegation, led by the Commissioner of Customs Services, travelled to Liberia in</w:t>
      </w:r>
      <w:r>
        <w:t xml:space="preserve"> </w:t>
      </w:r>
      <w:r>
        <w:rPr>
          <w:bCs/>
          <w:b/>
        </w:rPr>
        <w:t xml:space="preserve">August 2025</w:t>
      </w:r>
      <w:r>
        <w:t xml:space="preserve"> </w:t>
      </w:r>
      <w:r>
        <w:t xml:space="preserve">specifically to learn from Liberia’s more mature</w:t>
      </w:r>
      <w:r>
        <w:t xml:space="preserve"> </w:t>
      </w:r>
      <w:r>
        <w:rPr>
          <w:bCs/>
          <w:b/>
        </w:rPr>
        <w:t xml:space="preserve">ASYCUDA World</w:t>
      </w:r>
      <w:r>
        <w:t xml:space="preserve"> </w:t>
      </w:r>
      <w:r>
        <w:t xml:space="preserve">implementation — direct evidence that Sierra Leone’s core customs-automation platform still lags a regional peer it is often compared favourably against in other sectors.</w:t>
      </w:r>
      <w:r>
        <w:t xml:space="preserve"> </w:t>
      </w:r>
      <w:hyperlink r:id="rId30">
        <w:r>
          <w:rPr>
            <w:rStyle w:val="Hyperlink"/>
          </w:rPr>
          <w:t xml:space="preserve">Liberia Revenue Authority</w:t>
        </w:r>
      </w:hyperlink>
      <w:r>
        <w:t xml:space="preserve"> </w:t>
      </w:r>
      <w:r>
        <w:t xml:space="preserve">—</w:t>
      </w:r>
      <w:r>
        <w:t xml:space="preserve"> </w:t>
      </w:r>
      <w:r>
        <w:rPr>
          <w:bCs/>
          <w:b/>
        </w:rPr>
        <w:t xml:space="preserve">†, not opened</w:t>
      </w:r>
      <w:r>
        <w:t xml:space="preserve">.</w:t>
      </w:r>
    </w:p>
    <w:p>
      <w:pPr>
        <w:numPr>
          <w:ilvl w:val="1"/>
          <w:numId w:val="1004"/>
        </w:numPr>
        <w:pStyle w:val="Compact"/>
      </w:pPr>
      <w:r>
        <w:t xml:space="preserve">The IMO’s</w:t>
      </w:r>
      <w:r>
        <w:t xml:space="preserve"> </w:t>
      </w:r>
      <w:r>
        <w:rPr>
          <w:bCs/>
          <w:b/>
        </w:rPr>
        <w:t xml:space="preserve">Maritime Single Window (MSW)</w:t>
      </w:r>
      <w:r>
        <w:t xml:space="preserve"> </w:t>
      </w:r>
      <w:r>
        <w:t xml:space="preserve">became a binding requirement for all member states from</w:t>
      </w:r>
      <w:r>
        <w:t xml:space="preserve"> </w:t>
      </w:r>
      <w:r>
        <w:rPr>
          <w:bCs/>
          <w:b/>
        </w:rPr>
        <w:t xml:space="preserve">1 January 2024</w:t>
      </w:r>
      <w:r>
        <w:t xml:space="preserve">. As of the sources found in this pass, Sierra Leone had only reached a</w:t>
      </w:r>
      <w:r>
        <w:t xml:space="preserve"> </w:t>
      </w:r>
      <w:r>
        <w:rPr>
          <w:bCs/>
          <w:b/>
        </w:rPr>
        <w:t xml:space="preserve">“</w:t>
      </w:r>
      <w:r>
        <w:rPr>
          <w:bCs/>
          <w:b/>
        </w:rPr>
        <w:t xml:space="preserve">needs assessment mission</w:t>
      </w:r>
      <w:r>
        <w:rPr>
          <w:bCs/>
          <w:b/>
        </w:rPr>
        <w:t xml:space="preserve">”</w:t>
      </w:r>
      <w:r>
        <w:t xml:space="preserve"> </w:t>
      </w:r>
      <w:r>
        <w:t xml:space="preserve">stage with the Port of Freetown and relevant ministries — implying likely non-compliance with this binding international requirement as of the assessment window.</w:t>
      </w:r>
      <w:r>
        <w:t xml:space="preserve"> </w:t>
      </w:r>
      <w:hyperlink r:id="rId31">
        <w:r>
          <w:rPr>
            <w:rStyle w:val="Hyperlink"/>
          </w:rPr>
          <w:t xml:space="preserve">Port Technology International</w:t>
        </w:r>
      </w:hyperlink>
      <w:r>
        <w:t xml:space="preserve"> </w:t>
      </w:r>
      <w:r>
        <w:t xml:space="preserve">—</w:t>
      </w:r>
      <w:r>
        <w:t xml:space="preserve"> </w:t>
      </w:r>
      <w:r>
        <w:rPr>
          <w:bCs/>
          <w:b/>
        </w:rPr>
        <w:t xml:space="preserve">†, not opened</w:t>
      </w:r>
      <w:r>
        <w:t xml:space="preserve">.</w:t>
      </w:r>
    </w:p>
    <w:p>
      <w:pPr>
        <w:numPr>
          <w:ilvl w:val="0"/>
          <w:numId w:val="1003"/>
        </w:numPr>
      </w:pPr>
      <w:r>
        <w:rPr>
          <w:bCs/>
          <w:b/>
        </w:rPr>
        <w:t xml:space="preserve">Where value leaks:</w:t>
      </w:r>
      <w:r>
        <w:t xml:space="preserve"> </w:t>
      </w:r>
      <w:r>
        <w:t xml:space="preserve">multiple intermediaries and paper-based processes add cost and delay, benefiting incumbent forwarders and brokers rather than being captured by any single dominant actor — consistent with, but more precisely evidenced than, the existing draft.</w:t>
      </w:r>
    </w:p>
    <w:bookmarkEnd w:id="32"/>
    <w:bookmarkStart w:id="36" w:name="part-3-is-this-sector-investable-now"/>
    <w:p>
      <w:pPr>
        <w:pStyle w:val="Heading2"/>
      </w:pPr>
      <w:r>
        <w:t xml:space="preserve">Part 3 — Is this sector investable now?</w:t>
      </w:r>
    </w:p>
    <w:p>
      <w:pPr>
        <w:numPr>
          <w:ilvl w:val="0"/>
          <w:numId w:val="1005"/>
        </w:numPr>
      </w:pPr>
      <w:r>
        <w:rPr>
          <w:bCs/>
          <w:b/>
        </w:rPr>
        <w:t xml:space="preserve">The clearest, most direct evidence in this pass is a revealed-preference negative result, not a positive one.</w:t>
      </w:r>
      <w:r>
        <w:t xml:space="preserve"> </w:t>
      </w:r>
      <w:r>
        <w:t xml:space="preserve">West Africa’s best-funded regional freight-tech platforms have had years to expand into Sierra Leone and have not done so:</w:t>
      </w:r>
    </w:p>
    <w:p>
      <w:pPr>
        <w:numPr>
          <w:ilvl w:val="1"/>
          <w:numId w:val="1006"/>
        </w:numPr>
        <w:pStyle w:val="Compact"/>
      </w:pPr>
      <w:r>
        <w:rPr>
          <w:bCs/>
          <w:b/>
        </w:rPr>
        <w:t xml:space="preserve">Kobo360</w:t>
      </w:r>
      <w:r>
        <w:t xml:space="preserve"> </w:t>
      </w:r>
      <w:r>
        <w:t xml:space="preserve">(Nigeria-founded, an</w:t>
      </w:r>
      <w:r>
        <w:t xml:space="preserve"> </w:t>
      </w:r>
      <w:r>
        <w:t xml:space="preserve">“</w:t>
      </w:r>
      <w:r>
        <w:t xml:space="preserve">Uber-style</w:t>
      </w:r>
      <w:r>
        <w:t xml:space="preserve">”</w:t>
      </w:r>
      <w:r>
        <w:t xml:space="preserve"> </w:t>
      </w:r>
      <w:r>
        <w:t xml:space="preserve">trucking/freight-matching platform) raised a</w:t>
      </w:r>
      <w:r>
        <w:t xml:space="preserve"> </w:t>
      </w:r>
      <w:r>
        <w:rPr>
          <w:bCs/>
          <w:b/>
        </w:rPr>
        <w:t xml:space="preserve">US$30 million Series A led by Goldman Sachs</w:t>
      </w:r>
      <w:r>
        <w:t xml:space="preserve"> </w:t>
      </w:r>
      <w:r>
        <w:t xml:space="preserve">(2019) plus</w:t>
      </w:r>
      <w:r>
        <w:t xml:space="preserve"> </w:t>
      </w:r>
      <w:r>
        <w:rPr>
          <w:bCs/>
          <w:b/>
        </w:rPr>
        <w:t xml:space="preserve">$10 million in working-capital financing</w:t>
      </w:r>
      <w:r>
        <w:t xml:space="preserve"> </w:t>
      </w:r>
      <w:r>
        <w:t xml:space="preserve">from Nigerian commercial banks, and stated plans to expand to</w:t>
      </w:r>
      <w:r>
        <w:t xml:space="preserve"> </w:t>
      </w:r>
      <w:r>
        <w:rPr>
          <w:bCs/>
          <w:b/>
        </w:rPr>
        <w:t xml:space="preserve">10 new countries</w:t>
      </w:r>
      <w:r>
        <w:t xml:space="preserve"> </w:t>
      </w:r>
      <w:r>
        <w:t xml:space="preserve">beyond its then-current markets of</w:t>
      </w:r>
      <w:r>
        <w:t xml:space="preserve"> </w:t>
      </w:r>
      <w:r>
        <w:rPr>
          <w:bCs/>
          <w:b/>
        </w:rPr>
        <w:t xml:space="preserve">Nigeria, Togo, Ghana and Kenya</w:t>
      </w:r>
      <w:r>
        <w:t xml:space="preserve">.</w:t>
      </w:r>
      <w:r>
        <w:t xml:space="preserve"> </w:t>
      </w:r>
      <w:hyperlink r:id="rId33">
        <w:r>
          <w:rPr>
            <w:rStyle w:val="Hyperlink"/>
          </w:rPr>
          <w:t xml:space="preserve">TechCrunch</w:t>
        </w:r>
      </w:hyperlink>
      <w:r>
        <w:t xml:space="preserve"> </w:t>
      </w:r>
      <w:r>
        <w:t xml:space="preserve">—</w:t>
      </w:r>
      <w:r>
        <w:t xml:space="preserve"> </w:t>
      </w:r>
      <w:r>
        <w:rPr>
          <w:bCs/>
          <w:b/>
        </w:rPr>
        <w:t xml:space="preserve">†, not opened</w:t>
      </w:r>
      <w:r>
        <w:t xml:space="preserve">.</w:t>
      </w:r>
      <w:r>
        <w:t xml:space="preserve"> </w:t>
      </w:r>
      <w:r>
        <w:rPr>
          <w:bCs/>
          <w:b/>
        </w:rPr>
        <w:t xml:space="preserve">No reliable data identified confirming Sierra Leone was ever among those 10 target markets or that Kobo360 has since entered.</w:t>
      </w:r>
    </w:p>
    <w:p>
      <w:pPr>
        <w:numPr>
          <w:ilvl w:val="1"/>
          <w:numId w:val="1006"/>
        </w:numPr>
        <w:pStyle w:val="Compact"/>
      </w:pPr>
      <w:r>
        <w:rPr>
          <w:bCs/>
          <w:b/>
        </w:rPr>
        <w:t xml:space="preserve">Lori Systems</w:t>
      </w:r>
      <w:r>
        <w:t xml:space="preserve"> </w:t>
      </w:r>
      <w:r>
        <w:t xml:space="preserve">(East Africa-focused, 20,000+ trucks connected) and</w:t>
      </w:r>
      <w:r>
        <w:t xml:space="preserve"> </w:t>
      </w:r>
      <w:r>
        <w:rPr>
          <w:bCs/>
          <w:b/>
        </w:rPr>
        <w:t xml:space="preserve">Sendy</w:t>
      </w:r>
      <w:r>
        <w:t xml:space="preserve"> </w:t>
      </w:r>
      <w:r>
        <w:t xml:space="preserve">(Kenya-based, backed by a $20 million round including Toyota, serving Unilever/DHL/Maersk/Safaricom/Jumia, with</w:t>
      </w:r>
      <w:r>
        <w:t xml:space="preserve"> </w:t>
      </w:r>
      <w:r>
        <w:rPr>
          <w:bCs/>
          <w:b/>
        </w:rPr>
        <w:t xml:space="preserve">stated plans to expand into West Africa from 2020</w:t>
      </w:r>
      <w:r>
        <w:t xml:space="preserve">) — together with Kobo360, these three platforms had raised</w:t>
      </w:r>
      <w:r>
        <w:t xml:space="preserve"> </w:t>
      </w:r>
      <w:r>
        <w:rPr>
          <w:bCs/>
          <w:b/>
        </w:rPr>
        <w:t xml:space="preserve">at least US$65 million</w:t>
      </w:r>
      <w:r>
        <w:t xml:space="preserve"> </w:t>
      </w:r>
      <w:r>
        <w:t xml:space="preserve">from IFC and other investors as of the sources found.</w:t>
      </w:r>
      <w:r>
        <w:t xml:space="preserve"> </w:t>
      </w:r>
      <w:hyperlink r:id="rId34">
        <w:r>
          <w:rPr>
            <w:rStyle w:val="Hyperlink"/>
          </w:rPr>
          <w:t xml:space="preserve">TechAwkNG</w:t>
        </w:r>
      </w:hyperlink>
      <w:r>
        <w:t xml:space="preserve"> </w:t>
      </w:r>
      <w:r>
        <w:t xml:space="preserve">—</w:t>
      </w:r>
      <w:r>
        <w:t xml:space="preserve"> </w:t>
      </w:r>
      <w:r>
        <w:rPr>
          <w:bCs/>
          <w:b/>
        </w:rPr>
        <w:t xml:space="preserve">†, not opened</w:t>
      </w:r>
      <w:r>
        <w:t xml:space="preserve">.</w:t>
      </w:r>
      <w:r>
        <w:t xml:space="preserve"> </w:t>
      </w:r>
      <w:r>
        <w:rPr>
          <w:bCs/>
          <w:b/>
        </w:rPr>
        <w:t xml:space="preserve">No reliable data identified confirming any Sierra Leone presence for either.</w:t>
      </w:r>
    </w:p>
    <w:p>
      <w:pPr>
        <w:numPr>
          <w:ilvl w:val="1"/>
          <w:numId w:val="1006"/>
        </w:numPr>
        <w:pStyle w:val="Compact"/>
      </w:pPr>
      <w:r>
        <w:rPr>
          <w:bCs/>
          <w:b/>
        </w:rPr>
        <w:t xml:space="preserve">Jumia</w:t>
      </w:r>
      <w:r>
        <w:t xml:space="preserve">, Africa’s largest e-commerce/logistics marketplace, operates in</w:t>
      </w:r>
      <w:r>
        <w:t xml:space="preserve"> </w:t>
      </w:r>
      <w:r>
        <w:rPr>
          <w:bCs/>
          <w:b/>
        </w:rPr>
        <w:t xml:space="preserve">nine countries</w:t>
      </w:r>
      <w:r>
        <w:t xml:space="preserve"> </w:t>
      </w:r>
      <w:r>
        <w:t xml:space="preserve">(Nigeria, Côte d’Ivoire, Senegal, Ghana, Kenya, Uganda, Tanzania, Morocco, Egypt) as of its</w:t>
      </w:r>
      <w:r>
        <w:t xml:space="preserve"> </w:t>
      </w:r>
      <w:r>
        <w:rPr>
          <w:bCs/>
          <w:b/>
        </w:rPr>
        <w:t xml:space="preserve">October 2024 exit from South Africa and Tunisia</w:t>
      </w:r>
      <w:r>
        <w:t xml:space="preserve">, a move explicitly framed as consolidating toward its faster-growing, larger markets. [Jumia coverage via search] —</w:t>
      </w:r>
      <w:r>
        <w:t xml:space="preserve"> </w:t>
      </w:r>
      <w:r>
        <w:rPr>
          <w:bCs/>
          <w:b/>
        </w:rPr>
        <w:t xml:space="preserve">†, not opened</w:t>
      </w:r>
      <w:r>
        <w:t xml:space="preserve">.</w:t>
      </w:r>
      <w:r>
        <w:t xml:space="preserve"> </w:t>
      </w:r>
      <w:r>
        <w:rPr>
          <w:bCs/>
          <w:b/>
        </w:rPr>
        <w:t xml:space="preserve">Sierra Leone does not appear anywhere in Jumia’s current or historical footprint.</w:t>
      </w:r>
    </w:p>
    <w:p>
      <w:pPr>
        <w:numPr>
          <w:ilvl w:val="1"/>
          <w:numId w:val="1006"/>
        </w:numPr>
        <w:pStyle w:val="Compact"/>
      </w:pPr>
      <w:r>
        <w:t xml:space="preserve">Taken together, this is strong revealed-preference evidence: sophisticated, professionally-capitalised operators who have specifically evaluated West African trade-logistics expansion — exactly the investment thesis this sector would need — have either never entered Sierra Leone or, in Jumia’s case, are actively retreating from smaller/weaker markets rather than adding them.</w:t>
      </w:r>
    </w:p>
    <w:p>
      <w:pPr>
        <w:numPr>
          <w:ilvl w:val="0"/>
          <w:numId w:val="1005"/>
        </w:numPr>
      </w:pPr>
      <w:r>
        <w:rPr>
          <w:bCs/>
          <w:b/>
        </w:rPr>
        <w:t xml:space="preserve">The one</w:t>
      </w:r>
      <w:r>
        <w:rPr>
          <w:bCs/>
          <w:b/>
        </w:rPr>
        <w:t xml:space="preserve"> </w:t>
      </w:r>
      <w:r>
        <w:rPr>
          <w:bCs/>
          <w:b/>
        </w:rPr>
        <w:t xml:space="preserve">“</w:t>
      </w:r>
      <w:r>
        <w:rPr>
          <w:bCs/>
          <w:b/>
        </w:rPr>
        <w:t xml:space="preserve">digital logistics</w:t>
      </w:r>
      <w:r>
        <w:rPr>
          <w:bCs/>
          <w:b/>
        </w:rPr>
        <w:t xml:space="preserve">”</w:t>
      </w:r>
      <w:r>
        <w:rPr>
          <w:bCs/>
          <w:b/>
        </w:rPr>
        <w:t xml:space="preserve"> </w:t>
      </w:r>
      <w:r>
        <w:rPr>
          <w:bCs/>
          <w:b/>
        </w:rPr>
        <w:t xml:space="preserve">intervention evidenced in Sierra Leone is donor-funded, not commercial.</w:t>
      </w:r>
      <w:r>
        <w:t xml:space="preserve"> </w:t>
      </w:r>
      <w:r>
        <w:rPr>
          <w:bCs/>
          <w:b/>
        </w:rPr>
        <w:t xml:space="preserve">Project Last Mile</w:t>
      </w:r>
      <w:r>
        <w:t xml:space="preserve"> </w:t>
      </w:r>
      <w:r>
        <w:t xml:space="preserve">runs an</w:t>
      </w:r>
      <w:r>
        <w:t xml:space="preserve"> </w:t>
      </w:r>
      <w:r>
        <w:t xml:space="preserve">“</w:t>
      </w:r>
      <w:r>
        <w:t xml:space="preserve">integrated digital last-mile delivery model</w:t>
      </w:r>
      <w:r>
        <w:t xml:space="preserve">”</w:t>
      </w:r>
      <w:r>
        <w:t xml:space="preserve"> </w:t>
      </w:r>
      <w:r>
        <w:t xml:space="preserve">in Sierra Leone, but this is a health-supply-chain programme (medicines, vaccines), typically delivered through a Coca-Cola Foundation/USAID/Global Fund-style partnership model used across several African countries — not a revenue-generating private venture, and more relevant to</w:t>
      </w:r>
      <w:r>
        <w:t xml:space="preserve"> </w:t>
      </w:r>
      <w:r>
        <w:rPr>
          <w:bCs/>
          <w:b/>
        </w:rPr>
        <w:t xml:space="preserve">Sector 6 (HealthTech)</w:t>
      </w:r>
      <w:r>
        <w:t xml:space="preserve"> </w:t>
      </w:r>
      <w:r>
        <w:t xml:space="preserve">supply-chain infrastructure than to commercial trade-tech.</w:t>
      </w:r>
      <w:r>
        <w:t xml:space="preserve"> </w:t>
      </w:r>
      <w:hyperlink r:id="rId35">
        <w:r>
          <w:rPr>
            <w:rStyle w:val="Hyperlink"/>
          </w:rPr>
          <w:t xml:space="preserve">Project Last Mile</w:t>
        </w:r>
      </w:hyperlink>
      <w:r>
        <w:t xml:space="preserve"> </w:t>
      </w:r>
      <w:r>
        <w:t xml:space="preserve">—</w:t>
      </w:r>
      <w:r>
        <w:t xml:space="preserve"> </w:t>
      </w:r>
      <w:r>
        <w:rPr>
          <w:bCs/>
          <w:b/>
        </w:rPr>
        <w:t xml:space="preserve">†, not opened; ownership/funding structure needs Stage 2 confirmation.</w:t>
      </w:r>
    </w:p>
    <w:p>
      <w:pPr>
        <w:numPr>
          <w:ilvl w:val="0"/>
          <w:numId w:val="1005"/>
        </w:numPr>
      </w:pPr>
      <w:r>
        <w:rPr>
          <w:bCs/>
          <w:b/>
        </w:rPr>
        <w:t xml:space="preserve">Minimum viable business model:</w:t>
      </w:r>
      <w:r>
        <w:t xml:space="preserve"> </w:t>
      </w:r>
      <w:r>
        <w:t xml:space="preserve">given the confirmed absence of any regional freight-tech platform in-market, and a national digital-trade backbone still mid-build (Single Window newly live, Maritime Single Window not yet compliant, ASYCUDA World not yet matching Liberia’s implementation), a Sierra Leonean trade-tech venture today would face a smaller, less-digitised starting point than Ghana, Nigeria or Kenya offered the platforms that succeeded there.</w:t>
      </w:r>
    </w:p>
    <w:p>
      <w:pPr>
        <w:numPr>
          <w:ilvl w:val="0"/>
          <w:numId w:val="1005"/>
        </w:numPr>
      </w:pPr>
      <w:r>
        <w:rPr>
          <w:bCs/>
          <w:b/>
        </w:rPr>
        <w:t xml:space="preserve">Venture-scale potential:</w:t>
      </w:r>
      <w:r>
        <w:t xml:space="preserve"> </w:t>
      </w:r>
      <w:r>
        <w:rPr>
          <w:bCs/>
          <w:b/>
        </w:rPr>
        <w:t xml:space="preserve">no</w:t>
      </w:r>
      <w:r>
        <w:t xml:space="preserve">, confirmed and reinforced rather than merely asserted. The absence of Kobo360/Lori/Sendy is the strongest single piece of evidence in this whole pass for a</w:t>
      </w:r>
      <w:r>
        <w:t xml:space="preserve"> </w:t>
      </w:r>
      <w:r>
        <w:t xml:space="preserve">“</w:t>
      </w:r>
      <w:r>
        <w:t xml:space="preserve">not venture-scale</w:t>
      </w:r>
      <w:r>
        <w:t xml:space="preserve">”</w:t>
      </w:r>
      <w:r>
        <w:t xml:space="preserve"> </w:t>
      </w:r>
      <w:r>
        <w:t xml:space="preserve">verdict anywhere in the eight sectors — it is not merely that no data exists, it is that well-resourced professional investors have had the opportunity and evidently declined it.</w:t>
      </w:r>
    </w:p>
    <w:p>
      <w:pPr>
        <w:numPr>
          <w:ilvl w:val="0"/>
          <w:numId w:val="1005"/>
        </w:numPr>
      </w:pPr>
      <w:r>
        <w:rPr>
          <w:bCs/>
          <w:b/>
        </w:rPr>
        <w:t xml:space="preserve">Exit environment:</w:t>
      </w:r>
      <w:r>
        <w:t xml:space="preserve"> </w:t>
      </w:r>
      <w:r>
        <w:rPr>
          <w:bCs/>
          <w:b/>
        </w:rPr>
        <w:t xml:space="preserve">no reliable data identified.</w:t>
      </w:r>
      <w:r>
        <w:t xml:space="preserve"> </w:t>
      </w:r>
      <w:r>
        <w:t xml:space="preserve">The port concession model (Bolloré, since 2010) is the only evidenced structure for large-scale capital entering this sector, and it is an infrastructure-concession model, not a venture-fund-compatible exit path.</w:t>
      </w:r>
    </w:p>
    <w:bookmarkEnd w:id="36"/>
    <w:bookmarkStart w:id="38" w:name="part-4-capital-and-instrument-fit"/>
    <w:p>
      <w:pPr>
        <w:pStyle w:val="Heading2"/>
      </w:pPr>
      <w:r>
        <w:t xml:space="preserve">Part 4 — Capital and instrument fit</w:t>
      </w:r>
    </w:p>
    <w:p>
      <w:pPr>
        <w:numPr>
          <w:ilvl w:val="0"/>
          <w:numId w:val="1007"/>
        </w:numPr>
      </w:pPr>
      <w:r>
        <w:rPr>
          <w:bCs/>
          <w:b/>
        </w:rPr>
        <w:t xml:space="preserve">What is needed:</w:t>
      </w:r>
      <w:r>
        <w:t xml:space="preserve"> </w:t>
      </w:r>
      <w:r>
        <w:t xml:space="preserve">physical/infrastructure asset finance and DFI-grade concessional capital for ports, roads and customs digitisation — not venture equity. The</w:t>
      </w:r>
      <w:r>
        <w:t xml:space="preserve"> </w:t>
      </w:r>
      <w:r>
        <w:rPr>
          <w:bCs/>
          <w:b/>
        </w:rPr>
        <w:t xml:space="preserve">World Bank’s Sierra Leone Connectivity and Agricultural Market Infrastructure Project (CAMIP)</w:t>
      </w:r>
      <w:r>
        <w:t xml:space="preserve">, a</w:t>
      </w:r>
      <w:r>
        <w:t xml:space="preserve"> </w:t>
      </w:r>
      <w:r>
        <w:rPr>
          <w:bCs/>
          <w:b/>
        </w:rPr>
        <w:t xml:space="preserve">US$74 million IDA grant approved in May 2024</w:t>
      </w:r>
      <w:r>
        <w:t xml:space="preserve">, targeting climate-resilient transport connectivity and agricultural market access with a closing date of</w:t>
      </w:r>
      <w:r>
        <w:t xml:space="preserve"> </w:t>
      </w:r>
      <w:r>
        <w:rPr>
          <w:bCs/>
          <w:b/>
        </w:rPr>
        <w:t xml:space="preserve">31 December 2029</w:t>
      </w:r>
      <w:r>
        <w:t xml:space="preserve">, is the largest, most concrete, dated capital figure identified in this sector.</w:t>
      </w:r>
      <w:r>
        <w:t xml:space="preserve"> </w:t>
      </w:r>
      <w:hyperlink r:id="rId37">
        <w:r>
          <w:rPr>
            <w:rStyle w:val="Hyperlink"/>
          </w:rPr>
          <w:t xml:space="preserve">World Bank</w:t>
        </w:r>
      </w:hyperlink>
      <w:r>
        <w:t xml:space="preserve"> </w:t>
      </w:r>
      <w:r>
        <w:t xml:space="preserve">—</w:t>
      </w:r>
      <w:r>
        <w:t xml:space="preserve"> </w:t>
      </w:r>
      <w:r>
        <w:rPr>
          <w:bCs/>
          <w:b/>
        </w:rPr>
        <w:t xml:space="preserve">†, not opened</w:t>
      </w:r>
      <w:r>
        <w:t xml:space="preserve">. Note this project is framed around agricultural market access as much as pure logistics — it directly overlaps with Sector 1’s feeder-road finding.</w:t>
      </w:r>
    </w:p>
    <w:p>
      <w:pPr>
        <w:numPr>
          <w:ilvl w:val="0"/>
          <w:numId w:val="1007"/>
        </w:numPr>
      </w:pPr>
      <w:r>
        <w:rPr>
          <w:bCs/>
          <w:b/>
        </w:rPr>
        <w:t xml:space="preserve">Ticket sizes:</w:t>
      </w:r>
      <w:r>
        <w:t xml:space="preserve"> </w:t>
      </w:r>
      <w:r>
        <w:t xml:space="preserve">CAMIP’s US$74m and Bolloré’s port concession/wharf-expansion investment (Sierra Leone-specific capex not disclosed in sources found — flagged as a gap) are the only two capital figures evidenced, and both sit at sovereign/infrastructure scale, not company/venture scale.</w:t>
      </w:r>
      <w:r>
        <w:t xml:space="preserve"> </w:t>
      </w:r>
      <w:r>
        <w:rPr>
          <w:bCs/>
          <w:b/>
        </w:rPr>
        <w:t xml:space="preserve">No investor active at startup or venture ticket sizes was evidenced for this sector specifically</w:t>
      </w:r>
      <w:r>
        <w:t xml:space="preserve"> </w:t>
      </w:r>
      <w:r>
        <w:t xml:space="preserve">— a negative finding consistent with, and now reinforced by, the Kobo360/Lori/Sendy non-presence finding in Part 3.</w:t>
      </w:r>
    </w:p>
    <w:p>
      <w:pPr>
        <w:numPr>
          <w:ilvl w:val="0"/>
          <w:numId w:val="1007"/>
        </w:numPr>
      </w:pPr>
      <w:r>
        <w:rPr>
          <w:bCs/>
          <w:b/>
        </w:rPr>
        <w:t xml:space="preserve">Financing gap:</w:t>
      </w:r>
      <w:r>
        <w:t xml:space="preserve"> </w:t>
      </w:r>
      <w:r>
        <w:t xml:space="preserve">no reliable quantified figure specific to logistics-tech; the IMF’s</w:t>
      </w:r>
      <w:r>
        <w:t xml:space="preserve"> </w:t>
      </w:r>
      <w:r>
        <w:t xml:space="preserve">“</w:t>
      </w:r>
      <w:r>
        <w:t xml:space="preserve">5 days to half a day</w:t>
      </w:r>
      <w:r>
        <w:t xml:space="preserve">”</w:t>
      </w:r>
      <w:r>
        <w:t xml:space="preserve"> </w:t>
      </w:r>
      <w:r>
        <w:t xml:space="preserve">clearance-time target (Part 2) is the closest efficiency-gap proxy identified, but was not translated into a dollar financing-gap figure in the sources found in this pass.</w:t>
      </w:r>
    </w:p>
    <w:bookmarkEnd w:id="38"/>
    <w:bookmarkStart w:id="40" w:name="part-5-employment-and-job-readiness"/>
    <w:p>
      <w:pPr>
        <w:pStyle w:val="Heading2"/>
      </w:pPr>
      <w:r>
        <w:t xml:space="preserve">Part 5 — Employment and job readiness</w:t>
      </w:r>
    </w:p>
    <w:p>
      <w:pPr>
        <w:numPr>
          <w:ilvl w:val="0"/>
          <w:numId w:val="1008"/>
        </w:numPr>
      </w:pPr>
      <w:r>
        <w:rPr>
          <w:bCs/>
          <w:b/>
        </w:rPr>
        <w:t xml:space="preserve">Labour intensity:</w:t>
      </w:r>
      <w:r>
        <w:t xml:space="preserve"> </w:t>
      </w:r>
      <w:r>
        <w:t xml:space="preserve">physical logistics (trucking, forwarding, port labour) is inherently labour-intensive, but</w:t>
      </w:r>
      <w:r>
        <w:t xml:space="preserve"> </w:t>
      </w:r>
      <w:r>
        <w:rPr>
          <w:bCs/>
          <w:b/>
        </w:rPr>
        <w:t xml:space="preserve">no reliable headcount data was identified</w:t>
      </w:r>
      <w:r>
        <w:t xml:space="preserve"> </w:t>
      </w:r>
      <w:r>
        <w:t xml:space="preserve">for Freetown Terminal or the forwarding sector as a whole.</w:t>
      </w:r>
    </w:p>
    <w:p>
      <w:pPr>
        <w:numPr>
          <w:ilvl w:val="0"/>
          <w:numId w:val="1008"/>
        </w:numPr>
      </w:pPr>
      <w:r>
        <w:rPr>
          <w:bCs/>
          <w:b/>
        </w:rPr>
        <w:t xml:space="preserve">Skills base:</w:t>
      </w:r>
      <w:r>
        <w:t xml:space="preserve"> </w:t>
      </w:r>
      <w:r>
        <w:t xml:space="preserve">digital trade-tech specifically would be talent-constrained, consistent with the existing draft. This is reinforced by the fact that the government’s own flagship digital-economy initiative — the</w:t>
      </w:r>
      <w:r>
        <w:t xml:space="preserve"> </w:t>
      </w:r>
      <w:r>
        <w:rPr>
          <w:bCs/>
          <w:b/>
        </w:rPr>
        <w:t xml:space="preserve">US$150 million</w:t>
      </w:r>
      <w:r>
        <w:rPr>
          <w:bCs/>
          <w:b/>
        </w:rPr>
        <w:t xml:space="preserve"> </w:t>
      </w:r>
      <w:r>
        <w:rPr>
          <w:bCs/>
          <w:b/>
        </w:rPr>
        <w:t xml:space="preserve">“</w:t>
      </w:r>
      <w:r>
        <w:rPr>
          <w:bCs/>
          <w:b/>
        </w:rPr>
        <w:t xml:space="preserve">Tech City</w:t>
      </w:r>
      <w:r>
        <w:rPr>
          <w:bCs/>
          <w:b/>
        </w:rPr>
        <w:t xml:space="preserve">”</w:t>
      </w:r>
      <w:r>
        <w:rPr>
          <w:bCs/>
          <w:b/>
        </w:rPr>
        <w:t xml:space="preserve"> </w:t>
      </w:r>
      <w:r>
        <w:rPr>
          <w:bCs/>
          <w:b/>
        </w:rPr>
        <w:t xml:space="preserve">/ National Digital Hub strategy</w:t>
      </w:r>
      <w:r>
        <w:t xml:space="preserve">, announced at the June 2024 Sierra Leone Tech Summit, centred on a 130-acre special economic zone in</w:t>
      </w:r>
      <w:r>
        <w:t xml:space="preserve"> </w:t>
      </w:r>
      <w:r>
        <w:rPr>
          <w:bCs/>
          <w:b/>
        </w:rPr>
        <w:t xml:space="preserve">Tikonko, Bo District</w:t>
      </w:r>
      <w:r>
        <w:t xml:space="preserve">, backed by</w:t>
      </w:r>
      <w:r>
        <w:t xml:space="preserve"> </w:t>
      </w:r>
      <w:r>
        <w:rPr>
          <w:bCs/>
          <w:b/>
        </w:rPr>
        <w:t xml:space="preserve">Africell’s commitment to build a third-party-accessible data centre</w:t>
      </w:r>
      <w:r>
        <w:t xml:space="preserve"> </w:t>
      </w:r>
      <w:r>
        <w:t xml:space="preserve">and by Orange Sierra Leone, plus a separate</w:t>
      </w:r>
      <w:r>
        <w:t xml:space="preserve"> </w:t>
      </w:r>
      <w:r>
        <w:rPr>
          <w:bCs/>
          <w:b/>
        </w:rPr>
        <w:t xml:space="preserve">US$50 million digital-transformation and literacy programme</w:t>
      </w:r>
      <w:r>
        <w:t xml:space="preserve"> </w:t>
      </w:r>
      <w:r>
        <w:t xml:space="preserve">— is explicitly framed as</w:t>
      </w:r>
      <w:r>
        <w:t xml:space="preserve"> </w:t>
      </w:r>
      <w:r>
        <w:rPr>
          <w:iCs/>
          <w:i/>
        </w:rPr>
        <w:t xml:space="preserve">building</w:t>
      </w:r>
      <w:r>
        <w:t xml:space="preserve"> </w:t>
      </w:r>
      <w:r>
        <w:t xml:space="preserve">the country’s tech talent and investment base from a low starting point, not evidence that a ready digital-logistics workforce already exists.</w:t>
      </w:r>
      <w:r>
        <w:t xml:space="preserve"> </w:t>
      </w:r>
      <w:hyperlink r:id="rId39">
        <w:r>
          <w:rPr>
            <w:rStyle w:val="Hyperlink"/>
          </w:rPr>
          <w:t xml:space="preserve">Semafor</w:t>
        </w:r>
      </w:hyperlink>
      <w:r>
        <w:t xml:space="preserve"> </w:t>
      </w:r>
      <w:r>
        <w:t xml:space="preserve">—</w:t>
      </w:r>
      <w:r>
        <w:t xml:space="preserve"> </w:t>
      </w:r>
      <w:r>
        <w:rPr>
          <w:bCs/>
          <w:b/>
        </w:rPr>
        <w:t xml:space="preserve">†, not opened</w:t>
      </w:r>
      <w:r>
        <w:t xml:space="preserve">. This initiative is not logistics-specific, but it is the clearest evidence of where national digital-capacity-building effort is currently directed.</w:t>
      </w:r>
    </w:p>
    <w:p>
      <w:pPr>
        <w:numPr>
          <w:ilvl w:val="0"/>
          <w:numId w:val="1008"/>
        </w:numPr>
      </w:pPr>
      <w:r>
        <w:rPr>
          <w:bCs/>
          <w:b/>
        </w:rPr>
        <w:t xml:space="preserve">Gender and youth employment potential:</w:t>
      </w:r>
      <w:r>
        <w:t xml:space="preserve"> </w:t>
      </w:r>
      <w:r>
        <w:rPr>
          <w:bCs/>
          <w:b/>
        </w:rPr>
        <w:t xml:space="preserve">no reliable data identified</w:t>
      </w:r>
      <w:r>
        <w:t xml:space="preserve"> </w:t>
      </w:r>
      <w:r>
        <w:t xml:space="preserve">specific to this sector, consistent with the existing draft.</w:t>
      </w:r>
    </w:p>
    <w:bookmarkEnd w:id="40"/>
    <w:bookmarkStart w:id="41" w:name="X1fb53e779b6e79c585e3690dd6a2948dcd0c556"/>
    <w:p>
      <w:pPr>
        <w:pStyle w:val="Heading2"/>
      </w:pPr>
      <w:r>
        <w:t xml:space="preserve">Part 6 — Investment innovation and de-risking</w:t>
      </w:r>
    </w:p>
    <w:p>
      <w:pPr>
        <w:numPr>
          <w:ilvl w:val="0"/>
          <w:numId w:val="1009"/>
        </w:numPr>
      </w:pPr>
      <w:r>
        <w:rPr>
          <w:bCs/>
          <w:b/>
        </w:rPr>
        <w:t xml:space="preserve">The de-risking mechanism that has actually worked here is the long-term infrastructure concession, not a guarantee or blended-finance product.</w:t>
      </w:r>
      <w:r>
        <w:t xml:space="preserve"> </w:t>
      </w:r>
      <w:r>
        <w:t xml:space="preserve">Bolloré’s port concession (since 2010) is the evidenced structure that attracted real foreign capital into Sierra Leonean logistics infrastructure — a government-negotiated, multi-decade concession, structurally very different from the DFI-guarantee mechanisms found to be effective in Sector 3 (FinTech) or Sector 4 (Blue economy).</w:t>
      </w:r>
    </w:p>
    <w:p>
      <w:pPr>
        <w:numPr>
          <w:ilvl w:val="0"/>
          <w:numId w:val="1009"/>
        </w:numPr>
      </w:pPr>
      <w:r>
        <w:rPr>
          <w:bCs/>
          <w:b/>
        </w:rPr>
        <w:t xml:space="preserve">World Bank’s CAMIP</w:t>
      </w:r>
      <w:r>
        <w:t xml:space="preserve"> </w:t>
      </w:r>
      <w:r>
        <w:t xml:space="preserve">(US$74m IDA grant) is concessional, sovereign-level development finance for connectivity infrastructure, not a company-level de-risking instrument.</w:t>
      </w:r>
    </w:p>
    <w:p>
      <w:pPr>
        <w:numPr>
          <w:ilvl w:val="0"/>
          <w:numId w:val="1009"/>
        </w:numPr>
      </w:pPr>
      <w:r>
        <w:rPr>
          <w:bCs/>
          <w:b/>
        </w:rPr>
        <w:t xml:space="preserve">No trade-facilitation-specific guarantee, insurance, or offtake instrument was evidenced at the company level</w:t>
      </w:r>
      <w:r>
        <w:t xml:space="preserve"> </w:t>
      </w:r>
      <w:r>
        <w:t xml:space="preserve">— consistent with the existing draft’s negative finding, now with a fuller search behind it.</w:t>
      </w:r>
    </w:p>
    <w:p>
      <w:pPr>
        <w:numPr>
          <w:ilvl w:val="0"/>
          <w:numId w:val="1009"/>
        </w:numPr>
      </w:pPr>
      <w:r>
        <w:rPr>
          <w:bCs/>
          <w:b/>
        </w:rPr>
        <w:t xml:space="preserve">What would need to be true for commercial (non-concessional, company-level) entry:</w:t>
      </w:r>
      <w:r>
        <w:t xml:space="preserve"> </w:t>
      </w:r>
      <w:r>
        <w:t xml:space="preserve">completion of the Single Window / Maritime Single Window / ASYCUDA World digitisation stack now underway; materially higher trade volumes than exist today; and, as the single clearest trigger, an actual market-entry decision by one of the regional freight-tech platforms (Kobo360, Lori Systems, Sendy) — which would be the first hard evidence that professional investors see a viable unit-economics case in this specific market.</w:t>
      </w:r>
    </w:p>
    <w:bookmarkEnd w:id="41"/>
    <w:bookmarkStart w:id="43" w:name="part-7-enabling-environment"/>
    <w:p>
      <w:pPr>
        <w:pStyle w:val="Heading2"/>
      </w:pPr>
      <w:r>
        <w:t xml:space="preserve">Part 7 — Enabling environment</w:t>
      </w:r>
    </w:p>
    <w:p>
      <w:pPr>
        <w:numPr>
          <w:ilvl w:val="0"/>
          <w:numId w:val="1010"/>
        </w:numPr>
      </w:pPr>
      <w:r>
        <w:rPr>
          <w:bCs/>
          <w:b/>
        </w:rPr>
        <w:t xml:space="preserve">Real, dated regulatory progress not in the existing draft:</w:t>
      </w:r>
      <w:r>
        <w:t xml:space="preserve"> </w:t>
      </w:r>
      <w:r>
        <w:t xml:space="preserve">the Electronic Single Window launch, commended in the WTO’s March 2025 Trade Policy Review (Part 2), is a concrete upgrade on the existing draft’s generic</w:t>
      </w:r>
      <w:r>
        <w:t xml:space="preserve"> </w:t>
      </w:r>
      <w:r>
        <w:t xml:space="preserve">“</w:t>
      </w:r>
      <w:r>
        <w:t xml:space="preserve">Customs modernisation is government-led</w:t>
      </w:r>
      <w:r>
        <w:t xml:space="preserve">”</w:t>
      </w:r>
      <w:r>
        <w:t xml:space="preserve"> </w:t>
      </w:r>
      <w:r>
        <w:t xml:space="preserve">line.</w:t>
      </w:r>
    </w:p>
    <w:p>
      <w:pPr>
        <w:numPr>
          <w:ilvl w:val="0"/>
          <w:numId w:val="1010"/>
        </w:numPr>
      </w:pPr>
      <w:r>
        <w:rPr>
          <w:bCs/>
          <w:b/>
        </w:rPr>
        <w:t xml:space="preserve">A specific, dated compliance gap also not in the existing draft:</w:t>
      </w:r>
      <w:r>
        <w:t xml:space="preserve"> </w:t>
      </w:r>
      <w:r>
        <w:t xml:space="preserve">Sierra Leone’s Maritime Single Window implementation was still at the</w:t>
      </w:r>
      <w:r>
        <w:t xml:space="preserve"> </w:t>
      </w:r>
      <w:r>
        <w:t xml:space="preserve">“</w:t>
      </w:r>
      <w:r>
        <w:t xml:space="preserve">needs assessment</w:t>
      </w:r>
      <w:r>
        <w:t xml:space="preserve">”</w:t>
      </w:r>
      <w:r>
        <w:t xml:space="preserve"> </w:t>
      </w:r>
      <w:r>
        <w:t xml:space="preserve">stage as of the sources found in this pass, against an IMO deadline that had already passed (1 January 2024) — a live compliance risk for the port sector specifically.</w:t>
      </w:r>
    </w:p>
    <w:p>
      <w:pPr>
        <w:numPr>
          <w:ilvl w:val="0"/>
          <w:numId w:val="1010"/>
        </w:numPr>
      </w:pPr>
      <w:r>
        <w:rPr>
          <w:bCs/>
          <w:b/>
        </w:rPr>
        <w:t xml:space="preserve">National policy:</w:t>
      </w:r>
      <w:r>
        <w:t xml:space="preserve"> </w:t>
      </w:r>
      <w:r>
        <w:t xml:space="preserve">the MTNDP technology/infrastructure pillar (already cited cross-sector) and the new US$150m Tech City/digital-hub strategy (Part 5) both signal strong political intent on the digital economy broadly, but neither is logistics/trade-specific.</w:t>
      </w:r>
    </w:p>
    <w:p>
      <w:pPr>
        <w:numPr>
          <w:ilvl w:val="0"/>
          <w:numId w:val="1010"/>
        </w:numPr>
      </w:pPr>
      <w:r>
        <w:rPr>
          <w:bCs/>
          <w:b/>
        </w:rPr>
        <w:t xml:space="preserve">Donor/development programmes active:</w:t>
      </w:r>
      <w:r>
        <w:t xml:space="preserve"> </w:t>
      </w:r>
      <w:r>
        <w:t xml:space="preserve">World Bank CAMIP (US$74m, 2024); Bolloré’s ongoing port-concession capital investment.</w:t>
      </w:r>
      <w:r>
        <w:t xml:space="preserve"> </w:t>
      </w:r>
      <w:r>
        <w:rPr>
          <w:bCs/>
          <w:b/>
        </w:rPr>
        <w:t xml:space="preserve">MCC’s US$480 million Sierra Leone Compact</w:t>
      </w:r>
      <w:r>
        <w:t xml:space="preserve"> </w:t>
      </w:r>
      <w:r>
        <w:t xml:space="preserve">(signed 27 September 2024) is worth noting as cross-cutting context — it is an</w:t>
      </w:r>
      <w:r>
        <w:t xml:space="preserve"> </w:t>
      </w:r>
      <w:r>
        <w:rPr>
          <w:bCs/>
          <w:b/>
        </w:rPr>
        <w:t xml:space="preserve">energy</w:t>
      </w:r>
      <w:r>
        <w:t xml:space="preserve">-access compact (transmission backbone, distribution/access, power-sector reform), not transport/logistics-specific, but the power-access constraint it addresses (70% of the population currently lacks electricity access) underlies every sector assessed so far, this one included.</w:t>
      </w:r>
      <w:r>
        <w:t xml:space="preserve"> </w:t>
      </w:r>
      <w:hyperlink r:id="rId42">
        <w:r>
          <w:rPr>
            <w:rStyle w:val="Hyperlink"/>
          </w:rPr>
          <w:t xml:space="preserve">MCC</w:t>
        </w:r>
      </w:hyperlink>
      <w:r>
        <w:t xml:space="preserve"> </w:t>
      </w:r>
      <w:r>
        <w:t xml:space="preserve">—</w:t>
      </w:r>
      <w:r>
        <w:t xml:space="preserve"> </w:t>
      </w:r>
      <w:r>
        <w:rPr>
          <w:bCs/>
          <w:b/>
        </w:rPr>
        <w:t xml:space="preserve">†, not opened</w:t>
      </w:r>
      <w:r>
        <w:t xml:space="preserve">.</w:t>
      </w:r>
    </w:p>
    <w:p>
      <w:pPr>
        <w:numPr>
          <w:ilvl w:val="0"/>
          <w:numId w:val="1010"/>
        </w:numPr>
      </w:pPr>
      <w:r>
        <w:rPr>
          <w:bCs/>
          <w:b/>
        </w:rPr>
        <w:t xml:space="preserve">Infrastructure constraints:</w:t>
      </w:r>
      <w:r>
        <w:t xml:space="preserve"> </w:t>
      </w:r>
      <w:r>
        <w:t xml:space="preserve">confirmed and quantified in Part 1 — road-condition data, bridge chokepoints, and the same power/connectivity constraints logged cross-sector.</w:t>
      </w:r>
    </w:p>
    <w:bookmarkEnd w:id="43"/>
    <w:bookmarkStart w:id="44" w:name="part-8-comparative-evidence"/>
    <w:p>
      <w:pPr>
        <w:pStyle w:val="Heading2"/>
      </w:pPr>
      <w:r>
        <w:t xml:space="preserve">Part 8 — Comparative evidence</w:t>
      </w:r>
    </w:p>
    <w:p>
      <w:pPr>
        <w:numPr>
          <w:ilvl w:val="0"/>
          <w:numId w:val="1011"/>
        </w:numPr>
      </w:pPr>
      <w:r>
        <w:rPr>
          <w:bCs/>
          <w:b/>
        </w:rPr>
        <w:t xml:space="preserve">Nigeria, Ghana and Kenya remain the comparators, now with direct evidence of</w:t>
      </w:r>
      <w:r>
        <w:rPr>
          <w:bCs/>
          <w:b/>
        </w:rPr>
        <w:t xml:space="preserve"> </w:t>
      </w:r>
      <w:r>
        <w:rPr>
          <w:iCs/>
          <w:i/>
          <w:bCs/>
          <w:b/>
        </w:rPr>
        <w:t xml:space="preserve">why</w:t>
      </w:r>
      <w:r>
        <w:rPr>
          <w:bCs/>
          <w:b/>
        </w:rPr>
        <w:t xml:space="preserve"> </w:t>
      </w:r>
      <w:r>
        <w:rPr>
          <w:bCs/>
          <w:b/>
        </w:rPr>
        <w:t xml:space="preserve">Sierra Leone hasn’t followed their path</w:t>
      </w:r>
      <w:r>
        <w:t xml:space="preserve">, rather than a general assertion. Kobo360 and Sendy are exactly the kind of well-capitalised, professionally-run trade-tech ventures this sector would need to see — and neither has entered Sierra Leone despite years of stated West Africa expansion ambitions and tens of millions of dollars in available growth capital between them.</w:t>
      </w:r>
    </w:p>
    <w:p>
      <w:pPr>
        <w:numPr>
          <w:ilvl w:val="0"/>
          <w:numId w:val="1011"/>
        </w:numPr>
      </w:pPr>
      <w:r>
        <w:rPr>
          <w:bCs/>
          <w:b/>
        </w:rPr>
        <w:t xml:space="preserve">What failed, reframed:</w:t>
      </w:r>
      <w:r>
        <w:t xml:space="preserve"> </w:t>
      </w:r>
      <w:r>
        <w:t xml:space="preserve">nothing has</w:t>
      </w:r>
      <w:r>
        <w:t xml:space="preserve"> </w:t>
      </w:r>
      <w:r>
        <w:t xml:space="preserve">“</w:t>
      </w:r>
      <w:r>
        <w:t xml:space="preserve">failed</w:t>
      </w:r>
      <w:r>
        <w:t xml:space="preserve">”</w:t>
      </w:r>
      <w:r>
        <w:t xml:space="preserve"> </w:t>
      </w:r>
      <w:r>
        <w:t xml:space="preserve">in Sierra Leone in this sector in the sense of a launched venture collapsing — the more precise finding is that</w:t>
      </w:r>
      <w:r>
        <w:t xml:space="preserve"> </w:t>
      </w:r>
      <w:r>
        <w:rPr>
          <w:bCs/>
          <w:b/>
        </w:rPr>
        <w:t xml:space="preserve">nothing has been attempted</w:t>
      </w:r>
      <w:r>
        <w:t xml:space="preserve"> </w:t>
      </w:r>
      <w:r>
        <w:t xml:space="preserve">at venture scale, which the WS1 prompt’s own framing treats as itself a material finding (absence of evidence, recorded as a finding per the methodology’s own convention, not silently passed over).</w:t>
      </w:r>
    </w:p>
    <w:p>
      <w:pPr>
        <w:pStyle w:val="BlockText"/>
      </w:pPr>
      <w:r>
        <w:rPr>
          <w:bCs/>
          <w:b/>
        </w:rPr>
        <w:t xml:space="preserve">Verdict.</w:t>
      </w:r>
      <w:r>
        <w:t xml:space="preserve"> </w:t>
      </w:r>
      <w:r>
        <w:rPr>
          <w:bCs/>
          <w:b/>
        </w:rPr>
        <w:t xml:space="preserve">Not investable now — confirmed, and materially better evidenced than the existing draft.</w:t>
      </w:r>
      <w:r>
        <w:t xml:space="preserve"> </w:t>
      </w:r>
      <w:r>
        <w:t xml:space="preserve">The existing draft’s conclusion rested mainly on absence of positive evidence; this pass adds a stronger, more specific form of negative evidence: sophisticated regional operators (Kobo360, Lori Systems, Sendy, Jumia) who have both the capital and the explicit West Africa expansion mandate to enter Sierra Leone have not done so, and Jumia is actively retreating from smaller markets rather than adding them. The one real revenue-generating operator in the sector (Freetown Terminal / Bolloré) is a foreign infrastructure concession, not an investable target for an early-stage or growth-capital vehicle.</w:t>
      </w:r>
      <w:r>
        <w:t xml:space="preserve"> </w:t>
      </w:r>
      <w:r>
        <w:rPr>
          <w:bCs/>
          <w:b/>
        </w:rPr>
        <w:t xml:space="preserve">What would have to change:</w:t>
      </w:r>
      <w:r>
        <w:t xml:space="preserve"> </w:t>
      </w:r>
      <w:r>
        <w:t xml:space="preserve">completion of the digital customs stack (Single Window, Maritime Single Window compliance, ASYCUDA World parity with Liberia); materially higher trade volumes; and, most concretely, an actual market-entry decision by one of the regional freight-tech platforms — which would be the clearest possible signal that the unit economics have finally turned favourable.</w:t>
      </w:r>
    </w:p>
    <w:p>
      <w:r>
        <w:pict>
          <v:rect style="width:0;height:1.5pt" o:hralign="center" o:hrstd="t" o:hr="t"/>
        </w:pict>
      </w:r>
    </w:p>
    <w:bookmarkEnd w:id="44"/>
    <w:bookmarkStart w:id="45" w:name="X8ffc0814bf06bc0cb65d9e9e00984e3aa907911"/>
    <w:p>
      <w:pPr>
        <w:pStyle w:val="Heading2"/>
      </w:pPr>
      <w:r>
        <w:t xml:space="preserve">Additions required to the master tracker / claude_B1.docx on merge</w:t>
      </w:r>
    </w:p>
    <w:p>
      <w:pPr>
        <w:numPr>
          <w:ilvl w:val="0"/>
          <w:numId w:val="1012"/>
        </w:numPr>
        <w:pStyle w:val="Compact"/>
      </w:pPr>
      <w:r>
        <w:rPr>
          <w:bCs/>
          <w:b/>
        </w:rPr>
        <w:t xml:space="preserve">Ranking table / Executive summary:</w:t>
      </w:r>
      <w:r>
        <w:t xml:space="preserve"> </w:t>
      </w:r>
      <w:r>
        <w:t xml:space="preserve">strengthen the Logistics</w:t>
      </w:r>
      <w:r>
        <w:t xml:space="preserve"> </w:t>
      </w:r>
      <w:r>
        <w:t xml:space="preserve">“</w:t>
      </w:r>
      <w:r>
        <w:t xml:space="preserve">Deciding evidence</w:t>
      </w:r>
      <w:r>
        <w:t xml:space="preserve">”</w:t>
      </w:r>
      <w:r>
        <w:t xml:space="preserve"> </w:t>
      </w:r>
      <w:r>
        <w:t xml:space="preserve">cell to cite the specific Kobo360/Lori/Sendy/Jumia non-presence finding as the sector’s central piece of evidence, rather than the current generic</w:t>
      </w:r>
      <w:r>
        <w:t xml:space="preserve"> </w:t>
      </w:r>
      <w:r>
        <w:t xml:space="preserve">“</w:t>
      </w:r>
      <w:r>
        <w:t xml:space="preserve">no trade-tech venture evidenced.</w:t>
      </w:r>
      <w:r>
        <w:t xml:space="preserve">”</w:t>
      </w:r>
    </w:p>
    <w:p>
      <w:pPr>
        <w:numPr>
          <w:ilvl w:val="0"/>
          <w:numId w:val="1012"/>
        </w:numPr>
        <w:pStyle w:val="Compact"/>
      </w:pPr>
      <w:r>
        <w:rPr>
          <w:bCs/>
          <w:b/>
        </w:rPr>
        <w:t xml:space="preserve">Figure 2 (companies evidenced per sector):</w:t>
      </w:r>
      <w:r>
        <w:t xml:space="preserve"> </w:t>
      </w:r>
      <w:r>
        <w:t xml:space="preserve">Logistics count should remain</w:t>
      </w:r>
      <w:r>
        <w:t xml:space="preserve"> </w:t>
      </w:r>
      <w:r>
        <w:rPr>
          <w:bCs/>
          <w:b/>
        </w:rPr>
        <w:t xml:space="preserve">0</w:t>
      </w:r>
      <w:r>
        <w:t xml:space="preserve"> </w:t>
      </w:r>
      <w:r>
        <w:t xml:space="preserve">for Sierra Leonean trade-tech ventures specifically, but the tracker should note</w:t>
      </w:r>
      <w:r>
        <w:t xml:space="preserve"> </w:t>
      </w:r>
      <w:r>
        <w:rPr>
          <w:bCs/>
          <w:b/>
        </w:rPr>
        <w:t xml:space="preserve">Freetown Terminal (Bolloré)</w:t>
      </w:r>
      <w:r>
        <w:t xml:space="preserve"> </w:t>
      </w:r>
      <w:r>
        <w:t xml:space="preserve">as a real, named, revenue-generating operator in the sector’s physical-infrastructure layer, explicitly flagged as not fund-investable (foreign infrastructure concession).</w:t>
      </w:r>
    </w:p>
    <w:p>
      <w:pPr>
        <w:numPr>
          <w:ilvl w:val="0"/>
          <w:numId w:val="1012"/>
        </w:numPr>
        <w:pStyle w:val="Compact"/>
      </w:pPr>
      <w:r>
        <w:rPr>
          <w:bCs/>
          <w:b/>
        </w:rPr>
        <w:t xml:space="preserve">Figure 3 (ticket sizes):</w:t>
      </w:r>
      <w:r>
        <w:t xml:space="preserve"> </w:t>
      </w:r>
      <w:r>
        <w:t xml:space="preserve">add the World Bank CAMIP US$74m IDA grant (2024) as the sector’s largest evidenced capital figure — sovereign/infrastructure scale, not company scale.</w:t>
      </w:r>
    </w:p>
    <w:p>
      <w:pPr>
        <w:numPr>
          <w:ilvl w:val="0"/>
          <w:numId w:val="1012"/>
        </w:numPr>
        <w:pStyle w:val="Compact"/>
      </w:pPr>
      <w:r>
        <w:rPr>
          <w:bCs/>
          <w:b/>
        </w:rPr>
        <w:t xml:space="preserve">Negative-results log:</w:t>
      </w:r>
      <w:r>
        <w:t xml:space="preserve"> </w:t>
      </w:r>
      <w:r>
        <w:t xml:space="preserve">add</w:t>
      </w:r>
      <w:r>
        <w:t xml:space="preserve"> </w:t>
      </w:r>
      <w:r>
        <w:t xml:space="preserve">“</w:t>
      </w:r>
      <w:r>
        <w:t xml:space="preserve">Kobo360, Lori Systems and Sendy — West Africa’s best-funded regional freight-tech platforms — have no confirmed Sierra Leone presence despite years of stated expansion ambitions</w:t>
      </w:r>
      <w:r>
        <w:t xml:space="preserve">”</w:t>
      </w:r>
      <w:r>
        <w:t xml:space="preserve">; add</w:t>
      </w:r>
      <w:r>
        <w:t xml:space="preserve"> </w:t>
      </w:r>
      <w:r>
        <w:t xml:space="preserve">“</w:t>
      </w:r>
      <w:r>
        <w:t xml:space="preserve">Jumia does not operate in Sierra Leone and is retreating from smaller markets elsewhere (exited South Africa and Tunisia, October 2024).</w:t>
      </w:r>
      <w:r>
        <w:t xml:space="preserve">”</w:t>
      </w:r>
    </w:p>
    <w:p>
      <w:pPr>
        <w:numPr>
          <w:ilvl w:val="0"/>
          <w:numId w:val="1012"/>
        </w:numPr>
        <w:pStyle w:val="Compact"/>
      </w:pPr>
      <w:r>
        <w:rPr>
          <w:bCs/>
          <w:b/>
        </w:rPr>
        <w:t xml:space="preserve">Cross-sector flag:</w:t>
      </w:r>
      <w:r>
        <w:t xml:space="preserve"> </w:t>
      </w:r>
      <w:r>
        <w:t xml:space="preserve">the CAMIP grant and the feeder-road/bridge infrastructure gap are shared directly with Sector 1 (AgTech post-harvest losses) — recommend these be discussed together, not as two separate sector findings.</w:t>
      </w:r>
    </w:p>
    <w:bookmarkEnd w:id="45"/>
    <w:bookmarkStart w:id="46" w:name="X8f1fbefe9f4dac178853be51bc61ca13ab6ccfa"/>
    <w:p>
      <w:pPr>
        <w:pStyle w:val="Heading2"/>
      </w:pPr>
      <w:r>
        <w:t xml:space="preserve">Verification queue for Stage 2/4 (nothing above may enter the Source Register as</w:t>
      </w:r>
      <w:r>
        <w:t xml:space="preserve"> </w:t>
      </w:r>
      <w:r>
        <w:t xml:space="preserve">“</w:t>
      </w:r>
      <w:r>
        <w:t xml:space="preserve">Verified</w:t>
      </w:r>
      <w:r>
        <w:t xml:space="preserve">”</w:t>
      </w:r>
      <w:r>
        <w:t xml:space="preserve"> </w:t>
      </w:r>
      <w:r>
        <w:t xml:space="preserve">until this is done)</w:t>
      </w:r>
    </w:p>
    <w:p>
      <w:pPr>
        <w:numPr>
          <w:ilvl w:val="0"/>
          <w:numId w:val="1013"/>
        </w:numPr>
        <w:pStyle w:val="Compact"/>
      </w:pPr>
      <w:r>
        <w:t xml:space="preserve">Open Bolloré Ports’ own reporting directly to confirm current throughput/TEU volumes and the exact years behind the</w:t>
      </w:r>
      <w:r>
        <w:t xml:space="preserve"> </w:t>
      </w:r>
      <w:r>
        <w:t xml:space="preserve">“</w:t>
      </w:r>
      <w:r>
        <w:t xml:space="preserve">30% increase</w:t>
      </w:r>
      <w:r>
        <w:t xml:space="preserve">”</w:t>
      </w:r>
      <w:r>
        <w:t xml:space="preserve"> </w:t>
      </w:r>
      <w:r>
        <w:t xml:space="preserve">figure.</w:t>
      </w:r>
    </w:p>
    <w:p>
      <w:pPr>
        <w:numPr>
          <w:ilvl w:val="0"/>
          <w:numId w:val="1013"/>
        </w:numPr>
        <w:pStyle w:val="Compact"/>
      </w:pPr>
      <w:r>
        <w:t xml:space="preserve">Directly check Kobo360, Lori Systems and Sendy’s current market-presence pages/investor updates to confirm (as of the Stage 2 date) that none has since entered Sierra Leone.</w:t>
      </w:r>
    </w:p>
    <w:p>
      <w:pPr>
        <w:numPr>
          <w:ilvl w:val="0"/>
          <w:numId w:val="1013"/>
        </w:numPr>
        <w:pStyle w:val="Compact"/>
      </w:pPr>
      <w:r>
        <w:t xml:space="preserve">Open the WTO March 2025 Trade Policy Review directly to confirm the Electronic Single Window’s exact launch date and functional scope.</w:t>
      </w:r>
    </w:p>
    <w:p>
      <w:pPr>
        <w:numPr>
          <w:ilvl w:val="0"/>
          <w:numId w:val="1013"/>
        </w:numPr>
        <w:pStyle w:val="Compact"/>
      </w:pPr>
      <w:r>
        <w:t xml:space="preserve">Confirm Sierra Leone’s current Maritime Single Window compliance status directly with the Port of Freetown or IMO reporting — this pass found only a</w:t>
      </w:r>
      <w:r>
        <w:t xml:space="preserve"> </w:t>
      </w:r>
      <w:r>
        <w:t xml:space="preserve">“</w:t>
      </w:r>
      <w:r>
        <w:t xml:space="preserve">needs assessment</w:t>
      </w:r>
      <w:r>
        <w:t xml:space="preserve">”</w:t>
      </w:r>
      <w:r>
        <w:t xml:space="preserve"> </w:t>
      </w:r>
      <w:r>
        <w:t xml:space="preserve">stage and the situation may have moved on.</w:t>
      </w:r>
    </w:p>
    <w:p>
      <w:pPr>
        <w:numPr>
          <w:ilvl w:val="0"/>
          <w:numId w:val="1013"/>
        </w:numPr>
        <w:pStyle w:val="Compact"/>
      </w:pPr>
      <w:r>
        <w:t xml:space="preserve">Confirm Project Last Mile’s funding/ownership structure in Sierra Leone directly — relevant to both this sector and Sector 6 (HealthTech).</w:t>
      </w:r>
    </w:p>
    <w:p>
      <w:pPr>
        <w:numPr>
          <w:ilvl w:val="0"/>
          <w:numId w:val="1013"/>
        </w:numPr>
        <w:pStyle w:val="Compact"/>
      </w:pPr>
      <w:r>
        <w:t xml:space="preserve">Open the World Bank CAMIP project page directly to confirm current disbursement status against the May 2024 approval.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lca.logcluster.org/23-sierra-leone-road-assessment" TargetMode="External" /><Relationship Type="http://schemas.openxmlformats.org/officeDocument/2006/relationships/hyperlink" Id="rId26" Target="https://leonefreightandlogistics.com/" TargetMode="External" /><Relationship Type="http://schemas.openxmlformats.org/officeDocument/2006/relationships/hyperlink" Id="rId30" Target="https://revenue.lra.gov.lr/lra-hosts-sierra-leonean-customs-delegation-in-knowledge-exchange/" TargetMode="External" /><Relationship Type="http://schemas.openxmlformats.org/officeDocument/2006/relationships/hyperlink" Id="rId20" Target="https://smartimpactconsult.com" TargetMode="External" /><Relationship Type="http://schemas.openxmlformats.org/officeDocument/2006/relationships/hyperlink" Id="rId33" Target="https://techcrunch.com/2019/08/14/nigerian-logistics-startup-kobo360-raises-30m-backed-by-goldman-sachs/" TargetMode="External" /><Relationship Type="http://schemas.openxmlformats.org/officeDocument/2006/relationships/hyperlink" Id="rId23" Target="https://www.bollore-ports.com/en/media/news/freetown-terminal.html" TargetMode="External" /><Relationship Type="http://schemas.openxmlformats.org/officeDocument/2006/relationships/hyperlink" Id="rId28" Target="https://www.elibrary.imf.org/view/journals/002/2024/322/article-A005-en.xml" TargetMode="External" /><Relationship Type="http://schemas.openxmlformats.org/officeDocument/2006/relationships/hyperlink" Id="rId24" Target="https://www.freetownterminal.com/about/" TargetMode="External" /><Relationship Type="http://schemas.openxmlformats.org/officeDocument/2006/relationships/hyperlink" Id="rId42" Target="https://www.mcc.gov/news-and-events/release/release-092724-mcc-and-sierra-leone-sign-compact/" TargetMode="External" /><Relationship Type="http://schemas.openxmlformats.org/officeDocument/2006/relationships/hyperlink" Id="rId31" Target="https://www.porttechnology.org/news/smart-technologies-and-digitalisation/sierra-leone-set-to-launch-maritime-single-window/" TargetMode="External" /><Relationship Type="http://schemas.openxmlformats.org/officeDocument/2006/relationships/hyperlink" Id="rId35" Target="https://www.projectlastmile.com/resource/expanding-an-integrated-digital-last-mile-delivery-model/" TargetMode="External" /><Relationship Type="http://schemas.openxmlformats.org/officeDocument/2006/relationships/hyperlink" Id="rId39" Target="https://www.semafor.com/article/06/19/2024/sierra-leone-150-million-digital-hub" TargetMode="External" /><Relationship Type="http://schemas.openxmlformats.org/officeDocument/2006/relationships/hyperlink" Id="rId34" Target="https://www.techawkng.com/2019/11/08/african-logistics-lori-systems-kobo360/" TargetMode="External" /><Relationship Type="http://schemas.openxmlformats.org/officeDocument/2006/relationships/hyperlink" Id="rId37" Target="https://www.worldbank.org/en/news/press-release/2024/05/29/sierra-leone-to-enhance-climate-resilient-transport-and-access-to-market" TargetMode="External" /><Relationship Type="http://schemas.openxmlformats.org/officeDocument/2006/relationships/hyperlink" Id="rId29" Target="https://www.wto.org/english/tratop_e/tpr_e/tp570_crc_e.htm" TargetMode="External" /></Relationships>
</file>

<file path=word/_rels/footnotes.xml.rels><?xml version="1.0" encoding="UTF-8"?><Relationships xmlns="http://schemas.openxmlformats.org/package/2006/relationships"><Relationship Type="http://schemas.openxmlformats.org/officeDocument/2006/relationships/hyperlink" Id="rId25" Target="https://lca.logcluster.org/23-sierra-leone-road-assessment" TargetMode="External" /><Relationship Type="http://schemas.openxmlformats.org/officeDocument/2006/relationships/hyperlink" Id="rId26" Target="https://leonefreightandlogistics.com/" TargetMode="External" /><Relationship Type="http://schemas.openxmlformats.org/officeDocument/2006/relationships/hyperlink" Id="rId30" Target="https://revenue.lra.gov.lr/lra-hosts-sierra-leonean-customs-delegation-in-knowledge-exchange/" TargetMode="External" /><Relationship Type="http://schemas.openxmlformats.org/officeDocument/2006/relationships/hyperlink" Id="rId20" Target="https://smartimpactconsult.com" TargetMode="External" /><Relationship Type="http://schemas.openxmlformats.org/officeDocument/2006/relationships/hyperlink" Id="rId33" Target="https://techcrunch.com/2019/08/14/nigerian-logistics-startup-kobo360-raises-30m-backed-by-goldman-sachs/" TargetMode="External" /><Relationship Type="http://schemas.openxmlformats.org/officeDocument/2006/relationships/hyperlink" Id="rId23" Target="https://www.bollore-ports.com/en/media/news/freetown-terminal.html" TargetMode="External" /><Relationship Type="http://schemas.openxmlformats.org/officeDocument/2006/relationships/hyperlink" Id="rId28" Target="https://www.elibrary.imf.org/view/journals/002/2024/322/article-A005-en.xml" TargetMode="External" /><Relationship Type="http://schemas.openxmlformats.org/officeDocument/2006/relationships/hyperlink" Id="rId24" Target="https://www.freetownterminal.com/about/" TargetMode="External" /><Relationship Type="http://schemas.openxmlformats.org/officeDocument/2006/relationships/hyperlink" Id="rId42" Target="https://www.mcc.gov/news-and-events/release/release-092724-mcc-and-sierra-leone-sign-compact/" TargetMode="External" /><Relationship Type="http://schemas.openxmlformats.org/officeDocument/2006/relationships/hyperlink" Id="rId31" Target="https://www.porttechnology.org/news/smart-technologies-and-digitalisation/sierra-leone-set-to-launch-maritime-single-window/" TargetMode="External" /><Relationship Type="http://schemas.openxmlformats.org/officeDocument/2006/relationships/hyperlink" Id="rId35" Target="https://www.projectlastmile.com/resource/expanding-an-integrated-digital-last-mile-delivery-model/" TargetMode="External" /><Relationship Type="http://schemas.openxmlformats.org/officeDocument/2006/relationships/hyperlink" Id="rId39" Target="https://www.semafor.com/article/06/19/2024/sierra-leone-150-million-digital-hub" TargetMode="External" /><Relationship Type="http://schemas.openxmlformats.org/officeDocument/2006/relationships/hyperlink" Id="rId34" Target="https://www.techawkng.com/2019/11/08/african-logistics-lori-systems-kobo360/" TargetMode="External" /><Relationship Type="http://schemas.openxmlformats.org/officeDocument/2006/relationships/hyperlink" Id="rId37" Target="https://www.worldbank.org/en/news/press-release/2024/05/29/sierra-leone-to-enhance-climate-resilient-transport-and-access-to-market" TargetMode="External" /><Relationship Type="http://schemas.openxmlformats.org/officeDocument/2006/relationships/hyperlink" Id="rId29" Target="https://www.wto.org/english/tratop_e/tpr_e/tp570_crc_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2026-09-23T07:29:24Z</dcterms:created>
  <dcterms:modified xsi:type="dcterms:W3CDTF">2026-09-23T07:29:24Z</dcterms:modified>
</cp:coreProperties>
</file>

<file path=docProps/custom.xml><?xml version="1.0" encoding="utf-8"?>
<Properties xmlns="http://schemas.openxmlformats.org/officeDocument/2006/custom-properties" xmlns:vt="http://schemas.openxmlformats.org/officeDocument/2006/docPropsVTypes"/>
</file>