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sierra-leone-sector-7-edtech"/>
    <w:p>
      <w:pPr>
        <w:pStyle w:val="Heading2"/>
      </w:pPr>
      <w:r>
        <w:t xml:space="preserve">Sierra Leone — Sector 7: EdTech</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 This pass’s sources come from web search, not from primary documents opened and read in full — see the Environment Limitation note below — so every finding here carries the same unverified status as a</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marker: a named, dated, linked lead, not yet a confirmed source. Nothing in this document may be treated as</w:t>
      </w:r>
      <w:r>
        <w:rPr>
          <w:iCs/>
          <w:i/>
        </w:rPr>
        <w:t xml:space="preserve"> </w:t>
      </w:r>
      <w:r>
        <w:rPr>
          <w:iCs/>
          <w:i/>
        </w:rPr>
        <w:t xml:space="preserve">“</w:t>
      </w:r>
      <w:r>
        <w:rPr>
          <w:iCs/>
          <w:i/>
        </w:rPr>
        <w:t xml:space="preserve">Verified</w:t>
      </w:r>
      <w:r>
        <w:rPr>
          <w:iCs/>
          <w:i/>
        </w:rPr>
        <w:t xml:space="preserve">”</w:t>
      </w:r>
      <w:r>
        <w:rPr>
          <w:iCs/>
          <w:i/>
        </w:rPr>
        <w:t xml:space="preserve"> </w:t>
      </w:r>
      <w:r>
        <w:rPr>
          <w:iCs/>
          <w:i/>
        </w:rPr>
        <w:t xml:space="preserve">in the Source Register, and nothing should enter a client-facing deliverable, until a team member opens each cited link directly, per Stage 4 of the AI-Assisted Research Methodology.</w:t>
      </w:r>
    </w:p>
    <w:p>
      <w:r>
        <w:pict>
          <v:rect style="width:0;height:1.5pt" o:hralign="center" o:hrstd="t" o:hr="t"/>
        </w:pict>
      </w:r>
    </w:p>
    <w:p>
      <w:pPr>
        <w:pStyle w:val="FirstParagraph"/>
      </w:pPr>
      <w:r>
        <w:t xml:space="preserve">PROVENANCE HEADER — applied to every raw output file (per Methodology A.5)</w:t>
      </w:r>
    </w:p>
    <w:p>
      <w:pPr>
        <w:numPr>
          <w:ilvl w:val="0"/>
          <w:numId w:val="1001"/>
        </w:numPr>
        <w:pStyle w:val="Compact"/>
      </w:pPr>
      <w:r>
        <w:t xml:space="preserve">Workstream: WS1 Market and Sector Validation</w:t>
      </w:r>
    </w:p>
    <w:p>
      <w:pPr>
        <w:numPr>
          <w:ilvl w:val="0"/>
          <w:numId w:val="1001"/>
        </w:numPr>
        <w:pStyle w:val="Compact"/>
      </w:pPr>
      <w:r>
        <w:t xml:space="preserve">Prompt version: WS1-v1.0 — Sector Investability, Sierra Leone</w:t>
      </w:r>
    </w:p>
    <w:p>
      <w:pPr>
        <w:numPr>
          <w:ilvl w:val="0"/>
          <w:numId w:val="1001"/>
        </w:numPr>
        <w:pStyle w:val="Compact"/>
      </w:pPr>
      <w:r>
        <w:t xml:space="preserve">Sector: 7 of 8 — EdTech</w:t>
      </w:r>
    </w:p>
    <w:p>
      <w:pPr>
        <w:numPr>
          <w:ilvl w:val="0"/>
          <w:numId w:val="1001"/>
        </w:numPr>
        <w:pStyle w:val="Compact"/>
      </w:pPr>
      <w:r>
        <w:t xml:space="preserve">Engine: Claude (this session) — desk research, single-engine pass</w:t>
      </w:r>
    </w:p>
    <w:p>
      <w:pPr>
        <w:numPr>
          <w:ilvl w:val="0"/>
          <w:numId w:val="1001"/>
        </w:numPr>
        <w:pStyle w:val="Compact"/>
      </w:pPr>
      <w:r>
        <w:t xml:space="preserve">Run date: 2026-09-23</w:t>
      </w:r>
    </w:p>
    <w:p>
      <w:pPr>
        <w:numPr>
          <w:ilvl w:val="0"/>
          <w:numId w:val="1001"/>
        </w:numPr>
        <w:pStyle w:val="Compact"/>
      </w:pPr>
      <w:r>
        <w:t xml:space="preserve">Operator: Investment Operations, Smart Impact Consult (smartimpactconsult.com)</w:t>
      </w:r>
    </w:p>
    <w:p>
      <w:pPr>
        <w:numPr>
          <w:ilvl w:val="0"/>
          <w:numId w:val="1001"/>
        </w:numPr>
        <w:pStyle w:val="Compact"/>
      </w:pPr>
      <w:r>
        <w:t xml:space="preserve">Round: 1 of 2 (Stage 1 desk research, formatted for Stage 2/4 human verification)</w:t>
      </w:r>
    </w:p>
    <w:p>
      <w:pPr>
        <w:numPr>
          <w:ilvl w:val="0"/>
          <w:numId w:val="1001"/>
        </w:numPr>
        <w:pStyle w:val="Compact"/>
      </w:pPr>
      <w:r>
        <w:t xml:space="preserve">Archive path: /Research_Archive/WS1/WS1-v1.0_Claude_Sector07-EdTech_20260923.md</w:t>
      </w:r>
    </w:p>
    <w:p>
      <w:pPr>
        <w:numPr>
          <w:ilvl w:val="0"/>
          <w:numId w:val="1001"/>
        </w:numPr>
        <w:pStyle w:val="Compact"/>
      </w:pPr>
      <w:r>
        <w:t xml:space="preserve">Linked to: claude_B1.docx,</w:t>
      </w:r>
      <w:r>
        <w:t xml:space="preserve"> </w:t>
      </w:r>
      <w:r>
        <w:t xml:space="preserve">“</w:t>
      </w:r>
      <w:r>
        <w:t xml:space="preserve">Sector 7 — EdTech</w:t>
      </w:r>
      <w:r>
        <w:t xml:space="preserve">”</w:t>
      </w:r>
      <w:r>
        <w:t xml:space="preserve"> </w:t>
      </w:r>
      <w:r>
        <w:t xml:space="preserve">section (existing verdict:</w:t>
      </w:r>
      <w:r>
        <w:t xml:space="preserve"> </w:t>
      </w:r>
      <w:r>
        <w:t xml:space="preserve">“</w:t>
      </w:r>
      <w:r>
        <w:t xml:space="preserve">Investable now, with qualification</w:t>
      </w:r>
      <w:r>
        <w:t xml:space="preserve">”</w:t>
      </w:r>
      <w:r>
        <w:t xml:space="preserve"> </w:t>
      </w:r>
      <w:r>
        <w:t xml:space="preserve">— one venture-backed company, Rising Academies, revenue dependent on government/donor payers. This pass confirms the verdict and adds two more named in-market ventures, a much fuller picture of the sector’s government-payer base, and one new efficacy-evidence caveat.)</w:t>
      </w:r>
    </w:p>
    <w:p>
      <w:pPr>
        <w:pStyle w:val="FirstParagraph"/>
      </w:pPr>
      <w:r>
        <w:rPr>
          <w:bCs/>
          <w:b/>
        </w:rPr>
        <w:t xml:space="preserve">Environment limitation — carried forward from all prior sector files.</w:t>
      </w:r>
      <w:r>
        <w:t xml:space="preserve"> </w:t>
      </w:r>
      <w:r>
        <w:t xml:space="preserve">WebFetch was blocked for every domain tested in this session. Every finding below comes from WebSearch snippets only, not opened primary documents, and is carried at the same unverified status as the</w:t>
      </w:r>
      <w:r>
        <w:t xml:space="preserve"> </w:t>
      </w:r>
      <w:r>
        <w:t xml:space="preserve">“</w:t>
      </w:r>
      <w:r>
        <w:t xml:space="preserve">†</w:t>
      </w:r>
      <w:r>
        <w:t xml:space="preserve">”</w:t>
      </w:r>
      <w:r>
        <w:t xml:space="preserve"> </w:t>
      </w:r>
      <w:r>
        <w:t xml:space="preserve">markers already used in claude_B1.docx. Nothing here may enter the Source Register as</w:t>
      </w:r>
      <w:r>
        <w:t xml:space="preserve"> </w:t>
      </w:r>
      <w:r>
        <w:t xml:space="preserve">“</w:t>
      </w:r>
      <w:r>
        <w:t xml:space="preserve">Verified</w:t>
      </w:r>
      <w:r>
        <w:t xml:space="preserve">”</w:t>
      </w:r>
      <w:r>
        <w:t xml:space="preserve"> </w:t>
      </w:r>
      <w:r>
        <w:t xml:space="preserve">until a team member opens each link directly — see the verification queue at the end.</w:t>
      </w:r>
    </w:p>
    <w:p>
      <w:r>
        <w:pict>
          <v:rect style="width:0;height:1.5pt" o:hralign="center" o:hrstd="t" o:hr="t"/>
        </w:pict>
      </w:r>
    </w:p>
    <w:bookmarkEnd w:id="21"/>
    <w:bookmarkEnd w:id="22"/>
    <w:bookmarkStart w:id="42" w:name="sector-7-edtech"/>
    <w:p>
      <w:pPr>
        <w:pStyle w:val="Heading1"/>
      </w:pPr>
      <w:r>
        <w:t xml:space="preserve">Sector 7 — EdTech</w:t>
      </w:r>
    </w:p>
    <w:bookmarkStart w:id="28" w:name="part-1-market-structure-and-size"/>
    <w:p>
      <w:pPr>
        <w:pStyle w:val="Heading2"/>
      </w:pPr>
      <w:r>
        <w:t xml:space="preserve">Part 1 — Market structure and size</w:t>
      </w:r>
    </w:p>
    <w:p>
      <w:pPr>
        <w:numPr>
          <w:ilvl w:val="0"/>
          <w:numId w:val="1002"/>
        </w:numPr>
      </w:pPr>
      <w:r>
        <w:rPr>
          <w:bCs/>
          <w:b/>
        </w:rPr>
        <w:t xml:space="preserve">No dedicated EdTech sector-size figure identified</w:t>
      </w:r>
      <w:r>
        <w:t xml:space="preserve"> </w:t>
      </w:r>
      <w:r>
        <w:t xml:space="preserve">(consistent with the existing draft), but the sector’s dominant payer — government, via the</w:t>
      </w:r>
      <w:r>
        <w:t xml:space="preserve"> </w:t>
      </w:r>
      <w:r>
        <w:rPr>
          <w:bCs/>
          <w:b/>
        </w:rPr>
        <w:t xml:space="preserve">Free Quality School Education (FQSE)</w:t>
      </w:r>
      <w:r>
        <w:t xml:space="preserve"> </w:t>
      </w:r>
      <w:r>
        <w:t xml:space="preserve">programme — is now well quantified. FQSE, launched</w:t>
      </w:r>
      <w:r>
        <w:t xml:space="preserve"> </w:t>
      </w:r>
      <w:r>
        <w:rPr>
          <w:bCs/>
          <w:b/>
        </w:rPr>
        <w:t xml:space="preserve">August 2018</w:t>
      </w:r>
      <w:r>
        <w:t xml:space="preserve">, has received</w:t>
      </w:r>
      <w:r>
        <w:t xml:space="preserve"> </w:t>
      </w:r>
      <w:r>
        <w:rPr>
          <w:bCs/>
          <w:b/>
        </w:rPr>
        <w:t xml:space="preserve">21–22% of Sierra Leone’s national budget for six consecutive years</w:t>
      </w:r>
      <w:r>
        <w:t xml:space="preserve">, reaches</w:t>
      </w:r>
      <w:r>
        <w:t xml:space="preserve"> </w:t>
      </w:r>
      <w:r>
        <w:rPr>
          <w:bCs/>
          <w:b/>
        </w:rPr>
        <w:t xml:space="preserve">2.6 million children and young people (roughly 37% of the national population)</w:t>
      </w:r>
      <w:r>
        <w:t xml:space="preserve">, targeted</w:t>
      </w:r>
      <w:r>
        <w:t xml:space="preserve"> </w:t>
      </w:r>
      <w:r>
        <w:rPr>
          <w:bCs/>
          <w:b/>
        </w:rPr>
        <w:t xml:space="preserve">818,000 children</w:t>
      </w:r>
      <w:r>
        <w:t xml:space="preserve"> </w:t>
      </w:r>
      <w:r>
        <w:t xml:space="preserve">in the 2024/25 academic year specifically, and the education ministry achieved a</w:t>
      </w:r>
      <w:r>
        <w:t xml:space="preserve"> </w:t>
      </w:r>
      <w:r>
        <w:rPr>
          <w:bCs/>
          <w:b/>
        </w:rPr>
        <w:t xml:space="preserve">92% budget execution rate in 2023/24.</w:t>
      </w:r>
      <w:r>
        <w:t xml:space="preserve"> </w:t>
      </w:r>
      <w:hyperlink r:id="rId23">
        <w:r>
          <w:rPr>
            <w:rStyle w:val="Hyperlink"/>
          </w:rPr>
          <w:t xml:space="preserve">Global Partnership for Education</w:t>
        </w:r>
      </w:hyperlink>
      <w:r>
        <w:t xml:space="preserve">;</w:t>
      </w:r>
      <w:r>
        <w:t xml:space="preserve"> </w:t>
      </w:r>
      <w:hyperlink r:id="rId24">
        <w:r>
          <w:rPr>
            <w:rStyle w:val="Hyperlink"/>
          </w:rPr>
          <w:t xml:space="preserve">Wikipedia,</w:t>
        </w:r>
        <w:r>
          <w:rPr>
            <w:rStyle w:val="Hyperlink"/>
          </w:rPr>
          <w:t xml:space="preserve"> </w:t>
        </w:r>
        <w:r>
          <w:rPr>
            <w:rStyle w:val="Hyperlink"/>
          </w:rPr>
          <w:t xml:space="preserve">“</w:t>
        </w:r>
        <w:r>
          <w:rPr>
            <w:rStyle w:val="Hyperlink"/>
          </w:rPr>
          <w:t xml:space="preserve">Education financing in Sierra Leone</w:t>
        </w:r>
        <w:r>
          <w:rPr>
            <w:rStyle w:val="Hyperlink"/>
          </w:rPr>
          <w:t xml:space="preserve">”</w:t>
        </w:r>
      </w:hyperlink>
      <w:r>
        <w:t xml:space="preserve"> </w:t>
      </w:r>
      <w:r>
        <w:t xml:space="preserve">—</w:t>
      </w:r>
      <w:r>
        <w:t xml:space="preserve"> </w:t>
      </w:r>
      <w:r>
        <w:rPr>
          <w:bCs/>
          <w:b/>
        </w:rPr>
        <w:t xml:space="preserve">†, both not opened</w:t>
      </w:r>
      <w:r>
        <w:t xml:space="preserve">. This is a materially larger and more durable payer base than the existing draft’s brief</w:t>
      </w:r>
      <w:r>
        <w:t xml:space="preserve"> </w:t>
      </w:r>
      <w:r>
        <w:t xml:space="preserve">“</w:t>
      </w:r>
      <w:r>
        <w:t xml:space="preserve">government and donor payers</w:t>
      </w:r>
      <w:r>
        <w:t xml:space="preserve">”</w:t>
      </w:r>
      <w:r>
        <w:t xml:space="preserve"> </w:t>
      </w:r>
      <w:r>
        <w:t xml:space="preserve">framing conveys.</w:t>
      </w:r>
    </w:p>
    <w:p>
      <w:pPr>
        <w:numPr>
          <w:ilvl w:val="0"/>
          <w:numId w:val="1002"/>
        </w:numPr>
      </w:pPr>
      <w:r>
        <w:rPr>
          <w:bCs/>
          <w:b/>
        </w:rPr>
        <w:t xml:space="preserve">Rising Academies’ scale, updated and clarified:</w:t>
      </w:r>
      <w:r>
        <w:t xml:space="preserve"> </w:t>
      </w:r>
      <w:r>
        <w:t xml:space="preserve">the company now serves</w:t>
      </w:r>
      <w:r>
        <w:t xml:space="preserve"> </w:t>
      </w:r>
      <w:r>
        <w:rPr>
          <w:bCs/>
          <w:b/>
        </w:rPr>
        <w:t xml:space="preserve">300,000 students across more than 700 schools in Sierra Leone, Liberia, Ghana and Rwanda</w:t>
      </w:r>
      <w:r>
        <w:t xml:space="preserve"> </w:t>
      </w:r>
      <w:r>
        <w:t xml:space="preserve">— a multi-country footprint, not a Sierra Leone-only figure, which the existing draft does not distinguish.</w:t>
      </w:r>
      <w:r>
        <w:t xml:space="preserve"> </w:t>
      </w:r>
      <w:hyperlink r:id="rId25">
        <w:r>
          <w:rPr>
            <w:rStyle w:val="Hyperlink"/>
          </w:rPr>
          <w:t xml:space="preserve">Rising Academies,</w:t>
        </w:r>
        <w:r>
          <w:rPr>
            <w:rStyle w:val="Hyperlink"/>
          </w:rPr>
          <w:t xml:space="preserve"> </w:t>
        </w:r>
        <w:r>
          <w:rPr>
            <w:rStyle w:val="Hyperlink"/>
          </w:rPr>
          <w:t xml:space="preserve">“</w:t>
        </w:r>
        <w:r>
          <w:rPr>
            <w:rStyle w:val="Hyperlink"/>
          </w:rPr>
          <w:t xml:space="preserve">Our Impact</w:t>
        </w:r>
        <w:r>
          <w:rPr>
            <w:rStyle w:val="Hyperlink"/>
          </w:rPr>
          <w:t xml:space="preserve">”</w:t>
        </w:r>
      </w:hyperlink>
      <w:r>
        <w:t xml:space="preserve"> </w:t>
      </w:r>
      <w:r>
        <w:t xml:space="preserve">—</w:t>
      </w:r>
      <w:r>
        <w:t xml:space="preserve"> </w:t>
      </w:r>
      <w:r>
        <w:rPr>
          <w:bCs/>
          <w:b/>
        </w:rPr>
        <w:t xml:space="preserve">†, not opened</w:t>
      </w:r>
      <w:r>
        <w:t xml:space="preserve">.</w:t>
      </w:r>
    </w:p>
    <w:p>
      <w:pPr>
        <w:numPr>
          <w:ilvl w:val="0"/>
          <w:numId w:val="1002"/>
        </w:numPr>
      </w:pPr>
      <w:r>
        <w:rPr>
          <w:bCs/>
          <w:b/>
        </w:rPr>
        <w:t xml:space="preserve">Two additional named EdTech ventures confirmed operating in Sierra Leone specifically, beyond Rising Academies — a material correction to the existing draft’s single-company picture:</w:t>
      </w:r>
    </w:p>
    <w:p>
      <w:pPr>
        <w:numPr>
          <w:ilvl w:val="1"/>
          <w:numId w:val="1003"/>
        </w:numPr>
        <w:pStyle w:val="Compact"/>
      </w:pPr>
      <w:r>
        <w:rPr>
          <w:bCs/>
          <w:b/>
        </w:rPr>
        <w:t xml:space="preserve">uLesson</w:t>
      </w:r>
      <w:r>
        <w:t xml:space="preserve"> </w:t>
      </w:r>
      <w:r>
        <w:t xml:space="preserve">— a Nigeria-founded interactive video-tutoring platform, confirmed serving students in</w:t>
      </w:r>
      <w:r>
        <w:t xml:space="preserve"> </w:t>
      </w:r>
      <w:r>
        <w:rPr>
          <w:bCs/>
          <w:b/>
        </w:rPr>
        <w:t xml:space="preserve">Nigeria, Ghana, Sierra Leone, Liberia and The Gambia</w:t>
      </w:r>
      <w:r>
        <w:t xml:space="preserve">, accessible via Android or Windows for fees as low as</w:t>
      </w:r>
      <w:r>
        <w:t xml:space="preserve"> </w:t>
      </w:r>
      <w:r>
        <w:rPr>
          <w:bCs/>
          <w:b/>
        </w:rPr>
        <w:t xml:space="preserve">US$6/month.</w:t>
      </w:r>
      <w:r>
        <w:t xml:space="preserve"> </w:t>
      </w:r>
      <w:r>
        <w:t xml:space="preserve">[via search] —</w:t>
      </w:r>
      <w:r>
        <w:t xml:space="preserve"> </w:t>
      </w:r>
      <w:r>
        <w:rPr>
          <w:bCs/>
          <w:b/>
        </w:rPr>
        <w:t xml:space="preserve">†, source not independently opened</w:t>
      </w:r>
      <w:r>
        <w:t xml:space="preserve">.</w:t>
      </w:r>
    </w:p>
    <w:p>
      <w:pPr>
        <w:numPr>
          <w:ilvl w:val="1"/>
          <w:numId w:val="1003"/>
        </w:numPr>
        <w:pStyle w:val="Compact"/>
      </w:pPr>
      <w:r>
        <w:rPr>
          <w:bCs/>
          <w:b/>
        </w:rPr>
        <w:t xml:space="preserve">Muallemi</w:t>
      </w:r>
      <w:r>
        <w:t xml:space="preserve"> </w:t>
      </w:r>
      <w:r>
        <w:t xml:space="preserve">— a smaller, pilot-stage edtech startup providing affordable, personalised tutoring in maths and science, currently supporting</w:t>
      </w:r>
      <w:r>
        <w:t xml:space="preserve"> </w:t>
      </w:r>
      <w:r>
        <w:rPr>
          <w:bCs/>
          <w:b/>
        </w:rPr>
        <w:t xml:space="preserve">more than 350 students at the Lamin and Kadie Bah Academy in Makeni</w:t>
      </w:r>
      <w:r>
        <w:t xml:space="preserve">, alongside transition programmes, leadership development, mentorship and university-readiness support. [via search] —</w:t>
      </w:r>
      <w:r>
        <w:t xml:space="preserve"> </w:t>
      </w:r>
      <w:r>
        <w:rPr>
          <w:bCs/>
          <w:b/>
        </w:rPr>
        <w:t xml:space="preserve">†, not opened</w:t>
      </w:r>
      <w:r>
        <w:t xml:space="preserve">.</w:t>
      </w:r>
    </w:p>
    <w:p>
      <w:pPr>
        <w:numPr>
          <w:ilvl w:val="0"/>
          <w:numId w:val="1002"/>
        </w:numPr>
      </w:pPr>
      <w:r>
        <w:rPr>
          <w:bCs/>
          <w:b/>
        </w:rPr>
        <w:t xml:space="preserve">Literacy rate:</w:t>
      </w:r>
      <w:r>
        <w:t xml:space="preserve"> </w:t>
      </w:r>
      <w:r>
        <w:rPr>
          <w:bCs/>
          <w:b/>
        </w:rPr>
        <w:t xml:space="preserve">48.64% (2022)</w:t>
      </w:r>
      <w:r>
        <w:t xml:space="preserve">, up</w:t>
      </w:r>
      <w:r>
        <w:t xml:space="preserve"> </w:t>
      </w:r>
      <w:r>
        <w:rPr>
          <w:bCs/>
          <w:b/>
        </w:rPr>
        <w:t xml:space="preserve">16.21 percentage points from 2013</w:t>
      </w:r>
      <w:r>
        <w:t xml:space="preserve"> </w:t>
      </w:r>
      <w:r>
        <w:t xml:space="preserve">— a meaningful decade-long improvement trend.</w:t>
      </w:r>
      <w:r>
        <w:t xml:space="preserve"> </w:t>
      </w:r>
      <w:hyperlink r:id="rId26">
        <w:r>
          <w:rPr>
            <w:rStyle w:val="Hyperlink"/>
          </w:rPr>
          <w:t xml:space="preserve">Macrotrends</w:t>
        </w:r>
      </w:hyperlink>
      <w:r>
        <w:t xml:space="preserve"> </w:t>
      </w:r>
      <w:r>
        <w:t xml:space="preserve">—</w:t>
      </w:r>
      <w:r>
        <w:t xml:space="preserve"> </w:t>
      </w:r>
      <w:r>
        <w:rPr>
          <w:bCs/>
          <w:b/>
        </w:rPr>
        <w:t xml:space="preserve">†, not opened</w:t>
      </w:r>
      <w:r>
        <w:t xml:space="preserve">.</w:t>
      </w:r>
    </w:p>
    <w:p>
      <w:pPr>
        <w:numPr>
          <w:ilvl w:val="0"/>
          <w:numId w:val="1002"/>
        </w:numPr>
      </w:pPr>
      <w:r>
        <w:rPr>
          <w:bCs/>
          <w:b/>
        </w:rPr>
        <w:t xml:space="preserve">A new, government-led digital-infrastructure initiative not in the existing draft:</w:t>
      </w:r>
      <w:r>
        <w:t xml:space="preserve"> </w:t>
      </w:r>
      <w:r>
        <w:t xml:space="preserve">in 2024, the</w:t>
      </w:r>
      <w:r>
        <w:t xml:space="preserve"> </w:t>
      </w:r>
      <w:r>
        <w:rPr>
          <w:bCs/>
          <w:b/>
        </w:rPr>
        <w:t xml:space="preserve">World Bank requested EdTech Hub support</w:t>
      </w:r>
      <w:r>
        <w:t xml:space="preserve"> </w:t>
      </w:r>
      <w:r>
        <w:t xml:space="preserve">to help the Government of Sierra Leone develop a</w:t>
      </w:r>
      <w:r>
        <w:t xml:space="preserve"> </w:t>
      </w:r>
      <w:r>
        <w:rPr>
          <w:bCs/>
          <w:b/>
        </w:rPr>
        <w:t xml:space="preserve">National Digital Learning Strategy</w:t>
      </w:r>
      <w:r>
        <w:t xml:space="preserve">, building on EdTech Hub’s earlier support for the</w:t>
      </w:r>
      <w:r>
        <w:t xml:space="preserve"> </w:t>
      </w:r>
      <w:r>
        <w:rPr>
          <w:bCs/>
          <w:b/>
        </w:rPr>
        <w:t xml:space="preserve">One Tablet Per School (OTPS)</w:t>
      </w:r>
      <w:r>
        <w:t xml:space="preserve"> </w:t>
      </w:r>
      <w:r>
        <w:t xml:space="preserve">programme.</w:t>
      </w:r>
      <w:r>
        <w:t xml:space="preserve"> </w:t>
      </w:r>
      <w:hyperlink r:id="rId27">
        <w:r>
          <w:rPr>
            <w:rStyle w:val="Hyperlink"/>
          </w:rPr>
          <w:t xml:space="preserve">EdTech Hub</w:t>
        </w:r>
      </w:hyperlink>
      <w:r>
        <w:t xml:space="preserve"> </w:t>
      </w:r>
      <w:r>
        <w:t xml:space="preserve">—</w:t>
      </w:r>
      <w:r>
        <w:t xml:space="preserve"> </w:t>
      </w:r>
      <w:r>
        <w:rPr>
          <w:bCs/>
          <w:b/>
        </w:rPr>
        <w:t xml:space="preserve">†, not opened</w:t>
      </w:r>
      <w:r>
        <w:t xml:space="preserve">.</w:t>
      </w:r>
    </w:p>
    <w:bookmarkEnd w:id="28"/>
    <w:bookmarkStart w:id="30" w:name="part-2-the-structural-problem"/>
    <w:p>
      <w:pPr>
        <w:pStyle w:val="Heading2"/>
      </w:pPr>
      <w:r>
        <w:t xml:space="preserve">Part 2 — The structural problem</w:t>
      </w:r>
    </w:p>
    <w:p>
      <w:pPr>
        <w:numPr>
          <w:ilvl w:val="0"/>
          <w:numId w:val="1004"/>
        </w:numPr>
      </w:pPr>
      <w:r>
        <w:rPr>
          <w:bCs/>
          <w:b/>
        </w:rPr>
        <w:t xml:space="preserve">Core problem confirmed</w:t>
      </w:r>
      <w:r>
        <w:t xml:space="preserve"> </w:t>
      </w:r>
      <w:r>
        <w:t xml:space="preserve">(learning poverty; government/donor as primary payer),</w:t>
      </w:r>
      <w:r>
        <w:t xml:space="preserve"> </w:t>
      </w:r>
      <w:r>
        <w:rPr>
          <w:bCs/>
          <w:b/>
        </w:rPr>
        <w:t xml:space="preserve">but with an important financing-structure nuance the existing draft does not carry:</w:t>
      </w:r>
      <w:r>
        <w:t xml:space="preserve"> </w:t>
      </w:r>
      <w:r>
        <w:t xml:space="preserve">FQSE, the sector’s dominant payer, is</w:t>
      </w:r>
      <w:r>
        <w:t xml:space="preserve"> </w:t>
      </w:r>
      <w:r>
        <w:rPr>
          <w:bCs/>
          <w:b/>
        </w:rPr>
        <w:t xml:space="preserve">primarily domestically funded</w:t>
      </w:r>
      <w:r>
        <w:t xml:space="preserve"> </w:t>
      </w:r>
      <w:r>
        <w:t xml:space="preserve">through the national budget (21–22% for six years running), with World Bank support layered on top rather than substituting for it — a structurally different, and materially more durable, financing story than</w:t>
      </w:r>
      <w:r>
        <w:t xml:space="preserve"> </w:t>
      </w:r>
      <w:r>
        <w:rPr>
          <w:bCs/>
          <w:b/>
        </w:rPr>
        <w:t xml:space="preserve">Sector 6 (HealthTech)’s</w:t>
      </w:r>
      <w:r>
        <w:t xml:space="preserve"> </w:t>
      </w:r>
      <w:r>
        <w:t xml:space="preserve">near-total foreign-aid dependency and 2025 donor-funding shock.</w:t>
      </w:r>
    </w:p>
    <w:p>
      <w:pPr>
        <w:numPr>
          <w:ilvl w:val="0"/>
          <w:numId w:val="1004"/>
        </w:numPr>
      </w:pPr>
      <w:r>
        <w:rPr>
          <w:bCs/>
          <w:b/>
        </w:rPr>
        <w:t xml:space="preserve">A specific, sourced fiscal-sustainability risk, not previously logged:</w:t>
      </w:r>
      <w:r>
        <w:t xml:space="preserve"> </w:t>
      </w:r>
      <w:r>
        <w:t xml:space="preserve">commentary surfaced in this pass raises a live debate over</w:t>
      </w:r>
      <w:r>
        <w:t xml:space="preserve"> </w:t>
      </w:r>
      <w:r>
        <w:rPr>
          <w:bCs/>
          <w:b/>
        </w:rPr>
        <w:t xml:space="preserve">whether Sierra Leone can sustainably finance free education while managing public debt, domestic revenue constraints, illicit financial flows, and IMF/World Bank fiscal targets.</w:t>
      </w:r>
      <w:r>
        <w:t xml:space="preserve"> </w:t>
      </w:r>
      <w:r>
        <w:t xml:space="preserve">[via search] —</w:t>
      </w:r>
      <w:r>
        <w:t xml:space="preserve"> </w:t>
      </w:r>
      <w:r>
        <w:rPr>
          <w:bCs/>
          <w:b/>
        </w:rPr>
        <w:t xml:space="preserve">†, source not independently opened; this needs Stage 2 identification of the specific report or commentary making this argument, and should not be treated as an imminent shock on the scale of Sector 6’s aid cuts — it is a medium-term structural risk, not an acute one.</w:t>
      </w:r>
    </w:p>
    <w:p>
      <w:pPr>
        <w:numPr>
          <w:ilvl w:val="0"/>
          <w:numId w:val="1004"/>
        </w:numPr>
      </w:pPr>
      <w:r>
        <w:rPr>
          <w:bCs/>
          <w:b/>
        </w:rPr>
        <w:t xml:space="preserve">A quality-side gap distinct from the access-side success of FQSE:</w:t>
      </w:r>
      <w:r>
        <w:t xml:space="preserve"> </w:t>
      </w:r>
      <w:r>
        <w:t xml:space="preserve">exams are used to determine progression between education levels, but</w:t>
      </w:r>
      <w:r>
        <w:t xml:space="preserve"> </w:t>
      </w:r>
      <w:r>
        <w:rPr>
          <w:bCs/>
          <w:b/>
        </w:rPr>
        <w:t xml:space="preserve">limited mechanisms exist to assess learning itself</w:t>
      </w:r>
      <w:r>
        <w:t xml:space="preserve"> </w:t>
      </w:r>
      <w:r>
        <w:t xml:space="preserve">as a basis for curricular reform, teacher training, or system improvement — meaning FQSE has driven access (enrolment) more successfully than it has driven measured learning quality.</w:t>
      </w:r>
      <w:r>
        <w:t xml:space="preserve"> </w:t>
      </w:r>
      <w:hyperlink r:id="rId29">
        <w:r>
          <w:rPr>
            <w:rStyle w:val="Hyperlink"/>
          </w:rPr>
          <w:t xml:space="preserve">World Bank IEG</w:t>
        </w:r>
      </w:hyperlink>
      <w:r>
        <w:t xml:space="preserve"> </w:t>
      </w:r>
      <w:r>
        <w:t xml:space="preserve">—</w:t>
      </w:r>
      <w:r>
        <w:t xml:space="preserve"> </w:t>
      </w:r>
      <w:r>
        <w:rPr>
          <w:bCs/>
          <w:b/>
        </w:rPr>
        <w:t xml:space="preserve">†, not opened</w:t>
      </w:r>
      <w:r>
        <w:t xml:space="preserve">.</w:t>
      </w:r>
    </w:p>
    <w:p>
      <w:pPr>
        <w:numPr>
          <w:ilvl w:val="0"/>
          <w:numId w:val="1004"/>
        </w:numPr>
      </w:pPr>
      <w:r>
        <w:rPr>
          <w:bCs/>
          <w:b/>
        </w:rPr>
        <w:t xml:space="preserve">COVID-19 learning loss, regional context:</w:t>
      </w:r>
      <w:r>
        <w:t xml:space="preserve"> </w:t>
      </w:r>
      <w:r>
        <w:t xml:space="preserve">in Ghana, Liberia and Sierra Leone collectively, daily learning time fell by</w:t>
      </w:r>
      <w:r>
        <w:t xml:space="preserve"> </w:t>
      </w:r>
      <w:r>
        <w:rPr>
          <w:bCs/>
          <w:b/>
        </w:rPr>
        <w:t xml:space="preserve">71%</w:t>
      </w:r>
      <w:r>
        <w:t xml:space="preserve"> </w:t>
      </w:r>
      <w:r>
        <w:t xml:space="preserve">during school closures.</w:t>
      </w:r>
      <w:r>
        <w:t xml:space="preserve"> </w:t>
      </w:r>
      <w:r>
        <w:rPr>
          <w:bCs/>
          <w:b/>
        </w:rPr>
        <w:t xml:space="preserve">Regional proxy, not Sierra Leone-isolated.</w:t>
      </w:r>
    </w:p>
    <w:bookmarkEnd w:id="30"/>
    <w:bookmarkStart w:id="33" w:name="part-3-is-this-sector-investable-now"/>
    <w:p>
      <w:pPr>
        <w:pStyle w:val="Heading2"/>
      </w:pPr>
      <w:r>
        <w:t xml:space="preserve">Part 3 — Is this sector investable now?</w:t>
      </w:r>
    </w:p>
    <w:p>
      <w:pPr>
        <w:numPr>
          <w:ilvl w:val="0"/>
          <w:numId w:val="1005"/>
        </w:numPr>
      </w:pPr>
      <w:r>
        <w:rPr>
          <w:bCs/>
          <w:b/>
        </w:rPr>
        <w:t xml:space="preserve">Rising Academies’ Series A is now more precisely sourced.</w:t>
      </w:r>
      <w:r>
        <w:t xml:space="preserve"> </w:t>
      </w:r>
      <w:r>
        <w:t xml:space="preserve">The</w:t>
      </w:r>
      <w:r>
        <w:t xml:space="preserve"> </w:t>
      </w:r>
      <w:r>
        <w:rPr>
          <w:bCs/>
          <w:b/>
        </w:rPr>
        <w:t xml:space="preserve">US$4.25 million round was led by Klett Kita &amp; Schule</w:t>
      </w:r>
      <w:r>
        <w:t xml:space="preserve">, part of the Klett Group (one of Europe’s largest education companies), joined by</w:t>
      </w:r>
      <w:r>
        <w:t xml:space="preserve"> </w:t>
      </w:r>
      <w:r>
        <w:rPr>
          <w:bCs/>
          <w:b/>
        </w:rPr>
        <w:t xml:space="preserve">UBS Optimus Foundation, King Philanthropies, Dovetail Impact Foundation and Solon Capital Holdings.</w:t>
      </w:r>
      <w:r>
        <w:t xml:space="preserve"> </w:t>
      </w:r>
      <w:hyperlink r:id="rId31">
        <w:r>
          <w:rPr>
            <w:rStyle w:val="Hyperlink"/>
          </w:rPr>
          <w:t xml:space="preserve">Africa Business Communities</w:t>
        </w:r>
      </w:hyperlink>
      <w:r>
        <w:t xml:space="preserve"> </w:t>
      </w:r>
      <w:r>
        <w:t xml:space="preserve">—</w:t>
      </w:r>
      <w:r>
        <w:t xml:space="preserve"> </w:t>
      </w:r>
      <w:r>
        <w:rPr>
          <w:bCs/>
          <w:b/>
        </w:rPr>
        <w:t xml:space="preserve">†, blocked, not opened, but this is a dedicated, named-investor source that materially reduces (without fully resolving) the existing draft’s $4.25m-vs-$5.0m contradiction.</w:t>
      </w:r>
    </w:p>
    <w:p>
      <w:pPr>
        <w:numPr>
          <w:ilvl w:val="0"/>
          <w:numId w:val="1005"/>
        </w:numPr>
      </w:pPr>
      <w:r>
        <w:rPr>
          <w:bCs/>
          <w:b/>
        </w:rPr>
        <w:t xml:space="preserve">Rori AI — a Sierra-Leone-connected but not Sierra-Leone-proven product.</w:t>
      </w:r>
      <w:r>
        <w:t xml:space="preserve"> </w:t>
      </w:r>
      <w:r>
        <w:t xml:space="preserve">Rori, the WhatsApp-delivered AI maths tutor built by Rising Academies, reaches</w:t>
      </w:r>
      <w:r>
        <w:t xml:space="preserve"> </w:t>
      </w:r>
      <w:r>
        <w:rPr>
          <w:bCs/>
          <w:b/>
        </w:rPr>
        <w:t xml:space="preserve">more than 50,000 children across Africa</w:t>
      </w:r>
      <w:r>
        <w:t xml:space="preserve"> </w:t>
      </w:r>
      <w:r>
        <w:t xml:space="preserve">(pan-African figure, not Sierra Leone-specific).</w:t>
      </w:r>
      <w:r>
        <w:t xml:space="preserve"> </w:t>
      </w:r>
      <w:r>
        <w:rPr>
          <w:bCs/>
          <w:b/>
        </w:rPr>
        <w:t xml:space="preserve">Its strongest efficacy evidence — an Oxford University / J-PAL randomised evaluation over 8 months, covering 1,000 students in grades 3–9 across 11 schools — was conducted in Ghana, not Sierra Leone</w:t>
      </w:r>
      <w:r>
        <w:t xml:space="preserve">, finding</w:t>
      </w:r>
      <w:r>
        <w:t xml:space="preserve"> </w:t>
      </w:r>
      <w:r>
        <w:t xml:space="preserve">“</w:t>
      </w:r>
      <w:r>
        <w:t xml:space="preserve">markedly higher</w:t>
      </w:r>
      <w:r>
        <w:t xml:space="preserve">”</w:t>
      </w:r>
      <w:r>
        <w:t xml:space="preserve"> </w:t>
      </w:r>
      <w:r>
        <w:t xml:space="preserve">maths scores among students receiving two 30-minute Rori sessions. [via search, EBM case study; Rori.ai] —</w:t>
      </w:r>
      <w:r>
        <w:t xml:space="preserve"> </w:t>
      </w:r>
      <w:r>
        <w:rPr>
          <w:bCs/>
          <w:b/>
        </w:rPr>
        <w:t xml:space="preserve">†, both not opened</w:t>
      </w:r>
      <w:r>
        <w:t xml:space="preserve">.</w:t>
      </w:r>
      <w:r>
        <w:t xml:space="preserve"> </w:t>
      </w:r>
      <w:r>
        <w:rPr>
          <w:bCs/>
          <w:b/>
        </w:rPr>
        <w:t xml:space="preserve">This is a specific, previously unflagged caveat: Rising Academies’ flagship evidence base for its most-hyped product is not itself Sierra Leone-specific</w:t>
      </w:r>
      <w:r>
        <w:t xml:space="preserve">, and Stage 2 should seek out any Sierra Leone-specific Rori outcome data separately.</w:t>
      </w:r>
    </w:p>
    <w:p>
      <w:pPr>
        <w:numPr>
          <w:ilvl w:val="0"/>
          <w:numId w:val="1005"/>
        </w:numPr>
      </w:pPr>
      <w:r>
        <w:rPr>
          <w:bCs/>
          <w:b/>
        </w:rPr>
        <w:t xml:space="preserve">Bambai</w:t>
      </w:r>
      <w:r>
        <w:t xml:space="preserve"> </w:t>
      </w:r>
      <w:r>
        <w:t xml:space="preserve">(Rising Academies’ school-improvement subscription product) is targeting growth from</w:t>
      </w:r>
      <w:r>
        <w:t xml:space="preserve"> </w:t>
      </w:r>
      <w:r>
        <w:rPr>
          <w:bCs/>
          <w:b/>
        </w:rPr>
        <w:t xml:space="preserve">100 to 1,000 subscribing schools over three years</w:t>
      </w:r>
      <w:r>
        <w:t xml:space="preserve"> </w:t>
      </w:r>
      <w:r>
        <w:t xml:space="preserve">following the Series A — a pan-African growth target; the current Sierra Leone-specific school count was not established in this pass.</w:t>
      </w:r>
    </w:p>
    <w:p>
      <w:pPr>
        <w:numPr>
          <w:ilvl w:val="0"/>
          <w:numId w:val="1005"/>
        </w:numPr>
      </w:pPr>
      <w:r>
        <w:rPr>
          <w:bCs/>
          <w:b/>
        </w:rPr>
        <w:t xml:space="preserve">Minimum viable business model, confirmed with one new data point:</w:t>
      </w:r>
      <w:r>
        <w:t xml:space="preserve"> </w:t>
      </w:r>
      <w:r>
        <w:t xml:space="preserve">the existing draft’s conclusion — government/donor-anchored revenue given low household purchasing power — stands, but</w:t>
      </w:r>
      <w:r>
        <w:t xml:space="preserve"> </w:t>
      </w:r>
      <w:r>
        <w:rPr>
          <w:bCs/>
          <w:b/>
        </w:rPr>
        <w:t xml:space="preserve">uLesson’s US$6/month price point is the only evidenced household-pay data point found in this sector</w:t>
      </w:r>
      <w:r>
        <w:t xml:space="preserve">, suggesting a modest private-pay market exists at the margin even if it is not the dominant model.</w:t>
      </w:r>
    </w:p>
    <w:p>
      <w:pPr>
        <w:numPr>
          <w:ilvl w:val="0"/>
          <w:numId w:val="1005"/>
        </w:numPr>
      </w:pPr>
      <w:r>
        <w:rPr>
          <w:bCs/>
          <w:b/>
        </w:rPr>
        <w:t xml:space="preserve">Venture-scale potential:</w:t>
      </w:r>
      <w:r>
        <w:t xml:space="preserve"> </w:t>
      </w:r>
      <w:r>
        <w:t xml:space="preserve">the existing draft’s central caveat (revenue depends on government and donor payers, capping the achievable multiple) stands, but this pass shows the specific payer (FQSE) to be</w:t>
      </w:r>
      <w:r>
        <w:t xml:space="preserve"> </w:t>
      </w:r>
      <w:r>
        <w:rPr>
          <w:bCs/>
          <w:b/>
        </w:rPr>
        <w:t xml:space="preserve">large, durable and domestically funded</w:t>
      </w:r>
      <w:r>
        <w:t xml:space="preserve"> </w:t>
      </w:r>
      <w:r>
        <w:t xml:space="preserve">— a materially more positive nuance for the addressable-market question than the existing draft’s brief mention conveys, and importantly different in kind from the fragile, foreign-aid-dependent payer base found in Sector 6.</w:t>
      </w:r>
    </w:p>
    <w:p>
      <w:pPr>
        <w:numPr>
          <w:ilvl w:val="0"/>
          <w:numId w:val="1005"/>
        </w:numPr>
      </w:pPr>
      <w:r>
        <w:rPr>
          <w:bCs/>
          <w:b/>
        </w:rPr>
        <w:t xml:space="preserve">Exit environment — the clearest regional data point found across the sectors assessed so far, and a sobering one.</w:t>
      </w:r>
      <w:r>
        <w:t xml:space="preserve"> </w:t>
      </w:r>
      <w:r>
        <w:rPr>
          <w:bCs/>
          <w:b/>
        </w:rPr>
        <w:t xml:space="preserve">Eneza Education</w:t>
      </w:r>
      <w:r>
        <w:t xml:space="preserve"> </w:t>
      </w:r>
      <w:r>
        <w:t xml:space="preserve">(Kenya, since 2012) reached</w:t>
      </w:r>
      <w:r>
        <w:t xml:space="preserve"> </w:t>
      </w:r>
      <w:r>
        <w:rPr>
          <w:bCs/>
          <w:b/>
        </w:rPr>
        <w:t xml:space="preserve">more than 10 million learners</w:t>
      </w:r>
      <w:r>
        <w:t xml:space="preserve"> </w:t>
      </w:r>
      <w:r>
        <w:t xml:space="preserve">across Kenya, Ghana, Côte d’Ivoire, Tanzania and Rwanda on just</w:t>
      </w:r>
      <w:r>
        <w:t xml:space="preserve"> </w:t>
      </w:r>
      <w:r>
        <w:rPr>
          <w:bCs/>
          <w:b/>
        </w:rPr>
        <w:t xml:space="preserve">US$1.49 million raised cumulatively</w:t>
      </w:r>
      <w:r>
        <w:t xml:space="preserve"> </w:t>
      </w:r>
      <w:r>
        <w:t xml:space="preserve">— extreme reach relative to capital, which may reflect either capital efficiency or a hard-to-monetise model. In</w:t>
      </w:r>
      <w:r>
        <w:t xml:space="preserve"> </w:t>
      </w:r>
      <w:r>
        <w:rPr>
          <w:bCs/>
          <w:b/>
        </w:rPr>
        <w:t xml:space="preserve">late 2024, Eneza merged with Pakistan’s Knowledge Platform</w:t>
      </w:r>
      <w:r>
        <w:t xml:space="preserve"> </w:t>
      </w:r>
      <w:r>
        <w:t xml:space="preserve">to form a combined African–Asian edtech venture —</w:t>
      </w:r>
      <w:r>
        <w:t xml:space="preserve"> </w:t>
      </w:r>
      <w:r>
        <w:rPr>
          <w:bCs/>
          <w:b/>
        </w:rPr>
        <w:t xml:space="preserve">a merger, not a cash acquisition or IPO.</w:t>
      </w:r>
      <w:r>
        <w:t xml:space="preserve"> </w:t>
      </w:r>
      <w:hyperlink r:id="rId32">
        <w:r>
          <w:rPr>
            <w:rStyle w:val="Hyperlink"/>
          </w:rPr>
          <w:t xml:space="preserve">Tracxn</w:t>
        </w:r>
      </w:hyperlink>
      <w:r>
        <w:t xml:space="preserve"> </w:t>
      </w:r>
      <w:r>
        <w:t xml:space="preserve">—</w:t>
      </w:r>
      <w:r>
        <w:t xml:space="preserve"> </w:t>
      </w:r>
      <w:r>
        <w:rPr>
          <w:bCs/>
          <w:b/>
        </w:rPr>
        <w:t xml:space="preserve">†, not opened</w:t>
      </w:r>
      <w:r>
        <w:t xml:space="preserve">. This is the clearest evidenced</w:t>
      </w:r>
      <w:r>
        <w:t xml:space="preserve"> </w:t>
      </w:r>
      <w:r>
        <w:t xml:space="preserve">“</w:t>
      </w:r>
      <w:r>
        <w:t xml:space="preserve">exit-like</w:t>
      </w:r>
      <w:r>
        <w:t xml:space="preserve">”</w:t>
      </w:r>
      <w:r>
        <w:t xml:space="preserve"> </w:t>
      </w:r>
      <w:r>
        <w:t xml:space="preserve">event for a comparable pan-African EdTech platform, and it illustrates that even the region’s highest-reach platform did not achieve a traditional cash exit.</w:t>
      </w:r>
    </w:p>
    <w:bookmarkEnd w:id="33"/>
    <w:bookmarkStart w:id="34" w:name="part-4-capital-and-instrument-fit"/>
    <w:p>
      <w:pPr>
        <w:pStyle w:val="Heading2"/>
      </w:pPr>
      <w:r>
        <w:t xml:space="preserve">Part 4 — Capital and instrument fit</w:t>
      </w:r>
    </w:p>
    <w:p>
      <w:pPr>
        <w:numPr>
          <w:ilvl w:val="0"/>
          <w:numId w:val="1006"/>
        </w:numPr>
      </w:pPr>
      <w:r>
        <w:rPr>
          <w:bCs/>
          <w:b/>
        </w:rPr>
        <w:t xml:space="preserve">What is needed:</w:t>
      </w:r>
      <w:r>
        <w:t xml:space="preserve"> </w:t>
      </w:r>
      <w:r>
        <w:t xml:space="preserve">blended equity, grant and results-based finance anchored to government or donor contracts — confirmed from the existing draft, now reinforced by evidence that FQSE is a large, stable, government-funded contracting counterparty, not merely a grant-dependent relationship.</w:t>
      </w:r>
    </w:p>
    <w:p>
      <w:pPr>
        <w:numPr>
          <w:ilvl w:val="0"/>
          <w:numId w:val="1006"/>
        </w:numPr>
      </w:pPr>
      <w:r>
        <w:rPr>
          <w:bCs/>
          <w:b/>
        </w:rPr>
        <w:t xml:space="preserve">Ticket sizes:</w:t>
      </w:r>
      <w:r>
        <w:t xml:space="preserve"> </w:t>
      </w:r>
      <w:r>
        <w:t xml:space="preserve">Rising Academies’ US$4.25m Series A remains the only Sierra Leone-connected equity figure.</w:t>
      </w:r>
      <w:r>
        <w:t xml:space="preserve"> </w:t>
      </w:r>
      <w:r>
        <w:rPr>
          <w:bCs/>
          <w:b/>
        </w:rPr>
        <w:t xml:space="preserve">Eneza’s US$1.49m cumulative raise despite 10M+ learners</w:t>
      </w:r>
      <w:r>
        <w:t xml:space="preserve"> </w:t>
      </w:r>
      <w:r>
        <w:t xml:space="preserve">is useful regional context on capital-efficiency norms in this sector, though it is not Sierra Leone-specific and may equally reflect investor caution about monetisation.</w:t>
      </w:r>
    </w:p>
    <w:p>
      <w:pPr>
        <w:numPr>
          <w:ilvl w:val="0"/>
          <w:numId w:val="1006"/>
        </w:numPr>
      </w:pPr>
      <w:r>
        <w:rPr>
          <w:bCs/>
          <w:b/>
        </w:rPr>
        <w:t xml:space="preserve">World Bank capital into the sector, quantified:</w:t>
      </w:r>
      <w:r>
        <w:t xml:space="preserve"> </w:t>
      </w:r>
      <w:r>
        <w:t xml:space="preserve">the</w:t>
      </w:r>
      <w:r>
        <w:t xml:space="preserve"> </w:t>
      </w:r>
      <w:r>
        <w:rPr>
          <w:bCs/>
          <w:b/>
        </w:rPr>
        <w:t xml:space="preserve">Sierra Leone Free Education Project (US$50 million) plus Additional Financing (US$35 million) — US$85 million total</w:t>
      </w:r>
      <w:r>
        <w:t xml:space="preserve"> </w:t>
      </w:r>
      <w:r>
        <w:t xml:space="preserve">— targets system management, teaching practice and learning conditions. This is</w:t>
      </w:r>
      <w:r>
        <w:t xml:space="preserve"> </w:t>
      </w:r>
      <w:r>
        <w:rPr>
          <w:bCs/>
          <w:b/>
        </w:rPr>
        <w:t xml:space="preserve">sovereign/government-directed development finance, not equity into a private EdTech company</w:t>
      </w:r>
      <w:r>
        <w:t xml:space="preserve">, and should not be conflated with company-level investability, but it is the largest capital figure identified for this sector and establishes a real, funded government counterparty for outcomes-based or service contracts.</w:t>
      </w:r>
    </w:p>
    <w:p>
      <w:pPr>
        <w:numPr>
          <w:ilvl w:val="0"/>
          <w:numId w:val="1006"/>
        </w:numPr>
      </w:pPr>
      <w:r>
        <w:rPr>
          <w:bCs/>
          <w:b/>
        </w:rPr>
        <w:t xml:space="preserve">Financing gap:</w:t>
      </w:r>
      <w:r>
        <w:t xml:space="preserve"> </w:t>
      </w:r>
      <w:r>
        <w:rPr>
          <w:bCs/>
          <w:b/>
        </w:rPr>
        <w:t xml:space="preserve">no reliable quantified private financing-gap figure specific to EdTech identified</w:t>
      </w:r>
      <w:r>
        <w:t xml:space="preserve">, consistent with the existing draft.</w:t>
      </w:r>
    </w:p>
    <w:bookmarkEnd w:id="34"/>
    <w:bookmarkStart w:id="36" w:name="part-5-employment-and-job-readiness"/>
    <w:p>
      <w:pPr>
        <w:pStyle w:val="Heading2"/>
      </w:pPr>
      <w:r>
        <w:t xml:space="preserve">Part 5 — Employment and job readiness</w:t>
      </w:r>
    </w:p>
    <w:p>
      <w:pPr>
        <w:numPr>
          <w:ilvl w:val="0"/>
          <w:numId w:val="1007"/>
        </w:numPr>
      </w:pPr>
      <w:r>
        <w:rPr>
          <w:bCs/>
          <w:b/>
        </w:rPr>
        <w:t xml:space="preserve">Teacher-coaching and content roles</w:t>
      </w:r>
      <w:r>
        <w:t xml:space="preserve"> </w:t>
      </w:r>
      <w:r>
        <w:t xml:space="preserve">(existing draft) are reinforced by evidence of</w:t>
      </w:r>
      <w:r>
        <w:t xml:space="preserve"> </w:t>
      </w:r>
      <w:r>
        <w:rPr>
          <w:bCs/>
          <w:b/>
        </w:rPr>
        <w:t xml:space="preserve">growing teacher demand driven by FQSE’s enrolment surge</w:t>
      </w:r>
      <w:r>
        <w:t xml:space="preserve">, and an explicit sector-level recognition of the need to</w:t>
      </w:r>
      <w:r>
        <w:t xml:space="preserve"> </w:t>
      </w:r>
      <w:r>
        <w:rPr>
          <w:bCs/>
          <w:b/>
        </w:rPr>
        <w:t xml:space="preserve">“</w:t>
      </w:r>
      <w:r>
        <w:rPr>
          <w:bCs/>
          <w:b/>
        </w:rPr>
        <w:t xml:space="preserve">promote the teaching profession to women</w:t>
      </w:r>
      <w:r>
        <w:rPr>
          <w:bCs/>
          <w:b/>
        </w:rPr>
        <w:t xml:space="preserve">”</w:t>
      </w:r>
      <w:r>
        <w:t xml:space="preserve"> </w:t>
      </w:r>
      <w:hyperlink r:id="rId35">
        <w:r>
          <w:rPr>
            <w:rStyle w:val="Hyperlink"/>
          </w:rPr>
          <w:t xml:space="preserve">Teacher Task Force</w:t>
        </w:r>
      </w:hyperlink>
      <w:r>
        <w:t xml:space="preserve"> </w:t>
      </w:r>
      <w:r>
        <w:t xml:space="preserve">—</w:t>
      </w:r>
      <w:r>
        <w:t xml:space="preserve"> </w:t>
      </w:r>
      <w:r>
        <w:rPr>
          <w:bCs/>
          <w:b/>
        </w:rPr>
        <w:t xml:space="preserve">†, not opened</w:t>
      </w:r>
      <w:r>
        <w:t xml:space="preserve"> </w:t>
      </w:r>
      <w:r>
        <w:t xml:space="preserve">— implying current female teacher representation is a recognised gap, though</w:t>
      </w:r>
      <w:r>
        <w:t xml:space="preserve"> </w:t>
      </w:r>
      <w:r>
        <w:rPr>
          <w:bCs/>
          <w:b/>
        </w:rPr>
        <w:t xml:space="preserve">no percentage figure was identified in this pass.</w:t>
      </w:r>
    </w:p>
    <w:p>
      <w:pPr>
        <w:numPr>
          <w:ilvl w:val="0"/>
          <w:numId w:val="1007"/>
        </w:numPr>
      </w:pPr>
      <w:r>
        <w:rPr>
          <w:bCs/>
          <w:b/>
        </w:rPr>
        <w:t xml:space="preserve">Pupil gender balance — a comparatively positive picture relative to most other sectors assessed:</w:t>
      </w:r>
      <w:r>
        <w:t xml:space="preserve"> </w:t>
      </w:r>
      <w:r>
        <w:t xml:space="preserve">more girls than boys attend primary school; numbers are nearly equal at junior secondary; the senior-secondary gap is small (roughly 10,000 more boys than girls nationally). This is pupil-access data, not firm-level employment data, but it is a genuinely better gender picture than FinTech, Blue Economy or HealthTech show at the workforce level.</w:t>
      </w:r>
    </w:p>
    <w:p>
      <w:pPr>
        <w:numPr>
          <w:ilvl w:val="0"/>
          <w:numId w:val="1007"/>
        </w:numPr>
      </w:pPr>
      <w:r>
        <w:rPr>
          <w:bCs/>
          <w:b/>
        </w:rPr>
        <w:t xml:space="preserve">Youth fit:</w:t>
      </w:r>
      <w:r>
        <w:t xml:space="preserve"> </w:t>
      </w:r>
      <w:r>
        <w:t xml:space="preserve">strong by definition (the sector serves the youth population directly), but</w:t>
      </w:r>
      <w:r>
        <w:t xml:space="preserve"> </w:t>
      </w:r>
      <w:r>
        <w:rPr>
          <w:bCs/>
          <w:b/>
        </w:rPr>
        <w:t xml:space="preserve">no reliable quantified jobs-created figure specific to EdTech company employment was identified.</w:t>
      </w:r>
    </w:p>
    <w:bookmarkEnd w:id="36"/>
    <w:bookmarkStart w:id="37" w:name="X1fb53e779b6e79c585e3690dd6a2948dcd0c556"/>
    <w:p>
      <w:pPr>
        <w:pStyle w:val="Heading2"/>
      </w:pPr>
      <w:r>
        <w:t xml:space="preserve">Part 6 — Investment innovation and de-risking</w:t>
      </w:r>
    </w:p>
    <w:p>
      <w:pPr>
        <w:numPr>
          <w:ilvl w:val="0"/>
          <w:numId w:val="1008"/>
        </w:numPr>
      </w:pPr>
      <w:r>
        <w:rPr>
          <w:bCs/>
          <w:b/>
        </w:rPr>
        <w:t xml:space="preserve">Outcomes-based contracts (Education Outcomes Fund)</w:t>
      </w:r>
      <w:r>
        <w:t xml:space="preserve">, already logged in the existing draft, stand as the sector’s clearest de-risking mechanism. This pass adds a caveat: the randomised-evaluation evidence generated for Rori (Oxford/J-PAL, Part 3) was generated in</w:t>
      </w:r>
      <w:r>
        <w:t xml:space="preserve"> </w:t>
      </w:r>
      <w:r>
        <w:rPr>
          <w:bCs/>
          <w:b/>
        </w:rPr>
        <w:t xml:space="preserve">Ghana</w:t>
      </w:r>
      <w:r>
        <w:t xml:space="preserve">, not Sierra Leone — the specific evidence base investors would cite to de-risk a Sierra Leone-facing bet on Rising/Rori is not itself Sierra Leone-specific.</w:t>
      </w:r>
    </w:p>
    <w:p>
      <w:pPr>
        <w:numPr>
          <w:ilvl w:val="0"/>
          <w:numId w:val="1008"/>
        </w:numPr>
      </w:pPr>
      <w:r>
        <w:rPr>
          <w:bCs/>
          <w:b/>
        </w:rPr>
        <w:t xml:space="preserve">A concrete, Sierra-Leone-specific TA intervention not in the existing draft:</w:t>
      </w:r>
      <w:r>
        <w:t xml:space="preserve"> </w:t>
      </w:r>
      <w:r>
        <w:t xml:space="preserve">the World Bank/EdTech Hub’s direct support for Sierra Leone’s</w:t>
      </w:r>
      <w:r>
        <w:t xml:space="preserve"> </w:t>
      </w:r>
      <w:r>
        <w:rPr>
          <w:bCs/>
          <w:b/>
        </w:rPr>
        <w:t xml:space="preserve">National Digital Learning Strategy and One Tablet Per School programme</w:t>
      </w:r>
      <w:r>
        <w:t xml:space="preserve"> </w:t>
      </w:r>
      <w:r>
        <w:t xml:space="preserve">(2024) is building the digital-learning policy and infrastructure layer a private EdTech company would eventually need to plug into — analogous to HETA’s role in Sector 6, but for education rather than health infrastructure.</w:t>
      </w:r>
    </w:p>
    <w:p>
      <w:pPr>
        <w:numPr>
          <w:ilvl w:val="0"/>
          <w:numId w:val="1008"/>
        </w:numPr>
      </w:pPr>
      <w:r>
        <w:rPr>
          <w:bCs/>
          <w:b/>
        </w:rPr>
        <w:t xml:space="preserve">What would need to be true for commercial entry without concessional support:</w:t>
      </w:r>
      <w:r>
        <w:t xml:space="preserve"> </w:t>
      </w:r>
      <w:r>
        <w:t xml:space="preserve">Sierra Leone-specific (not merely Ghanaian or pan-African) efficacy evidence for flagship products like Rori; clarity on FQSE’s medium-term fiscal sustainability given the debt/IMF-target risk flagged in Part 2; and a larger household private-pay base than currently exists — uLesson’s $6/month price point remains the only evidenced data point on what households will actually pay.</w:t>
      </w:r>
    </w:p>
    <w:bookmarkEnd w:id="37"/>
    <w:bookmarkStart w:id="38" w:name="part-7-enabling-environment"/>
    <w:p>
      <w:pPr>
        <w:pStyle w:val="Heading2"/>
      </w:pPr>
      <w:r>
        <w:t xml:space="preserve">Part 7 — Enabling environment</w:t>
      </w:r>
    </w:p>
    <w:p>
      <w:pPr>
        <w:numPr>
          <w:ilvl w:val="0"/>
          <w:numId w:val="1009"/>
        </w:numPr>
      </w:pPr>
      <w:r>
        <w:rPr>
          <w:bCs/>
          <w:b/>
        </w:rPr>
        <w:t xml:space="preserve">A materially stronger, more current policy picture than the existing draft carries:</w:t>
      </w:r>
      <w:r>
        <w:t xml:space="preserve"> </w:t>
      </w:r>
      <w:r>
        <w:t xml:space="preserve">FQSE (since August 2018) at 21–22% of the national budget for six consecutive years, covering 2.6 million children (~37% of the population), a 92% budget execution rate in 2023/24, and a slate of</w:t>
      </w:r>
      <w:r>
        <w:t xml:space="preserve"> </w:t>
      </w:r>
      <w:r>
        <w:rPr>
          <w:bCs/>
          <w:b/>
        </w:rPr>
        <w:t xml:space="preserve">new policies rolled out for the 2024/25 academic year</w:t>
      </w:r>
      <w:r>
        <w:t xml:space="preserve"> </w:t>
      </w:r>
      <w:r>
        <w:t xml:space="preserve">— the Radical Inclusion Policy, Integrated Early Childhood Development Policy, School Feeding Policy, and Teacher Management Policy. The</w:t>
      </w:r>
      <w:r>
        <w:t xml:space="preserve"> </w:t>
      </w:r>
      <w:r>
        <w:rPr>
          <w:bCs/>
          <w:b/>
        </w:rPr>
        <w:t xml:space="preserve">Education Sector Plan 2022–2026,</w:t>
      </w:r>
      <w:r>
        <w:rPr>
          <w:bCs/>
          <w:b/>
        </w:rPr>
        <w:t xml:space="preserve"> </w:t>
      </w:r>
      <w:r>
        <w:rPr>
          <w:bCs/>
          <w:b/>
        </w:rPr>
        <w:t xml:space="preserve">“</w:t>
      </w:r>
      <w:r>
        <w:rPr>
          <w:bCs/>
          <w:b/>
        </w:rPr>
        <w:t xml:space="preserve">Transforming Learning for All,</w:t>
      </w:r>
      <w:r>
        <w:rPr>
          <w:bCs/>
          <w:b/>
        </w:rPr>
        <w:t xml:space="preserve">”</w:t>
      </w:r>
      <w:r>
        <w:t xml:space="preserve"> </w:t>
      </w:r>
      <w:r>
        <w:t xml:space="preserve">is the flagship strategic document underlying all of this and was not previously cited. [Global Partnership for Education] —</w:t>
      </w:r>
      <w:r>
        <w:t xml:space="preserve"> </w:t>
      </w:r>
      <w:r>
        <w:rPr>
          <w:bCs/>
          <w:b/>
        </w:rPr>
        <w:t xml:space="preserve">†, not opened</w:t>
      </w:r>
      <w:r>
        <w:t xml:space="preserve">.</w:t>
      </w:r>
    </w:p>
    <w:p>
      <w:pPr>
        <w:numPr>
          <w:ilvl w:val="0"/>
          <w:numId w:val="1009"/>
        </w:numPr>
      </w:pPr>
      <w:r>
        <w:rPr>
          <w:bCs/>
          <w:b/>
        </w:rPr>
        <w:t xml:space="preserve">World Bank financing, quantified:</w:t>
      </w:r>
      <w:r>
        <w:t xml:space="preserve"> </w:t>
      </w:r>
      <w:r>
        <w:t xml:space="preserve">US$85 million total (Free Education Project + Additional Financing) layered onto the domestically funded FQSE base (Part 4).</w:t>
      </w:r>
    </w:p>
    <w:p>
      <w:pPr>
        <w:numPr>
          <w:ilvl w:val="0"/>
          <w:numId w:val="1009"/>
        </w:numPr>
      </w:pPr>
      <w:r>
        <w:rPr>
          <w:bCs/>
          <w:b/>
        </w:rPr>
        <w:t xml:space="preserve">A structural contrast worth raising explicitly with the Advisory Group:</w:t>
      </w:r>
      <w:r>
        <w:t xml:space="preserve"> </w:t>
      </w:r>
      <w:r>
        <w:t xml:space="preserve">the existing draft characterises both EdTech and HealthTech as</w:t>
      </w:r>
      <w:r>
        <w:t xml:space="preserve"> </w:t>
      </w:r>
      <w:r>
        <w:t xml:space="preserve">“</w:t>
      </w:r>
      <w:r>
        <w:t xml:space="preserve">government/donor-payer-dependent,</w:t>
      </w:r>
      <w:r>
        <w:t xml:space="preserve">”</w:t>
      </w:r>
      <w:r>
        <w:t xml:space="preserve"> </w:t>
      </w:r>
      <w:r>
        <w:t xml:space="preserve">but this pass shows the two sectors’ payer models are</w:t>
      </w:r>
      <w:r>
        <w:t xml:space="preserve"> </w:t>
      </w:r>
      <w:r>
        <w:rPr>
          <w:bCs/>
          <w:b/>
        </w:rPr>
        <w:t xml:space="preserve">structurally very different</w:t>
      </w:r>
      <w:r>
        <w:t xml:space="preserve">. EdTech’s anchor payer (FQSE) is large, domestic, budget-line-funded, and has sustained its funding share for six years. HealthTech’s equivalent mechanism (SLeSHI) never became operational at all, and the sector instead runs on foreign aid that is now visibly contracting (Sector 6, Part 7).</w:t>
      </w:r>
      <w:r>
        <w:t xml:space="preserve"> </w:t>
      </w:r>
      <w:r>
        <w:rPr>
          <w:bCs/>
          <w:b/>
        </w:rPr>
        <w:t xml:space="preserve">These two</w:t>
      </w:r>
      <w:r>
        <w:rPr>
          <w:bCs/>
          <w:b/>
        </w:rPr>
        <w:t xml:space="preserve"> </w:t>
      </w:r>
      <w:r>
        <w:rPr>
          <w:bCs/>
          <w:b/>
        </w:rPr>
        <w:t xml:space="preserve">“</w:t>
      </w:r>
      <w:r>
        <w:rPr>
          <w:bCs/>
          <w:b/>
        </w:rPr>
        <w:t xml:space="preserve">government/donor-dependent</w:t>
      </w:r>
      <w:r>
        <w:rPr>
          <w:bCs/>
          <w:b/>
        </w:rPr>
        <w:t xml:space="preserve">”</w:t>
      </w:r>
      <w:r>
        <w:rPr>
          <w:bCs/>
          <w:b/>
        </w:rPr>
        <w:t xml:space="preserve"> </w:t>
      </w:r>
      <w:r>
        <w:rPr>
          <w:bCs/>
          <w:b/>
        </w:rPr>
        <w:t xml:space="preserve">verdicts should not be read as equivalent risks</w:t>
      </w:r>
      <w:r>
        <w:t xml:space="preserve"> </w:t>
      </w:r>
      <w:r>
        <w:t xml:space="preserve">— EdTech’s payer risk is a medium-term fiscal-sustainability question; HealthTech’s is an acute, already-materialising funding cut.</w:t>
      </w:r>
    </w:p>
    <w:p>
      <w:pPr>
        <w:numPr>
          <w:ilvl w:val="0"/>
          <w:numId w:val="1009"/>
        </w:numPr>
      </w:pPr>
      <w:r>
        <w:rPr>
          <w:bCs/>
          <w:b/>
        </w:rPr>
        <w:t xml:space="preserve">Donor/development programmes active:</w:t>
      </w:r>
      <w:r>
        <w:t xml:space="preserve"> </w:t>
      </w:r>
      <w:r>
        <w:t xml:space="preserve">World Bank / EdTech Hub (National Digital Learning Strategy, One Tablet Per School, 2024); Global Partnership for Education; UNICEF education programming.</w:t>
      </w:r>
      <w:r>
        <w:t xml:space="preserve"> </w:t>
      </w:r>
      <w:r>
        <w:rPr>
          <w:bCs/>
          <w:b/>
        </w:rPr>
        <w:t xml:space="preserve">Education Above All Foundation’s exact role in the Free Education Project surfaced ambiguously in this pass and needs Stage 2 confirmation</w:t>
      </w:r>
      <w:r>
        <w:t xml:space="preserve"> </w:t>
      </w:r>
      <w:r>
        <w:t xml:space="preserve">— it was not clearly corroborated as a funder of FQSE specifically.</w:t>
      </w:r>
    </w:p>
    <w:bookmarkEnd w:id="38"/>
    <w:bookmarkStart w:id="39" w:name="part-8-comparative-evidence"/>
    <w:p>
      <w:pPr>
        <w:pStyle w:val="Heading2"/>
      </w:pPr>
      <w:r>
        <w:t xml:space="preserve">Part 8 — Comparative evidence</w:t>
      </w:r>
    </w:p>
    <w:p>
      <w:pPr>
        <w:numPr>
          <w:ilvl w:val="0"/>
          <w:numId w:val="1010"/>
        </w:numPr>
      </w:pPr>
      <w:r>
        <w:rPr>
          <w:bCs/>
          <w:b/>
        </w:rPr>
        <w:t xml:space="preserve">Kenya (Eneza Education) and Tanzania (Ubongo) add to the existing draft’s Ghana/Rwanda comparators.</w:t>
      </w:r>
      <w:r>
        <w:t xml:space="preserve"> </w:t>
      </w:r>
      <w:r>
        <w:t xml:space="preserve">Eneza’s reach-to-capital ratio (10M+ learners on $1.49m) and its late-2024 merger with Pakistan’s Knowledge Platform (Part 3) are the most directly relevant regional data points on what</w:t>
      </w:r>
      <w:r>
        <w:t xml:space="preserve"> </w:t>
      </w:r>
      <w:r>
        <w:t xml:space="preserve">“</w:t>
      </w:r>
      <w:r>
        <w:t xml:space="preserve">success</w:t>
      </w:r>
      <w:r>
        <w:t xml:space="preserve">”</w:t>
      </w:r>
      <w:r>
        <w:t xml:space="preserve"> </w:t>
      </w:r>
      <w:r>
        <w:t xml:space="preserve">and</w:t>
      </w:r>
      <w:r>
        <w:t xml:space="preserve"> </w:t>
      </w:r>
      <w:r>
        <w:t xml:space="preserve">“</w:t>
      </w:r>
      <w:r>
        <w:t xml:space="preserve">exit</w:t>
      </w:r>
      <w:r>
        <w:t xml:space="preserve">”</w:t>
      </w:r>
      <w:r>
        <w:t xml:space="preserve"> </w:t>
      </w:r>
      <w:r>
        <w:t xml:space="preserve">actually look like in this sector — reach without proportionate monetisation, and consolidation rather than cash exit.</w:t>
      </w:r>
    </w:p>
    <w:p>
      <w:pPr>
        <w:numPr>
          <w:ilvl w:val="0"/>
          <w:numId w:val="1010"/>
        </w:numPr>
      </w:pPr>
      <w:r>
        <w:rPr>
          <w:bCs/>
          <w:b/>
        </w:rPr>
        <w:t xml:space="preserve">Ubongo</w:t>
      </w:r>
      <w:r>
        <w:t xml:space="preserve"> </w:t>
      </w:r>
      <w:r>
        <w:t xml:space="preserve">(Tanzania) operates a different model entirely — free/ad-supported edutainment video content (YouTube’s</w:t>
      </w:r>
      <w:r>
        <w:t xml:space="preserve"> </w:t>
      </w:r>
      <w:r>
        <w:t xml:space="preserve">“</w:t>
      </w:r>
      <w:r>
        <w:t xml:space="preserve">Akili and Me,</w:t>
      </w:r>
      <w:r>
        <w:t xml:space="preserve">”</w:t>
      </w:r>
      <w:r>
        <w:t xml:space="preserve"> </w:t>
      </w:r>
      <w:r>
        <w:t xml:space="preserve">a Facebook partnership on kids’ online safety), backed by</w:t>
      </w:r>
      <w:r>
        <w:t xml:space="preserve"> </w:t>
      </w:r>
      <w:r>
        <w:rPr>
          <w:bCs/>
          <w:b/>
        </w:rPr>
        <w:t xml:space="preserve">Imaginable Futures</w:t>
      </w:r>
      <w:r>
        <w:t xml:space="preserve"> </w:t>
      </w:r>
      <w:r>
        <w:t xml:space="preserve">(which also backs SmartStart and SPARK Schools). This is a content-distribution model not yet evidenced anywhere in Sierra Leone, and worth flagging as an alternative approach to Rising Academies’ school-contract model.</w:t>
      </w:r>
    </w:p>
    <w:p>
      <w:pPr>
        <w:numPr>
          <w:ilvl w:val="0"/>
          <w:numId w:val="1010"/>
        </w:numPr>
      </w:pPr>
      <w:r>
        <w:rPr>
          <w:bCs/>
          <w:b/>
        </w:rPr>
        <w:t xml:space="preserve">Scale context:</w:t>
      </w:r>
      <w:r>
        <w:t xml:space="preserve"> </w:t>
      </w:r>
      <w:r>
        <w:t xml:space="preserve">the 2020 Africa EdTech 50 cohort collectively raised</w:t>
      </w:r>
      <w:r>
        <w:t xml:space="preserve"> </w:t>
      </w:r>
      <w:r>
        <w:rPr>
          <w:bCs/>
          <w:b/>
        </w:rPr>
        <w:t xml:space="preserve">over US$200 million</w:t>
      </w:r>
      <w:r>
        <w:t xml:space="preserve"> </w:t>
      </w:r>
      <w:r>
        <w:t xml:space="preserve">— regional proxy context for the scale of capital this sector can attract continent-wide, against which Rising Academies’ $4.25m and Eneza’s $1.49m both look modest.</w:t>
      </w:r>
    </w:p>
    <w:p>
      <w:pPr>
        <w:pStyle w:val="BlockText"/>
      </w:pPr>
      <w:r>
        <w:rPr>
          <w:bCs/>
          <w:b/>
        </w:rPr>
        <w:t xml:space="preserve">Verdict.</w:t>
      </w:r>
      <w:r>
        <w:t xml:space="preserve"> </w:t>
      </w:r>
      <w:r>
        <w:rPr>
          <w:bCs/>
          <w:b/>
        </w:rPr>
        <w:t xml:space="preserve">Investable now, with qualification — confirmed, and now with a fuller evidence base on both sides of the ledger.</w:t>
      </w:r>
      <w:r>
        <w:t xml:space="preserve"> </w:t>
      </w:r>
      <w:r>
        <w:t xml:space="preserve">This pass adds two more real, named, in-market ventures (uLesson, Muallemi) beyond Rising Academies, and shows the sector’s core payer (FQSE) to be large, stable and domestically funded — arguably the most durable government-payer story found across the seven sectors assessed so far, and structurally distinct from HealthTech’s acute, foreign-aid-driven funding crisis despite superficially similar</w:t>
      </w:r>
      <w:r>
        <w:t xml:space="preserve"> </w:t>
      </w:r>
      <w:r>
        <w:t xml:space="preserve">“</w:t>
      </w:r>
      <w:r>
        <w:t xml:space="preserve">government/donor-dependent</w:t>
      </w:r>
      <w:r>
        <w:t xml:space="preserve">”</w:t>
      </w:r>
      <w:r>
        <w:t xml:space="preserve"> </w:t>
      </w:r>
      <w:r>
        <w:t xml:space="preserve">framing in the existing draft. Two qualifications sharpen, rather than overturn, the existing</w:t>
      </w:r>
      <w:r>
        <w:t xml:space="preserve"> </w:t>
      </w:r>
      <w:r>
        <w:t xml:space="preserve">“</w:t>
      </w:r>
      <w:r>
        <w:t xml:space="preserve">investable, with qualification</w:t>
      </w:r>
      <w:r>
        <w:t xml:space="preserve">”</w:t>
      </w:r>
      <w:r>
        <w:t xml:space="preserve"> </w:t>
      </w:r>
      <w:r>
        <w:t xml:space="preserve">verdict:</w:t>
      </w:r>
      <w:r>
        <w:t xml:space="preserve"> </w:t>
      </w:r>
      <w:r>
        <w:rPr>
          <w:bCs/>
          <w:b/>
        </w:rPr>
        <w:t xml:space="preserve">(1)</w:t>
      </w:r>
      <w:r>
        <w:t xml:space="preserve"> </w:t>
      </w:r>
      <w:r>
        <w:t xml:space="preserve">Rising Academies’ flagship AI product (Rori) has its strongest efficacy evidence from Ghana, not Sierra Leone — the Sierra Leone-specific outcome case remains unproven;</w:t>
      </w:r>
      <w:r>
        <w:t xml:space="preserve"> </w:t>
      </w:r>
      <w:r>
        <w:rPr>
          <w:bCs/>
          <w:b/>
        </w:rPr>
        <w:t xml:space="preserve">(2)</w:t>
      </w:r>
      <w:r>
        <w:t xml:space="preserve"> </w:t>
      </w:r>
      <w:r>
        <w:t xml:space="preserve">FQSE’s own medium-term fiscal sustainability is debated given Sierra Leone’s debt and IMF/World Bank fiscal-target constraints, a real if not acute risk to the sector’s anchor payer.</w:t>
      </w:r>
    </w:p>
    <w:p>
      <w:r>
        <w:pict>
          <v:rect style="width:0;height:1.5pt" o:hralign="center" o:hrstd="t" o:hr="t"/>
        </w:pict>
      </w:r>
    </w:p>
    <w:bookmarkEnd w:id="39"/>
    <w:bookmarkStart w:id="40" w:name="X8ffc0814bf06bc0cb65d9e9e00984e3aa907911"/>
    <w:p>
      <w:pPr>
        <w:pStyle w:val="Heading2"/>
      </w:pPr>
      <w:r>
        <w:t xml:space="preserve">Additions required to the master tracker / claude_B1.docx on merge</w:t>
      </w:r>
    </w:p>
    <w:p>
      <w:pPr>
        <w:numPr>
          <w:ilvl w:val="0"/>
          <w:numId w:val="1011"/>
        </w:numPr>
        <w:pStyle w:val="Compact"/>
      </w:pPr>
      <w:r>
        <w:rPr>
          <w:bCs/>
          <w:b/>
        </w:rPr>
        <w:t xml:space="preserve">Ranking table / Executive summary:</w:t>
      </w:r>
      <w:r>
        <w:t xml:space="preserve"> </w:t>
      </w:r>
      <w:r>
        <w:t xml:space="preserve">update EdTech’s</w:t>
      </w:r>
      <w:r>
        <w:t xml:space="preserve"> </w:t>
      </w:r>
      <w:r>
        <w:t xml:space="preserve">“</w:t>
      </w:r>
      <w:r>
        <w:t xml:space="preserve">Deciding evidence</w:t>
      </w:r>
      <w:r>
        <w:t xml:space="preserve">”</w:t>
      </w:r>
      <w:r>
        <w:t xml:space="preserve"> </w:t>
      </w:r>
      <w:r>
        <w:t xml:space="preserve">cell to add FQSE’s scale and domestic-funding durability, the two new named companies (uLesson, Muallemi), and the Rori efficacy-evidence caveat (Ghana, not Sierra Leone).</w:t>
      </w:r>
    </w:p>
    <w:p>
      <w:pPr>
        <w:numPr>
          <w:ilvl w:val="0"/>
          <w:numId w:val="1011"/>
        </w:numPr>
        <w:pStyle w:val="Compact"/>
      </w:pPr>
      <w:r>
        <w:rPr>
          <w:bCs/>
          <w:b/>
        </w:rPr>
        <w:t xml:space="preserve">Figure 2 (companies evidenced per sector):</w:t>
      </w:r>
      <w:r>
        <w:t xml:space="preserve"> </w:t>
      </w:r>
      <w:r>
        <w:t xml:space="preserve">EdTech count should move from</w:t>
      </w:r>
      <w:r>
        <w:t xml:space="preserve"> </w:t>
      </w:r>
      <w:r>
        <w:rPr>
          <w:bCs/>
          <w:b/>
        </w:rPr>
        <w:t xml:space="preserve">1 to 3</w:t>
      </w:r>
      <w:r>
        <w:t xml:space="preserve"> </w:t>
      </w:r>
      <w:r>
        <w:t xml:space="preserve">(Rising Academies, uLesson, Muallemi).</w:t>
      </w:r>
    </w:p>
    <w:p>
      <w:pPr>
        <w:numPr>
          <w:ilvl w:val="0"/>
          <w:numId w:val="1011"/>
        </w:numPr>
        <w:pStyle w:val="Compact"/>
      </w:pPr>
      <w:r>
        <w:rPr>
          <w:bCs/>
          <w:b/>
        </w:rPr>
        <w:t xml:space="preserve">Figure 3 (ticket sizes):</w:t>
      </w:r>
      <w:r>
        <w:t xml:space="preserve"> </w:t>
      </w:r>
      <w:r>
        <w:t xml:space="preserve">no change to the largest figure (Rising Academies’ $4.25m remains the largest company-level ticket), but add Eneza Education’s $1.49m-for-10M-learners as regional capital-efficiency context.</w:t>
      </w:r>
    </w:p>
    <w:p>
      <w:pPr>
        <w:numPr>
          <w:ilvl w:val="0"/>
          <w:numId w:val="1011"/>
        </w:numPr>
        <w:pStyle w:val="Compact"/>
      </w:pPr>
      <w:r>
        <w:rPr>
          <w:bCs/>
          <w:b/>
        </w:rPr>
        <w:t xml:space="preserve">Contradiction log:</w:t>
      </w:r>
      <w:r>
        <w:t xml:space="preserve"> </w:t>
      </w:r>
      <w:r>
        <w:t xml:space="preserve">the existing Rising Academies Series A amount contradiction ($4.25m vs. $5.0m) is now better-sourced toward $4.25m via a dedicated named-investor source, though not fully resolved — recommend downgrading this from</w:t>
      </w:r>
      <w:r>
        <w:t xml:space="preserve"> </w:t>
      </w:r>
      <w:r>
        <w:t xml:space="preserve">“</w:t>
      </w:r>
      <w:r>
        <w:t xml:space="preserve">unresolved contradiction</w:t>
      </w:r>
      <w:r>
        <w:t xml:space="preserve">”</w:t>
      </w:r>
      <w:r>
        <w:t xml:space="preserve"> </w:t>
      </w:r>
      <w:r>
        <w:t xml:space="preserve">to</w:t>
      </w:r>
      <w:r>
        <w:t xml:space="preserve"> </w:t>
      </w:r>
      <w:r>
        <w:t xml:space="preserve">“</w:t>
      </w:r>
      <w:r>
        <w:t xml:space="preserve">probable $4.25m, pending primary confirmation.</w:t>
      </w:r>
      <w:r>
        <w:t xml:space="preserve">”</w:t>
      </w:r>
    </w:p>
    <w:p>
      <w:pPr>
        <w:numPr>
          <w:ilvl w:val="0"/>
          <w:numId w:val="1011"/>
        </w:numPr>
        <w:pStyle w:val="Compact"/>
      </w:pPr>
      <w:r>
        <w:rPr>
          <w:bCs/>
          <w:b/>
        </w:rPr>
        <w:t xml:space="preserve">Negative-results log:</w:t>
      </w:r>
      <w:r>
        <w:t xml:space="preserve"> </w:t>
      </w:r>
      <w:r>
        <w:t xml:space="preserve">add</w:t>
      </w:r>
      <w:r>
        <w:t xml:space="preserve"> </w:t>
      </w:r>
      <w:r>
        <w:t xml:space="preserve">“</w:t>
      </w:r>
      <w:r>
        <w:t xml:space="preserve">no Sierra Leone-specific efficacy evidence identified for Rori — the only randomised evaluation found was conducted in Ghana.</w:t>
      </w:r>
      <w:r>
        <w:t xml:space="preserve">”</w:t>
      </w:r>
    </w:p>
    <w:p>
      <w:pPr>
        <w:numPr>
          <w:ilvl w:val="0"/>
          <w:numId w:val="1011"/>
        </w:numPr>
        <w:pStyle w:val="Compact"/>
      </w:pPr>
      <w:r>
        <w:rPr>
          <w:bCs/>
          <w:b/>
        </w:rPr>
        <w:t xml:space="preserve">Cross-sector flag for the Advisory Group:</w:t>
      </w:r>
      <w:r>
        <w:t xml:space="preserve"> </w:t>
      </w:r>
      <w:r>
        <w:t xml:space="preserve">the EdTech/HealthTech payer-durability contrast (Part 7) should be raised explicitly — the existing draft’s parallel</w:t>
      </w:r>
      <w:r>
        <w:t xml:space="preserve"> </w:t>
      </w:r>
      <w:r>
        <w:t xml:space="preserve">“</w:t>
      </w:r>
      <w:r>
        <w:t xml:space="preserve">government/donor-dependent</w:t>
      </w:r>
      <w:r>
        <w:t xml:space="preserve">”</w:t>
      </w:r>
      <w:r>
        <w:t xml:space="preserve"> </w:t>
      </w:r>
      <w:r>
        <w:t xml:space="preserve">framing for both sectors understates a real difference in near-term risk.</w:t>
      </w:r>
    </w:p>
    <w:bookmarkEnd w:id="40"/>
    <w:bookmarkStart w:id="41"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2"/>
        </w:numPr>
        <w:pStyle w:val="Compact"/>
      </w:pPr>
      <w:r>
        <w:t xml:space="preserve">Open the Africa Business Communities article and Rising Academies’ own Series A announcement directly to confirm the $4.25m figure and full investor list.</w:t>
      </w:r>
    </w:p>
    <w:p>
      <w:pPr>
        <w:numPr>
          <w:ilvl w:val="0"/>
          <w:numId w:val="1012"/>
        </w:numPr>
        <w:pStyle w:val="Compact"/>
      </w:pPr>
      <w:r>
        <w:t xml:space="preserve">Search directly for any Sierra Leone-specific Rori/Rising Academies outcome or evaluation data, distinct from the Ghana-based Oxford/J-PAL study.</w:t>
      </w:r>
    </w:p>
    <w:p>
      <w:pPr>
        <w:numPr>
          <w:ilvl w:val="0"/>
          <w:numId w:val="1012"/>
        </w:numPr>
        <w:pStyle w:val="Compact"/>
      </w:pPr>
      <w:r>
        <w:t xml:space="preserve">Confirm uLesson’s and Muallemi’s current Sierra Leone user/student counts and revenue status directly.</w:t>
      </w:r>
    </w:p>
    <w:p>
      <w:pPr>
        <w:numPr>
          <w:ilvl w:val="0"/>
          <w:numId w:val="1012"/>
        </w:numPr>
        <w:pStyle w:val="Compact"/>
      </w:pPr>
      <w:r>
        <w:t xml:space="preserve">Open the source behind the FQSE fiscal-sustainability debate directly and identify its author/publisher.</w:t>
      </w:r>
    </w:p>
    <w:p>
      <w:pPr>
        <w:numPr>
          <w:ilvl w:val="0"/>
          <w:numId w:val="1012"/>
        </w:numPr>
        <w:pStyle w:val="Compact"/>
      </w:pPr>
      <w:r>
        <w:t xml:space="preserve">Confirm Education Above All Foundation’s actual role (if any) in Sierra Leone’s Free Education Project.</w:t>
      </w:r>
    </w:p>
    <w:p>
      <w:pPr>
        <w:numPr>
          <w:ilvl w:val="0"/>
          <w:numId w:val="1012"/>
        </w:numPr>
        <w:pStyle w:val="Compact"/>
      </w:pPr>
      <w:r>
        <w:t xml:space="preserve">Confirm the current status of the National Digital Learning Strategy and One Tablet Per School programme (has either been formally adopted/launched since 2024?).</w:t>
      </w:r>
    </w:p>
    <w:p>
      <w:pPr>
        <w:numPr>
          <w:ilvl w:val="0"/>
          <w:numId w:val="1012"/>
        </w:numPr>
        <w:pStyle w:val="Compact"/>
      </w:pPr>
      <w:r>
        <w:t xml:space="preserve">Directly verify Eneza Education’s post-merger structure and whether the combined entity retains any Africa-specific investment thesis relevant to future Sierra Leone expansion.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fricabusinesscommunities.com/finance/rising-academies-to-close-series-a-investment-of-425m-led-by-klett-kita-and-schule-gmbh/" TargetMode="External" /><Relationship Type="http://schemas.openxmlformats.org/officeDocument/2006/relationships/hyperlink" Id="rId27" Target="https://edtechhub.org/where-we-work/africa/sierra-leone/" TargetMode="External" /><Relationship Type="http://schemas.openxmlformats.org/officeDocument/2006/relationships/hyperlink" Id="rId24" Target="https://en.wikipedia.org/wiki/Education_financing_in_Sierra_Leone" TargetMode="External" /><Relationship Type="http://schemas.openxmlformats.org/officeDocument/2006/relationships/hyperlink" Id="rId29" Target="https://ieg.worldbankgroup.org/evaluations/confronting-learning-crisis/chapter-1-background" TargetMode="External" /><Relationship Type="http://schemas.openxmlformats.org/officeDocument/2006/relationships/hyperlink" Id="rId26" Target="https://macrotrends.net/global-metrics/countries/sle/sierra-leone/literacy-rate" TargetMode="External" /><Relationship Type="http://schemas.openxmlformats.org/officeDocument/2006/relationships/hyperlink" Id="rId20" Target="https://smartimpactconsult.com" TargetMode="External" /><Relationship Type="http://schemas.openxmlformats.org/officeDocument/2006/relationships/hyperlink" Id="rId35" Target="https://teachertaskforce.org/geographic-topic/sierra-leone" TargetMode="External" /><Relationship Type="http://schemas.openxmlformats.org/officeDocument/2006/relationships/hyperlink" Id="rId32" Target="https://tracxn.com/d/companies/eneza-education/__Wf-W8ylduCxWTMDOSyarwiKPBXXKwMyHhBDRvos6AJg" TargetMode="External" /><Relationship Type="http://schemas.openxmlformats.org/officeDocument/2006/relationships/hyperlink" Id="rId23" Target="https://www.globalpartnership.org/blog/sierra-leone-more-efficient-and-equitable-education-financing" TargetMode="External" /><Relationship Type="http://schemas.openxmlformats.org/officeDocument/2006/relationships/hyperlink" Id="rId25" Target="https://www.risingacademies.com/impact" TargetMode="External" /></Relationships>
</file>

<file path=word/_rels/footnotes.xml.rels><?xml version="1.0" encoding="UTF-8"?><Relationships xmlns="http://schemas.openxmlformats.org/package/2006/relationships"><Relationship Type="http://schemas.openxmlformats.org/officeDocument/2006/relationships/hyperlink" Id="rId31" Target="https://africabusinesscommunities.com/finance/rising-academies-to-close-series-a-investment-of-425m-led-by-klett-kita-and-schule-gmbh/" TargetMode="External" /><Relationship Type="http://schemas.openxmlformats.org/officeDocument/2006/relationships/hyperlink" Id="rId27" Target="https://edtechhub.org/where-we-work/africa/sierra-leone/" TargetMode="External" /><Relationship Type="http://schemas.openxmlformats.org/officeDocument/2006/relationships/hyperlink" Id="rId24" Target="https://en.wikipedia.org/wiki/Education_financing_in_Sierra_Leone" TargetMode="External" /><Relationship Type="http://schemas.openxmlformats.org/officeDocument/2006/relationships/hyperlink" Id="rId29" Target="https://ieg.worldbankgroup.org/evaluations/confronting-learning-crisis/chapter-1-background" TargetMode="External" /><Relationship Type="http://schemas.openxmlformats.org/officeDocument/2006/relationships/hyperlink" Id="rId26" Target="https://macrotrends.net/global-metrics/countries/sle/sierra-leone/literacy-rate" TargetMode="External" /><Relationship Type="http://schemas.openxmlformats.org/officeDocument/2006/relationships/hyperlink" Id="rId20" Target="https://smartimpactconsult.com" TargetMode="External" /><Relationship Type="http://schemas.openxmlformats.org/officeDocument/2006/relationships/hyperlink" Id="rId35" Target="https://teachertaskforce.org/geographic-topic/sierra-leone" TargetMode="External" /><Relationship Type="http://schemas.openxmlformats.org/officeDocument/2006/relationships/hyperlink" Id="rId32" Target="https://tracxn.com/d/companies/eneza-education/__Wf-W8ylduCxWTMDOSyarwiKPBXXKwMyHhBDRvos6AJg" TargetMode="External" /><Relationship Type="http://schemas.openxmlformats.org/officeDocument/2006/relationships/hyperlink" Id="rId23" Target="https://www.globalpartnership.org/blog/sierra-leone-more-efficient-and-equitable-education-financing" TargetMode="External" /><Relationship Type="http://schemas.openxmlformats.org/officeDocument/2006/relationships/hyperlink" Id="rId25" Target="https://www.risingacademies.com/impa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2026-09-23T07:29:24Z</dcterms:created>
  <dcterms:modified xsi:type="dcterms:W3CDTF">2026-09-23T07:29:24Z</dcterms:modified>
</cp:coreProperties>
</file>

<file path=docProps/custom.xml><?xml version="1.0" encoding="utf-8"?>
<Properties xmlns="http://schemas.openxmlformats.org/officeDocument/2006/custom-properties" xmlns:vt="http://schemas.openxmlformats.org/officeDocument/2006/docPropsVTypes"/>
</file>