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Communications and Knowledge Consultant, Innovation SL | Expression of Interest</w:t>
      </w:r>
    </w:p>
    <w:p>
      <w:pPr>
        <w:pStyle w:val="Heading2"/>
      </w:pPr>
      <w:r>
        <w:t xml:space="preserve">Suitability</w:t>
      </w:r>
    </w:p>
    <w:p>
      <w:pPr/>
      <w:r>
        <w:t xml:space="preserve">Regina Love Clarkson is the founder and Head of Impact Investments at Smart Impact Consult (smartimpactconsult.com), the impact practice of Smart Investment, which has operated from Sierra Leone since 2001. She is based in Sierra Leone, holds a BSc in Business Information Technology and has more than nine years’ experience in impact investing, including impact measurement, storytelling and reporting. Under her leadership, SIC has turned impact data into stories that decision-makers read and trust: the five-year social impact report for Fishbowl Challenge, the 2022 impact report for Skool Grind SL, and research papers published through the SIC Insights Hub.</w:t>
      </w:r>
    </w:p>
    <w:p>
      <w:pPr/>
      <w:r>
        <w:t xml:space="preserve">She is also Fund and Transaction Advisor to the Ministry of Communications, Technology and Innovation, Sierra Leone, for the Sierra Leone Innovation and Investment Fund, and co-built Signals Africa, which turns African media data into structured investment signals. Her approach combines structured research with careful interviewing and listening, so that implementation experience is documented in participants’ own context, with observation, reported experience and verified project evidence kept separate. She is comfortable working across multidisciplinary material and translating technical or project-specific information into clear language without removing the evidence or qualifications behind it.</w:t>
      </w:r>
    </w:p>
    <w:p>
      <w:pPr/>
      <w:r>
        <w:t xml:space="preserve">The Freetown Regional Food Resilience Corridor Pilot sits where two of SIC’s focus sectors meet: agriculture and food systems, and renewable energy and clean tech. Regina will lead all site work in Freetown and the corridor, supported on defined tasks by the Smart Impact Consult team (see Support from Smart Impact Consult).</w:t>
      </w:r>
    </w:p>
    <w:p>
      <w:pPr/>
      <w:r>
        <w:t xml:space="preserve">Regina will structure the communications and knowledge work around three commitments, each of which shapes what she writes and how she gathers it:</w:t>
      </w:r>
    </w:p>
    <w:p>
      <w:pPr>
        <w:pStyle w:val="ListParagraph"/>
        <w:numPr>
          <w:ilvl w:val="0"/>
          <w:numId w:val="2"/>
        </w:numPr>
      </w:pPr>
      <w:r>
        <w:rPr>
          <w:b/>
        </w:rPr>
        <w:t xml:space="preserve">Connected story, not four activities.</w:t>
      </w:r>
      <w:r>
        <w:t xml:space="preserve"> The pilot's value lies in how processor, energy, waste and market improvements reinforce each other. The content will show those links and the change they aim to produce.</w:t>
      </w:r>
    </w:p>
    <w:p>
      <w:pPr>
        <w:pStyle w:val="ListParagraph"/>
        <w:numPr>
          <w:ilvl w:val="0"/>
          <w:numId w:val="2"/>
        </w:numPr>
      </w:pPr>
      <w:r>
        <w:rPr>
          <w:b/>
        </w:rPr>
        <w:t xml:space="preserve">Honest learning.</w:t>
      </w:r>
      <w:r>
        <w:t xml:space="preserve"> The role asks for challenges, adaptations and unexpected results, and for a clear line between emerging findings and demonstrated results. Claims will be checked with technical and M&amp;E colleagues before publication, with emerging findings clearly distinguished from demonstrated results.</w:t>
      </w:r>
    </w:p>
    <w:p>
      <w:pPr>
        <w:pStyle w:val="ListParagraph"/>
        <w:numPr>
          <w:ilvl w:val="0"/>
          <w:numId w:val="2"/>
        </w:numPr>
      </w:pPr>
      <w:r>
        <w:rPr>
          <w:b/>
        </w:rPr>
        <w:t xml:space="preserve">Respect for the people featured.</w:t>
      </w:r>
      <w:r>
        <w:t xml:space="preserve"> Stories and photographs from processors and communities need informed consent, attribution and confidentiality built into the workflow from the first interview.</w:t>
      </w:r>
    </w:p>
    <w:p>
      <w:pPr>
        <w:pStyle w:val="Heading2"/>
      </w:pPr>
      <w:r>
        <w:t xml:space="preserve">Indicative Approach</w:t>
      </w:r>
    </w:p>
    <w:p>
      <w:pPr/>
      <w:r>
        <w:t xml:space="preserve">Regina will deliver every output in the terms of reference, built around one rule: each product is traceable to a verified source, with consent on file.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Phase</w:t>
            </w:r>
          </w:p>
        </w:tc>
        <w:tc>
          <w:tcPr>
            <w:tcW w:w="3120" w:type="dxa"/>
            <w:shd w:val="clear" w:color="auto" w:fill="F2F2F2"/>
          </w:tcPr>
          <w:p>
            <w:pPr/>
            <w:r>
              <w:t xml:space="preserve">Activity</w:t>
            </w:r>
          </w:p>
        </w:tc>
        <w:tc>
          <w:tcPr>
            <w:tcW w:w="3120" w:type="dxa"/>
            <w:shd w:val="clear" w:color="auto" w:fill="F2F2F2"/>
          </w:tcPr>
          <w:p>
            <w:pPr/>
            <w:r>
              <w:t xml:space="preserve">Output</w:t>
            </w:r>
          </w:p>
        </w:tc>
      </w:tr>
      <w:tr>
        <w:tc>
          <w:tcPr>
            <w:tcW w:w="3120" w:type="dxa"/>
          </w:tcPr>
          <w:p>
            <w:pPr/>
            <w:r>
              <w:t xml:space="preserve">1. Set-up (months 1–2)</w:t>
            </w:r>
          </w:p>
        </w:tc>
        <w:tc>
          <w:tcPr>
            <w:tcW w:w="3120" w:type="dxa"/>
          </w:tcPr>
          <w:p>
            <w:pPr/>
            <w:r>
              <w:t xml:space="preserve">Review project documents; interview the Coordinator and technical specialists; agree the audience map, consent protocol and evidence register</w:t>
            </w:r>
          </w:p>
        </w:tc>
        <w:tc>
          <w:tcPr>
            <w:tcW w:w="3120" w:type="dxa"/>
          </w:tcPr>
          <w:p>
            <w:pPr/>
            <w:r>
              <w:t xml:space="preserve">Documentation and communications plan</w:t>
            </w:r>
          </w:p>
        </w:tc>
      </w:tr>
      <w:tr>
        <w:tc>
          <w:tcPr>
            <w:tcW w:w="3120" w:type="dxa"/>
          </w:tcPr>
          <w:p>
            <w:pPr/>
            <w:r>
              <w:t xml:space="preserve">2. Documentation (months 2–15)</w:t>
            </w:r>
          </w:p>
        </w:tc>
        <w:tc>
          <w:tcPr>
            <w:tcW w:w="3120" w:type="dxa"/>
          </w:tcPr>
          <w:p>
            <w:pPr/>
            <w:r>
              <w:t xml:space="preserve">Site visits and structured interviews with processors, community members and technical colleagues; keep a learning log of challenges, adaptations and unexpected results</w:t>
            </w:r>
          </w:p>
        </w:tc>
        <w:tc>
          <w:tcPr>
            <w:tcW w:w="3120" w:type="dxa"/>
          </w:tcPr>
          <w:p>
            <w:pPr/>
            <w:r>
              <w:t xml:space="preserve">Participant stories, case studies, learning notes</w:t>
            </w:r>
          </w:p>
        </w:tc>
      </w:tr>
      <w:tr>
        <w:tc>
          <w:tcPr>
            <w:tcW w:w="3120" w:type="dxa"/>
          </w:tcPr>
          <w:p>
            <w:pPr/>
            <w:r>
              <w:t xml:space="preserve">3. Communication and learning events (months 2–17)</w:t>
            </w:r>
          </w:p>
        </w:tc>
        <w:tc>
          <w:tcPr>
            <w:tcW w:w="3120" w:type="dxa"/>
          </w:tcPr>
          <w:p>
            <w:pPr/>
            <w:r>
              <w:t xml:space="preserve">Adapt one verified core for reports, presentations, the website and social media; prepare and support learning events with materials that help participants understand and apply the project's findings</w:t>
            </w:r>
          </w:p>
        </w:tc>
        <w:tc>
          <w:tcPr>
            <w:tcW w:w="3120" w:type="dxa"/>
          </w:tcPr>
          <w:p>
            <w:pPr/>
            <w:r>
              <w:t xml:space="preserve">Project briefs, presentations, web and social content, event materials</w:t>
            </w:r>
          </w:p>
        </w:tc>
      </w:tr>
      <w:tr>
        <w:tc>
          <w:tcPr>
            <w:tcW w:w="3120" w:type="dxa"/>
          </w:tcPr>
          <w:p>
            <w:pPr/>
            <w:r>
              <w:t xml:space="preserve">4. Synthesis and handover (months 15–18)</w:t>
            </w:r>
          </w:p>
        </w:tc>
        <w:tc>
          <w:tcPr>
            <w:tcW w:w="3120" w:type="dxa"/>
          </w:tcPr>
          <w:p>
            <w:pPr/>
            <w:r>
              <w:t xml:space="preserve">Final learning materials and cross-cutting lessons; an organised, editable archive with sources passed to the Project Support and Documentation Assistant</w:t>
            </w:r>
          </w:p>
        </w:tc>
        <w:tc>
          <w:tcPr>
            <w:tcW w:w="3120" w:type="dxa"/>
          </w:tcPr>
          <w:p>
            <w:pPr/>
            <w:r>
              <w:t xml:space="preserve">Final learning materials, knowledge handover</w:t>
            </w:r>
          </w:p>
        </w:tc>
      </w:tr>
    </w:tbl>
    <w:p>
      <w:pPr>
        <w:pStyle w:val="Heading2"/>
      </w:pPr>
      <w:r>
        <w:t xml:space="preserve">Relevant experience</w:t>
      </w:r>
    </w:p>
    <w:p>
      <w:pPr/>
      <w:r>
        <w:t xml:space="preserve">SIC’s record shows Regina can write for decision-makers, design for readers and work with small businesses and communities in Sierra Leone.</w:t>
      </w:r>
    </w:p>
    <w:p>
      <w:pPr>
        <w:pStyle w:val="ListParagraph"/>
        <w:numPr>
          <w:ilvl w:val="0"/>
          <w:numId w:val="3"/>
        </w:numPr>
      </w:pPr>
      <w:r>
        <w:rPr>
          <w:b/>
        </w:rPr>
        <w:t xml:space="preserve">Impact reports and participant stories.</w:t>
      </w:r>
      <w:r>
        <w:t xml:space="preserve"> The five-year social impact report for Fishbowl Challenge, capturing milestones, participant stories and measurable change, and the 2022 impact report for Skool Grind SL on education programmes in Sierra Leone.</w:t>
      </w:r>
    </w:p>
    <w:p>
      <w:pPr>
        <w:pStyle w:val="ListParagraph"/>
        <w:numPr>
          <w:ilvl w:val="0"/>
          <w:numId w:val="3"/>
        </w:numPr>
      </w:pPr>
      <w:r>
        <w:rPr>
          <w:b/>
        </w:rPr>
        <w:t xml:space="preserve">Published research.</w:t>
      </w:r>
      <w:r>
        <w:t xml:space="preserve"> Research papers on Africa's impact investment landscape, including </w:t>
      </w:r>
      <w:r>
        <w:rPr>
          <w:i/>
        </w:rPr>
        <w:t xml:space="preserve">The Missing Middle in Africa's Impact Investing Ecosystem</w:t>
      </w:r>
      <w:r>
        <w:t xml:space="preserve"> and </w:t>
      </w:r>
      <w:r>
        <w:rPr>
          <w:i/>
        </w:rPr>
        <w:t xml:space="preserve">The State of ESG Reporting for Emerging Fund Managers in Africa</w:t>
      </w:r>
      <w:r>
        <w:t xml:space="preserve"> (September 2026), available through our Insights Hub.</w:t>
      </w:r>
    </w:p>
    <w:p>
      <w:pPr>
        <w:pStyle w:val="ListParagraph"/>
        <w:numPr>
          <w:ilvl w:val="0"/>
          <w:numId w:val="3"/>
        </w:numPr>
      </w:pPr>
      <w:r>
        <w:rPr>
          <w:b/>
        </w:rPr>
        <w:t xml:space="preserve">Verified evidence for public-sector clients.</w:t>
      </w:r>
      <w:r>
        <w:t xml:space="preserve"> Source-linked evidence registers, progress notes and plain-language ministerial briefing packs on a current Sierra Leone government engagement, separating established findings from claims still being tested.</w:t>
      </w:r>
    </w:p>
    <w:p>
      <w:pPr>
        <w:pStyle w:val="ListParagraph"/>
        <w:numPr>
          <w:ilvl w:val="0"/>
          <w:numId w:val="3"/>
        </w:numPr>
      </w:pPr>
      <w:r>
        <w:rPr>
          <w:b/>
        </w:rPr>
        <w:t xml:space="preserve">Multi-channel content.</w:t>
      </w:r>
      <w:r>
        <w:t xml:space="preserve"> A 20-post LinkedIn series on ESG and DFI readiness, with carousel formats reaching 43–81% engagement, tracked in a performance calendar.</w:t>
      </w:r>
    </w:p>
    <w:p>
      <w:pPr>
        <w:pStyle w:val="ListParagraph"/>
        <w:numPr>
          <w:ilvl w:val="0"/>
          <w:numId w:val="3"/>
        </w:numPr>
      </w:pPr>
      <w:r>
        <w:rPr>
          <w:b/>
        </w:rPr>
        <w:t xml:space="preserve">Learning events.</w:t>
      </w:r>
      <w:r>
        <w:t xml:space="preserve"> The Capital Ignition Workshop Series, engaging 115 founders from across Africa.</w:t>
      </w:r>
    </w:p>
    <w:p>
      <w:pPr>
        <w:pStyle w:val="ListParagraph"/>
        <w:numPr>
          <w:ilvl w:val="0"/>
          <w:numId w:val="3"/>
        </w:numPr>
      </w:pPr>
      <w:r>
        <w:rPr>
          <w:b/>
        </w:rPr>
        <w:t xml:space="preserve">Visual storytelling.</w:t>
      </w:r>
      <w:r>
        <w:t xml:space="preserve"> Marketing materials, social content and a website redesign for AfriGas Sierra Leone, a clean cooking-gas provider; brand identities for One Girl Org and Whispered Prayers.</w:t>
      </w:r>
    </w:p>
    <w:p>
      <w:pPr>
        <w:pStyle w:val="Heading2"/>
      </w:pPr>
      <w:r>
        <w:t xml:space="preserve">Availability and rate</w:t>
      </w:r>
    </w:p>
    <w:p>
      <w:pPr/>
      <w:r>
        <w:rPr>
          <w:b/>
        </w:rPr>
        <w:t xml:space="preserve">Proposed consultancy rate:</w:t>
      </w:r>
      <w:r>
        <w:t xml:space="preserve"> USD 150 per consultant day, exclusive of approved travel and other directly incurred project expenses. Travel to project sites within Sierra Leone is reimbursed at agreed cost.</w:t>
      </w:r>
    </w:p>
    <w:p>
      <w:pPr/>
      <w:r>
        <w:rPr>
          <w:b/>
        </w:rPr>
        <w:t xml:space="preserve">Availability:</w:t>
      </w:r>
      <w:r>
        <w:t xml:space="preserve"> from 15 October 2026, averaging 10 consultant days per month, with flexibility to increase during agreed site visits, documentation periods and learning events. She is ready to complete the practical writing assessment if shortlisted.</w:t>
      </w:r>
    </w:p>
    <w:p>
      <w:pPr>
        <w:pStyle w:val="Heading2"/>
      </w:pPr>
      <w:r>
        <w:t xml:space="preserve">Support from Smart Impact Consult</w:t>
      </w:r>
    </w:p>
    <w:p>
      <w:pPr/>
      <w:r>
        <w:t xml:space="preserve">Regina carries the assignment and is the single point of accountability to the Project Coordinator. For defined tasks, colleagues at Smart Impact Consult support her under the same individual consultancy arrangement: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Consultant</w:t>
            </w:r>
          </w:p>
        </w:tc>
        <w:tc>
          <w:tcPr>
            <w:tcW w:w="3120" w:type="dxa"/>
            <w:shd w:val="clear" w:color="auto" w:fill="F2F2F2"/>
          </w:tcPr>
          <w:p>
            <w:pPr/>
            <w:r>
              <w:t xml:space="preserve">Role</w:t>
            </w:r>
          </w:p>
        </w:tc>
        <w:tc>
          <w:tcPr>
            <w:tcW w:w="3120" w:type="dxa"/>
            <w:shd w:val="clear" w:color="auto" w:fill="F2F2F2"/>
          </w:tcPr>
          <w:p>
            <w:pPr/>
            <w:r>
              <w:t xml:space="preserve">Relevant experience</w:t>
            </w:r>
          </w:p>
        </w:tc>
      </w:tr>
      <w:tr>
        <w:tc>
          <w:tcPr>
            <w:tcW w:w="3120" w:type="dxa"/>
          </w:tcPr>
          <w:p>
            <w:pPr/>
            <w:r>
              <w:t xml:space="preserve">Boisy V.A. Williams</w:t>
            </w:r>
          </w:p>
        </w:tc>
        <w:tc>
          <w:tcPr>
            <w:tcW w:w="3120" w:type="dxa"/>
          </w:tcPr>
          <w:p>
            <w:pPr/>
            <w:r>
              <w:t xml:space="preserve">Safeguarding, consent and donor-reporting adviser</w:t>
            </w:r>
          </w:p>
        </w:tc>
        <w:tc>
          <w:tcPr>
            <w:tcW w:w="3120" w:type="dxa"/>
          </w:tcPr>
          <w:p>
            <w:pPr/>
            <w:r>
              <w:t xml:space="preserve">26 years with the Norwegian Refugee Council, Danish Refugee Council and CARE International, managing donor-funded programmes and community engagement. Fluent in English, French and Krio.</w:t>
            </w:r>
          </w:p>
        </w:tc>
      </w:tr>
      <w:tr>
        <w:tc>
          <w:tcPr>
            <w:tcW w:w="3120" w:type="dxa"/>
          </w:tcPr>
          <w:p>
            <w:pPr/>
            <w:r>
              <w:t xml:space="preserve">Caroline McCoy</w:t>
            </w:r>
          </w:p>
        </w:tc>
        <w:tc>
          <w:tcPr>
            <w:tcW w:w="3120" w:type="dxa"/>
          </w:tcPr>
          <w:p>
            <w:pPr/>
            <w:r>
              <w:t xml:space="preserve">Learning design and knowledge archive structure</w:t>
            </w:r>
          </w:p>
        </w:tc>
        <w:tc>
          <w:tcPr>
            <w:tcW w:w="3120" w:type="dxa"/>
          </w:tcPr>
          <w:p>
            <w:pPr/>
            <w:r>
              <w:t xml:space="preserve">Directed a USD 6m annual portfolio across 80+ organisations at Woods Fund Chicago and redesigned portfolio systems to standardise data across diverse reporting entities.</w:t>
            </w:r>
          </w:p>
        </w:tc>
      </w:tr>
      <w:tr>
        <w:tc>
          <w:tcPr>
            <w:tcW w:w="3120" w:type="dxa"/>
          </w:tcPr>
          <w:p>
            <w:pPr/>
            <w:r>
              <w:t xml:space="preserve">Damilare Jegede</w:t>
            </w:r>
          </w:p>
        </w:tc>
        <w:tc>
          <w:tcPr>
            <w:tcW w:w="3120" w:type="dxa"/>
          </w:tcPr>
          <w:p>
            <w:pPr/>
            <w:r>
              <w:t xml:space="preserve">Visual communication: layouts, infographics, social graphics</w:t>
            </w:r>
          </w:p>
        </w:tc>
        <w:tc>
          <w:tcPr>
            <w:tcW w:w="3120" w:type="dxa"/>
          </w:tcPr>
          <w:p>
            <w:pPr/>
            <w:r>
              <w:t xml:space="preserve">Lead Impact Design Consultant, Smart Impact Consult. Leads brand identity, visual design and creative direction; delivered marketing materials and a full website redesign for AfriGas Sierra Leone, and brand identities for One Girl Org and Whispered Prayers.</w:t>
            </w:r>
          </w:p>
        </w:tc>
      </w:tr>
      <w:tr>
        <w:tc>
          <w:tcPr>
            <w:tcW w:w="3120" w:type="dxa"/>
          </w:tcPr>
          <w:p>
            <w:pPr/>
            <w:r>
              <w:t xml:space="preserve">Anastasia Muthoni</w:t>
            </w:r>
          </w:p>
        </w:tc>
        <w:tc>
          <w:tcPr>
            <w:tcW w:w="3120" w:type="dxa"/>
          </w:tcPr>
          <w:p>
            <w:pPr/>
            <w:r>
              <w:t xml:space="preserve">Evidence verification and consent log</w:t>
            </w:r>
          </w:p>
        </w:tc>
        <w:tc>
          <w:tcPr>
            <w:tcW w:w="3120" w:type="dxa"/>
          </w:tcPr>
          <w:p>
            <w:pPr/>
            <w:r>
              <w:t xml:space="preserve">Investment Operations Lead, Smart Impact Consult. BSc, MBA. Report and article research and writing for SIC, including The State of ESG Reporting for Emerging Fund Managers in Africa, writes and publishes company articles including all the 2026 articles on SIC website; creates dashboards for SIC clients and projects; social media content research and creation for SIC. Designed the curriculum for an AI and IoT bootcamp for coastal youth in Sierra Leone.</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Communications and Knowledge Consultant, Innovation SL  Expression of Interest</dc:title>
  <dc:description>Claude Docs node/7d086228-c3e6@62 docx-w6</dc:description>
  <cp:revision>62</cp:revision>
</cp:coreProperties>
</file>