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Expression of Interest: Consultancy Services for the Valuation of Ecosystem Services</w:t>
      </w:r>
    </w:p>
    <w:p>
      <w:r>
        <w:t>Submitted to: Ministry of the Environment and Climate Change, Freetown, Sierra Leone</w:t>
        <w:br/>
        <w:t>Submitted by: Regina Love Clarkson, individual consultant</w:t>
        <w:br/>
        <w:t>Date: [insert on submission]</w:t>
        <w:br/>
        <w:t>Deadline: 16 October 2026 [confirm time and submission method from the notice]</w:t>
      </w:r>
    </w:p>
    <w:p>
      <w:r>
        <w:t>DRAFT: sections marked [TBC] depend on the terms of reference and must be completed or removed once Regina has the ToR from the Ministry.</w:t>
      </w:r>
    </w:p>
    <w:p>
      <w:pPr>
        <w:pStyle w:val="Heading2"/>
      </w:pPr>
      <w:r>
        <w:t>1. Suitability</w:t>
      </w:r>
    </w:p>
    <w:p>
      <w:r>
        <w:t>Regina Love Clarkson is the founder and Head of Impact Investments at Smart Impact Consult (smartimpactconsult.com), the impact practice of Smart Investment, which has operated from Sierra Leone since 2001. She is based in Freetown, holds a BSc in Business Information Technology and has more than nine years’ experience in impact investing, including impact measurement, applied research and reporting.</w:t>
      </w:r>
    </w:p>
    <w:p>
      <w:r>
        <w:t>She works at the point where evidence meets investment decisions. She is Fund and Transaction Advisor to the Ministry of Communications, Technology and Innovation for the Sierra Leone Innovation and Investment Fund, and her published research includes The Missing Middle in Africa’s Impact Investing Ecosystem and The State of ESG Reporting for Emerging Fund Managers in Africa (September 2026), available through the SIC Insights Hub. Valuing ecosystem services is a precursor to payments for ecosystem services and green finance, which is the investment end of the field she works in.</w:t>
      </w:r>
    </w:p>
    <w:p>
      <w:pPr>
        <w:pStyle w:val="Heading2"/>
      </w:pPr>
      <w:r>
        <w:t>2. Understanding of the assignment [TBC against the ToR]</w:t>
      </w:r>
    </w:p>
    <w:p>
      <w:r>
        <w:t>The Ministry seeks a consultant to value the ecosystem services [TBC: which ecosystems and sites, e.g. forest, mangrove, watershed] so that the results can inform policy, planning and financing decisions, including payments for ecosystem services and green finance. [TBC: insert the objectives, outputs and timeline exactly as stated in the ToR.]</w:t>
      </w:r>
    </w:p>
    <w:p>
      <w:pPr>
        <w:pStyle w:val="Heading2"/>
      </w:pPr>
      <w:r>
        <w:t>3. Indicative approach [TBC against the 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Activity</w:t>
            </w:r>
          </w:p>
        </w:tc>
        <w:tc>
          <w:tcPr>
            <w:tcW w:type="dxa" w:w="2880"/>
          </w:tcPr>
          <w:p>
            <w:r>
              <w:t>Output</w:t>
            </w:r>
          </w:p>
        </w:tc>
      </w:tr>
      <w:tr>
        <w:tc>
          <w:tcPr>
            <w:tcW w:type="dxa" w:w="2880"/>
          </w:tcPr>
          <w:p>
            <w:r>
              <w:t>1. Inception</w:t>
            </w:r>
          </w:p>
        </w:tc>
        <w:tc>
          <w:tcPr>
            <w:tcW w:type="dxa" w:w="2880"/>
          </w:tcPr>
          <w:p>
            <w:r>
              <w:t>Review the ToR, existing studies and national policy; agree scope, methods and data sources with the Ministry</w:t>
            </w:r>
          </w:p>
        </w:tc>
        <w:tc>
          <w:tcPr>
            <w:tcW w:type="dxa" w:w="2880"/>
          </w:tcPr>
          <w:p>
            <w:r>
              <w:t>Inception report with method and work plan</w:t>
            </w:r>
          </w:p>
        </w:tc>
      </w:tr>
      <w:tr>
        <w:tc>
          <w:tcPr>
            <w:tcW w:type="dxa" w:w="2880"/>
          </w:tcPr>
          <w:p>
            <w:r>
              <w:t>2. Evidence and valuation</w:t>
            </w:r>
          </w:p>
        </w:tc>
        <w:tc>
          <w:tcPr>
            <w:tcW w:type="dxa" w:w="2880"/>
          </w:tcPr>
          <w:p>
            <w:r>
              <w:t>Identify and classify the ecosystem services; collect biophysical, economic and stakeholder data; apply the valuation methods agreed with the Ministry [TBC: methods named in the ToR]</w:t>
            </w:r>
          </w:p>
        </w:tc>
        <w:tc>
          <w:tcPr>
            <w:tcW w:type="dxa" w:w="2880"/>
          </w:tcPr>
          <w:p>
            <w:r>
              <w:t>Valuation dataset and draft estimates with stated assumptions and uncertainty</w:t>
            </w:r>
          </w:p>
        </w:tc>
      </w:tr>
      <w:tr>
        <w:tc>
          <w:tcPr>
            <w:tcW w:type="dxa" w:w="2880"/>
          </w:tcPr>
          <w:p>
            <w:r>
              <w:t>3. Application</w:t>
            </w:r>
          </w:p>
        </w:tc>
        <w:tc>
          <w:tcPr>
            <w:tcW w:type="dxa" w:w="2880"/>
          </w:tcPr>
          <w:p>
            <w:r>
              <w:t>Translate the results into implications for payments for ecosystem services, conservation finance and planning</w:t>
            </w:r>
          </w:p>
        </w:tc>
        <w:tc>
          <w:tcPr>
            <w:tcW w:type="dxa" w:w="2880"/>
          </w:tcPr>
          <w:p>
            <w:r>
              <w:t>Policy and financing options note</w:t>
            </w:r>
          </w:p>
        </w:tc>
      </w:tr>
      <w:tr>
        <w:tc>
          <w:tcPr>
            <w:tcW w:type="dxa" w:w="2880"/>
          </w:tcPr>
          <w:p>
            <w:r>
              <w:t>4. Reporting</w:t>
            </w:r>
          </w:p>
        </w:tc>
        <w:tc>
          <w:tcPr>
            <w:tcW w:type="dxa" w:w="2880"/>
          </w:tcPr>
          <w:p>
            <w:r>
              <w:t>Validation with the Ministry and stakeholders; final report and a plain-language summary</w:t>
            </w:r>
          </w:p>
        </w:tc>
        <w:tc>
          <w:tcPr>
            <w:tcW w:type="dxa" w:w="2880"/>
          </w:tcPr>
          <w:p>
            <w:r>
              <w:t>Final report, summary brief and handover of data</w:t>
            </w:r>
          </w:p>
        </w:tc>
      </w:tr>
    </w:tbl>
    <w:p/>
    <w:p>
      <w:r>
        <w:t>Each figure in the report will be traceable to a stated source and method, and the report will separate measured values from estimates and assumptions.</w:t>
      </w:r>
    </w:p>
    <w:p>
      <w:pPr>
        <w:pStyle w:val="Heading2"/>
      </w:pPr>
      <w:r>
        <w:t>4. Relevant experience</w:t>
      </w:r>
    </w:p>
    <w:p>
      <w:pPr>
        <w:pStyle w:val="ListBullet"/>
      </w:pPr>
      <w:r>
        <w:t>Research and evidence studies: published research papers on Africa’s impact investment landscape and ESG reporting practice, available through the SIC Insights Hub.</w:t>
      </w:r>
    </w:p>
    <w:p>
      <w:pPr>
        <w:pStyle w:val="ListBullet"/>
      </w:pPr>
      <w:r>
        <w:t>Impact measurement and reporting: the five-year social impact report for Fishbowl Challenge and the 2022 impact report for Skool Grind SL, both in Sierra Leone.</w:t>
      </w:r>
    </w:p>
    <w:p>
      <w:pPr>
        <w:pStyle w:val="ListBullet"/>
      </w:pPr>
      <w:r>
        <w:t>Public-sector advisory: Fund and Transaction Advisor to the Ministry of Communications, Technology and Innovation for the Sierra Leone Innovation and Investment Fund.</w:t>
      </w:r>
    </w:p>
    <w:p>
      <w:pPr>
        <w:pStyle w:val="ListBullet"/>
      </w:pPr>
      <w:r>
        <w:t>Sustainability and green finance: work on ESG and DFI readiness for emerging fund managers. [TBC: add any natural capital, environmental or climate assignments Regina has done, with the client, year and role.]</w:t>
      </w:r>
    </w:p>
    <w:p>
      <w:pPr>
        <w:pStyle w:val="Heading2"/>
      </w:pPr>
      <w:r>
        <w:t>5. Availability and rate</w:t>
      </w:r>
    </w:p>
    <w:p>
      <w:r>
        <w:t>Rate: USD [TBC] per consultant day, exclusive of approved travel and directly incurred expenses. Availability: [TBC against the ToR timeline]. Regina is based in Sierra Leone and can undertake site work in the Western Area and other locations without international travel.</w:t>
      </w:r>
    </w:p>
    <w:p>
      <w:pPr>
        <w:pStyle w:val="Heading2"/>
      </w:pPr>
      <w:r>
        <w:t>6. Attachments</w:t>
      </w:r>
    </w:p>
    <w:p>
      <w:pPr>
        <w:pStyle w:val="ListBullet"/>
      </w:pPr>
      <w:r>
        <w:t>Curriculum vitae of Regina Love Clarkson</w:t>
      </w:r>
    </w:p>
    <w:p>
      <w:pPr>
        <w:pStyle w:val="ListBullet"/>
      </w:pPr>
      <w:r>
        <w:t>Two writing or research samples [TBC: choose the most relevant]</w:t>
      </w:r>
    </w:p>
    <w:p>
      <w:pPr>
        <w:pStyle w:val="ListBullet"/>
      </w:pPr>
      <w:r>
        <w:t>[TBC: any further documents the ToR requires, such as certificates, references or tax and registration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