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Institutional Investor Appetite and Capital Mobilisation Assessment</w:t>
      </w:r>
    </w:p>
    <w:p>
      <w:r>
        <w:t>Revised proposal and budget (Lean option): investor mapping and key informant interview programme, South Africa, Kenya and Burkina Faso</w:t>
      </w:r>
    </w:p>
    <w:p>
      <w:r>
        <w:t>Submitted to: Impact Investors Foundation (IIF)</w:t>
        <w:br/>
        <w:t>Submitted by: Smart Investment (Sierra Leone), in partnership with Smart Impact Consult (smartimpactconsult.com)</w:t>
        <w:br/>
        <w:t>Lead contact: Regina Love Clarkson, Team Lead [add email and phone]</w:t>
        <w:br/>
        <w:t>Date: [insert on submission]</w:t>
      </w:r>
    </w:p>
    <w:p>
      <w:r>
        <w:t>DRAFT FOR REGINA’S REVIEW. Daily rates are carried over from our earlier proposals and must be confirmed. Direct costs are provisional. Items marked [TBC] need confirmation before this goes to IIF.</w:t>
      </w:r>
    </w:p>
    <w:p>
      <w:pPr>
        <w:pStyle w:val="Heading1"/>
      </w:pPr>
      <w:r>
        <w:t>1. Assignment overview</w:t>
      </w:r>
    </w:p>
    <w:p>
      <w:r>
        <w:t>IIF needs high-quality key informant interview (KII) data and supporting desk research from South Africa, Kenya and Burkina Faso. The data will help IIF assess how large the relevant institutional investor market is, who the investors are, what capital they can potentially deploy, and how their appetite aligns with the objectives and likely investment parameters of a proposed wholesale impact-investing fund in Nigeria.</w:t>
      </w:r>
    </w:p>
    <w:p>
      <w:r>
        <w:t>This proposal replaces our earlier Expression of Interest. It is scoped as a short engagement of about three weeks, led by three consultants working in parallel, with interviews held by phone or video and no travel. IIF leads the overall assessment methodology and final report. We lead the three-country investor mapping and the collection, processing, validation, documentation and handover of the interview data. This is our lean option: it is sized for up to 7 interviews per country, 21 in total.</w:t>
      </w:r>
    </w:p>
    <w:p>
      <w:pPr>
        <w:pStyle w:val="Heading1"/>
      </w:pPr>
      <w:r>
        <w:t>2. Understanding of the assignment</w:t>
      </w:r>
    </w:p>
    <w:p>
      <w:r>
        <w:t>We understand that IIF will integrate our outputs into a wider assessment. What IIF needs from us is therefore evidence that is organised, traceable and ready to use: a screened investor database, a consistent set of interview records, a cleaned dataset, and a synthesis that separates what respondents told us from what we found in secondary sources and from our own interpretation.</w:t>
      </w:r>
    </w:p>
    <w:p>
      <w:r>
        <w:t>We also understand that interview evidence is qualitative and indicative. Market-size estimates must rest on reliable secondary data and stated assumptions, and a purposive interview sample cannot be presented as statistically representative.</w:t>
      </w:r>
    </w:p>
    <w:p>
      <w:pPr>
        <w:pStyle w:val="Heading1"/>
      </w:pPr>
      <w:r>
        <w:t>3. Scope and methodology</w:t>
      </w:r>
    </w:p>
    <w:p>
      <w:pPr>
        <w:pStyle w:val="Heading2"/>
      </w:pPr>
      <w:r>
        <w:t>Workstream 1: Desk research and investor landscape mapping</w:t>
      </w:r>
    </w:p>
    <w:p>
      <w:pPr>
        <w:pStyle w:val="ListBullet"/>
      </w:pPr>
      <w:r>
        <w:t>Review secondary sources and available institutional investor data for each country.</w:t>
      </w:r>
    </w:p>
    <w:p>
      <w:pPr>
        <w:pStyle w:val="ListBullet"/>
      </w:pPr>
      <w:r>
        <w:t>Identify and map relevant institutional investors and other capital providers within the definition and scope agreed with IIF at inception.</w:t>
      </w:r>
    </w:p>
    <w:p>
      <w:pPr>
        <w:pStyle w:val="ListBullet"/>
      </w:pPr>
      <w:r>
        <w:t>Build a structured investor database recording, where available: name, institution type, investment focus, relevant geography, capital-allocation characteristics, impact-investing activity, and other screening indicators.</w:t>
      </w:r>
    </w:p>
    <w:p>
      <w:pPr>
        <w:pStyle w:val="ListBullet"/>
      </w:pPr>
      <w:r>
        <w:t>The database will focus on the largest and most relevant institutions in each market. It will not aim for full coverage of the universe, and will say where coverage is partial.</w:t>
      </w:r>
    </w:p>
    <w:p>
      <w:pPr>
        <w:pStyle w:val="ListBullet"/>
      </w:pPr>
      <w:r>
        <w:t>Estimate the size and characteristics of the relevant investor universe where credible data exist, and show the source and assumptions for every estimate.</w:t>
      </w:r>
    </w:p>
    <w:p>
      <w:pPr>
        <w:pStyle w:val="ListBullet"/>
      </w:pPr>
      <w:r>
        <w:t>Identify information gaps and mark each data point as verified, estimated or assumed.</w:t>
      </w:r>
    </w:p>
    <w:p>
      <w:pPr>
        <w:pStyle w:val="ListBullet"/>
      </w:pPr>
      <w:r>
        <w:t>Assess relevance to the proposed Nigerian wholesale impact-investing fund, without assuming that every investor identified is eligible or interested.</w:t>
      </w:r>
    </w:p>
    <w:p>
      <w:pPr>
        <w:pStyle w:val="Heading2"/>
      </w:pPr>
      <w:r>
        <w:t>Workstream 2: Key informant interview mobilisation and collection</w:t>
      </w:r>
    </w:p>
    <w:p>
      <w:pPr>
        <w:pStyle w:val="ListBullet"/>
      </w:pPr>
      <w:r>
        <w:t>Mobilise interviewees through the three consultants’ country networks and professional relationships, and coordinate with IIF on interviewees IIF identifies or introduces.</w:t>
      </w:r>
    </w:p>
    <w:p>
      <w:pPr>
        <w:pStyle w:val="ListBullet"/>
      </w:pPr>
      <w:r>
        <w:t>Agree an interview target and respondent profile with IIF at the start of the engagement.</w:t>
      </w:r>
    </w:p>
    <w:p>
      <w:pPr>
        <w:pStyle w:val="ListBullet"/>
      </w:pPr>
      <w:r>
        <w:t>Hold interviews by phone or video, as IIF has indicated is acceptable. Where feasible and agreed, local contacts may support. No travel is assumed or budgeted.</w:t>
      </w:r>
    </w:p>
    <w:p>
      <w:pPr>
        <w:pStyle w:val="ListBullet"/>
      </w:pPr>
      <w:r>
        <w:t>Use one interview guide and data-capture framework across all three countries, with country-specific adaptation, and French for Burkina Faso.</w:t>
      </w:r>
    </w:p>
    <w:p>
      <w:pPr>
        <w:pStyle w:val="ListBullet"/>
      </w:pPr>
      <w:r>
        <w:t>Capture evidence on investor appetite, mandates, ticket sizes, instruments, return expectations, risk appetite, impact priorities, allocation processes, barriers and conditions that could unlock capital.</w:t>
      </w:r>
    </w:p>
    <w:p>
      <w:pPr>
        <w:pStyle w:val="ListBullet"/>
      </w:pPr>
      <w:r>
        <w:t>Record findings systematically, distinguishing respondent evidence from secondary research and consultant interpretation.</w:t>
      </w:r>
    </w:p>
    <w:p>
      <w:pPr>
        <w:pStyle w:val="Heading2"/>
      </w:pPr>
      <w:r>
        <w:t>Workstream 3: Data processing, quality assurance and documentation</w:t>
      </w:r>
    </w:p>
    <w:p>
      <w:pPr>
        <w:pStyle w:val="ListBullet"/>
      </w:pPr>
      <w:r>
        <w:t>Consolidate interview notes, responses and secondary research into one structured dataset.</w:t>
      </w:r>
    </w:p>
    <w:p>
      <w:pPr>
        <w:pStyle w:val="ListBullet"/>
      </w:pPr>
      <w:r>
        <w:t>Produce structured interview records from notes or, with consent, recordings.</w:t>
      </w:r>
    </w:p>
    <w:p>
      <w:pPr>
        <w:pStyle w:val="ListBullet"/>
      </w:pPr>
      <w:r>
        <w:t>Standardise terminology, clean and validate the data, check inconsistencies, and flag missing or unverified information.</w:t>
      </w:r>
    </w:p>
    <w:p>
      <w:pPr>
        <w:pStyle w:val="ListBullet"/>
      </w:pPr>
      <w:r>
        <w:t>Synthesise findings by country and across the three markets.</w:t>
      </w:r>
    </w:p>
    <w:p>
      <w:pPr>
        <w:pStyle w:val="ListBullet"/>
      </w:pPr>
      <w:r>
        <w:t>Deliver the data and supporting records in agreed editable formats, with source references and confidentiality safeguards.</w:t>
      </w:r>
    </w:p>
    <w:p>
      <w:pPr>
        <w:pStyle w:val="Heading2"/>
      </w:pPr>
      <w:r>
        <w:t>Workstream 4: Handover and integration support</w:t>
      </w:r>
    </w:p>
    <w:p>
      <w:pPr>
        <w:pStyle w:val="ListBullet"/>
      </w:pPr>
      <w:r>
        <w:t>Submit the investor database, interview dataset, interview documentation, country syntheses and cross-country findings.</w:t>
      </w:r>
    </w:p>
    <w:p>
      <w:pPr>
        <w:pStyle w:val="ListBullet"/>
      </w:pPr>
      <w:r>
        <w:t>Hold a virtual handover session explaining the methodology, evidence base, limitations and key findings.</w:t>
      </w:r>
    </w:p>
    <w:p>
      <w:pPr>
        <w:pStyle w:val="ListBullet"/>
      </w:pPr>
      <w:r>
        <w:t>Answer one consolidated round of clarification or integration queries from IIF, limited to the delivered outputs, within 10 working days of handover.</w:t>
      </w:r>
    </w:p>
    <w:p>
      <w:pPr>
        <w:pStyle w:val="Heading1"/>
      </w:pPr>
      <w:r>
        <w:t>4. Shared-responsibility model with IIF</w:t>
      </w:r>
    </w:p>
    <w:p>
      <w:r>
        <w:t>The assignment is a hybrid in which IIF leads the overall assessment and the consultant team leads the three-country evidence collection. IIF’s responsibilities below are our proposed assumptions for agreement at inception. They are not established commitments.</w:t>
      </w:r>
    </w:p>
    <w:tbl>
      <w:tblPr>
        <w:tblStyle w:val="LightGrid-Accent1"/>
        <w:tblW w:type="auto" w:w="0"/>
        <w:tblLook w:firstColumn="1" w:firstRow="1" w:lastColumn="0" w:lastRow="0" w:noHBand="0" w:noVBand="1" w:val="04A0"/>
      </w:tblPr>
      <w:tblGrid>
        <w:gridCol w:w="4873"/>
        <w:gridCol w:w="4873"/>
      </w:tblGrid>
      <w:tr>
        <w:tc>
          <w:tcPr>
            <w:tcW w:type="dxa" w:w="4873"/>
          </w:tcPr>
          <w:p>
            <w:r>
              <w:t>Consultant team</w:t>
            </w:r>
          </w:p>
        </w:tc>
        <w:tc>
          <w:tcPr>
            <w:tcW w:type="dxa" w:w="4873"/>
          </w:tcPr>
          <w:p>
            <w:r>
              <w:t>IIF (proposed assumptions, to be confirmed)</w:t>
            </w:r>
          </w:p>
        </w:tc>
      </w:tr>
      <w:tr>
        <w:tc>
          <w:tcPr>
            <w:tcW w:type="dxa" w:w="4873"/>
          </w:tcPr>
          <w:p>
            <w:r>
              <w:t>Country-level investor mapping and targeted desk research</w:t>
            </w:r>
          </w:p>
        </w:tc>
        <w:tc>
          <w:tcPr>
            <w:tcW w:type="dxa" w:w="4873"/>
          </w:tcPr>
          <w:p>
            <w:r>
              <w:t>Provide the overall assessment framework and research questions</w:t>
            </w:r>
          </w:p>
        </w:tc>
      </w:tr>
      <w:tr>
        <w:tc>
          <w:tcPr>
            <w:tcW w:type="dxa" w:w="4873"/>
          </w:tcPr>
          <w:p>
            <w:r>
              <w:t>Investor screening and database development</w:t>
            </w:r>
          </w:p>
        </w:tc>
        <w:tc>
          <w:tcPr>
            <w:tcW w:type="dxa" w:w="4873"/>
          </w:tcPr>
          <w:p>
            <w:r>
              <w:t>Share existing research, templates, definitions and background documents</w:t>
            </w:r>
          </w:p>
        </w:tc>
      </w:tr>
      <w:tr>
        <w:tc>
          <w:tcPr>
            <w:tcW w:type="dxa" w:w="4873"/>
          </w:tcPr>
          <w:p>
            <w:r>
              <w:t>Mobilising interviewees through existing networks</w:t>
            </w:r>
          </w:p>
        </w:tc>
        <w:tc>
          <w:tcPr>
            <w:tcW w:type="dxa" w:w="4873"/>
          </w:tcPr>
          <w:p>
            <w:r>
              <w:t>Identify priority investor categories and clarify the proposed fund’s investment parameters</w:t>
            </w:r>
          </w:p>
        </w:tc>
      </w:tr>
      <w:tr>
        <w:tc>
          <w:tcPr>
            <w:tcW w:type="dxa" w:w="4873"/>
          </w:tcPr>
          <w:p>
            <w:r>
              <w:t>Coordinating interviews, including with contacts introduced by IIF</w:t>
            </w:r>
          </w:p>
        </w:tc>
        <w:tc>
          <w:tcPr>
            <w:tcW w:type="dxa" w:w="4873"/>
          </w:tcPr>
          <w:p>
            <w:r>
              <w:t>Make introductions to priority investors and arrange interviews where possible</w:t>
            </w:r>
          </w:p>
        </w:tc>
      </w:tr>
      <w:tr>
        <w:tc>
          <w:tcPr>
            <w:tcW w:type="dxa" w:w="4873"/>
          </w:tcPr>
          <w:p>
            <w:r>
              <w:t>Conducting interviews as agreed</w:t>
            </w:r>
          </w:p>
        </w:tc>
        <w:tc>
          <w:tcPr>
            <w:tcW w:type="dxa" w:w="4873"/>
          </w:tcPr>
          <w:p>
            <w:r>
              <w:t>Confirm the target number of interviews, expected outputs, formats and deadlines</w:t>
            </w:r>
          </w:p>
        </w:tc>
      </w:tr>
      <w:tr>
        <w:tc>
          <w:tcPr>
            <w:tcW w:type="dxa" w:w="4873"/>
          </w:tcPr>
          <w:p>
            <w:r>
              <w:t>Processing, structuring, cleaning and quality-assuring interview data</w:t>
            </w:r>
          </w:p>
        </w:tc>
        <w:tc>
          <w:tcPr>
            <w:tcW w:type="dxa" w:w="4873"/>
          </w:tcPr>
          <w:p>
            <w:r>
              <w:t>Integrate our outputs into the wider assessment and final report</w:t>
            </w:r>
          </w:p>
        </w:tc>
      </w:tr>
      <w:tr>
        <w:tc>
          <w:tcPr>
            <w:tcW w:type="dxa" w:w="4873"/>
          </w:tcPr>
          <w:p>
            <w:r>
              <w:t>Country-level and cross-country synthesis of the evidence</w:t>
            </w:r>
          </w:p>
        </w:tc>
        <w:tc>
          <w:tcPr>
            <w:tcW w:type="dxa" w:w="4873"/>
          </w:tcPr>
          <w:p>
            <w:r>
              <w:t>Provide timely feedback on drafts and answers to queries</w:t>
            </w:r>
          </w:p>
        </w:tc>
      </w:tr>
      <w:tr>
        <w:tc>
          <w:tcPr>
            <w:tcW w:type="dxa" w:w="4873"/>
          </w:tcPr>
          <w:p>
            <w:r>
              <w:t>Organised, traceable data and documentation to IIF</w:t>
            </w:r>
          </w:p>
        </w:tc>
        <w:tc>
          <w:tcPr>
            <w:tcW w:type="dxa" w:w="4873"/>
          </w:tcPr>
          <w:p>
            <w:r/>
          </w:p>
        </w:tc>
      </w:tr>
    </w:tbl>
    <w:p/>
    <w:p>
      <w:pPr>
        <w:pStyle w:val="Heading1"/>
      </w:pPr>
      <w:r>
        <w:t>5. Team structure</w:t>
      </w:r>
    </w:p>
    <w:tbl>
      <w:tblPr>
        <w:tblStyle w:val="LightGrid-Accent1"/>
        <w:tblW w:type="auto" w:w="0"/>
        <w:tblLook w:firstColumn="1" w:firstRow="1" w:lastColumn="0" w:lastRow="0" w:noHBand="0" w:noVBand="1" w:val="04A0"/>
      </w:tblPr>
      <w:tblGrid>
        <w:gridCol w:w="3249"/>
        <w:gridCol w:w="3249"/>
        <w:gridCol w:w="3249"/>
      </w:tblGrid>
      <w:tr>
        <w:tc>
          <w:tcPr>
            <w:tcW w:type="dxa" w:w="3249"/>
          </w:tcPr>
          <w:p>
            <w:r>
              <w:t>Consultant</w:t>
            </w:r>
          </w:p>
        </w:tc>
        <w:tc>
          <w:tcPr>
            <w:tcW w:type="dxa" w:w="3249"/>
          </w:tcPr>
          <w:p>
            <w:r>
              <w:t>Role</w:t>
            </w:r>
          </w:p>
        </w:tc>
        <w:tc>
          <w:tcPr>
            <w:tcW w:type="dxa" w:w="3249"/>
          </w:tcPr>
          <w:p>
            <w:r>
              <w:t>Responsibility</w:t>
            </w:r>
          </w:p>
        </w:tc>
      </w:tr>
      <w:tr>
        <w:tc>
          <w:tcPr>
            <w:tcW w:type="dxa" w:w="3249"/>
          </w:tcPr>
          <w:p>
            <w:r>
              <w:t>Regina Love Clarkson</w:t>
            </w:r>
          </w:p>
        </w:tc>
        <w:tc>
          <w:tcPr>
            <w:tcW w:type="dxa" w:w="3249"/>
          </w:tcPr>
          <w:p>
            <w:r>
              <w:t>Team Lead and Kenya Lead</w:t>
            </w:r>
          </w:p>
        </w:tc>
        <w:tc>
          <w:tcPr>
            <w:tcW w:type="dxa" w:w="3249"/>
          </w:tcPr>
          <w:p>
            <w:r>
              <w:t>Head of Impact Investments, Smart Impact Consult. Fund and Transaction Advisor to the Ministry of Communications, Technology and Innovation, Sierra Leone, for the Sierra Leone Innovation and Investment Fund. Overall delivery, IIF liaison, Kenya mapping and interviews, cross-country synthesis.</w:t>
            </w:r>
          </w:p>
        </w:tc>
      </w:tr>
      <w:tr>
        <w:tc>
          <w:tcPr>
            <w:tcW w:type="dxa" w:w="3249"/>
          </w:tcPr>
          <w:p>
            <w:r>
              <w:t>Caroline McCoy</w:t>
            </w:r>
          </w:p>
        </w:tc>
        <w:tc>
          <w:tcPr>
            <w:tcW w:type="dxa" w:w="3249"/>
          </w:tcPr>
          <w:p>
            <w:r>
              <w:t>South Africa Lead</w:t>
            </w:r>
          </w:p>
        </w:tc>
        <w:tc>
          <w:tcPr>
            <w:tcW w:type="dxa" w:w="3249"/>
          </w:tcPr>
          <w:p>
            <w:r>
              <w:t>About two decades across institutional capital allocation and portfolio systems, with professional experience spanning Chicago and Nairobi; directed a USD 6 million annual portfolio across 80+ organisations at Woods Fund Chicago. South Africa mapping, mobilisation and interviews.</w:t>
            </w:r>
          </w:p>
        </w:tc>
      </w:tr>
      <w:tr>
        <w:tc>
          <w:tcPr>
            <w:tcW w:type="dxa" w:w="3249"/>
          </w:tcPr>
          <w:p>
            <w:r>
              <w:t>Boisy V.A. Williams</w:t>
            </w:r>
          </w:p>
        </w:tc>
        <w:tc>
          <w:tcPr>
            <w:tcW w:type="dxa" w:w="3249"/>
          </w:tcPr>
          <w:p>
            <w:r>
              <w:t>Burkina Faso and Francophone Markets Lead</w:t>
            </w:r>
          </w:p>
        </w:tc>
        <w:tc>
          <w:tcPr>
            <w:tcW w:type="dxa" w:w="3249"/>
          </w:tcPr>
          <w:p>
            <w:r>
              <w:t>26 years of multi-country programme leadership, including three years as Area Manager for Burkina Faso (2014 to 2017); fluent in English, French and Krio. Burkina Faso mapping, mobilisation and interviews in French, and preparation of the French-language records.</w:t>
            </w:r>
          </w:p>
        </w:tc>
      </w:tr>
    </w:tbl>
    <w:p/>
    <w:p>
      <w:r>
        <w:t>Internal support: Anastasia Muthoni, Investment Operations Lead at Smart Impact Consult, supports the team with the interview tracker, the database structure and data quality checks. This is an internal contribution absorbed by the team at no additional fee to IIF.</w:t>
      </w:r>
    </w:p>
    <w:p>
      <w:pPr>
        <w:pStyle w:val="Heading1"/>
      </w:pPr>
      <w:r>
        <w:t>6. Deliverables and work plan</w:t>
      </w:r>
    </w:p>
    <w:tbl>
      <w:tblPr>
        <w:tblStyle w:val="LightGrid-Accent1"/>
        <w:tblW w:type="auto" w:w="0"/>
        <w:tblLook w:firstColumn="1" w:firstRow="1" w:lastColumn="0" w:lastRow="0" w:noHBand="0" w:noVBand="1" w:val="04A0"/>
      </w:tblPr>
      <w:tblGrid>
        <w:gridCol w:w="3249"/>
        <w:gridCol w:w="3249"/>
        <w:gridCol w:w="3249"/>
      </w:tblGrid>
      <w:tr>
        <w:tc>
          <w:tcPr>
            <w:tcW w:type="dxa" w:w="3249"/>
          </w:tcPr>
          <w:p>
            <w:r>
              <w:t>No.</w:t>
            </w:r>
          </w:p>
        </w:tc>
        <w:tc>
          <w:tcPr>
            <w:tcW w:type="dxa" w:w="3249"/>
          </w:tcPr>
          <w:p>
            <w:r>
              <w:t>Deliverable</w:t>
            </w:r>
          </w:p>
        </w:tc>
        <w:tc>
          <w:tcPr>
            <w:tcW w:type="dxa" w:w="3249"/>
          </w:tcPr>
          <w:p>
            <w:r>
              <w:t>Timing</w:t>
            </w:r>
          </w:p>
        </w:tc>
      </w:tr>
      <w:tr>
        <w:tc>
          <w:tcPr>
            <w:tcW w:type="dxa" w:w="3249"/>
          </w:tcPr>
          <w:p>
            <w:r>
              <w:t>D1</w:t>
            </w:r>
          </w:p>
        </w:tc>
        <w:tc>
          <w:tcPr>
            <w:tcW w:type="dxa" w:w="3249"/>
          </w:tcPr>
          <w:p>
            <w:r>
              <w:t>Inception and methodology alignment: agreed investor definitions, country scope, screening criteria, interview targets, interview guide, data templates and delivery calendar</w:t>
            </w:r>
          </w:p>
        </w:tc>
        <w:tc>
          <w:tcPr>
            <w:tcW w:type="dxa" w:w="3249"/>
          </w:tcPr>
          <w:p>
            <w:r>
              <w:t>End of week 1</w:t>
            </w:r>
          </w:p>
        </w:tc>
      </w:tr>
      <w:tr>
        <w:tc>
          <w:tcPr>
            <w:tcW w:type="dxa" w:w="3249"/>
          </w:tcPr>
          <w:p>
            <w:r>
              <w:t>D2</w:t>
            </w:r>
          </w:p>
        </w:tc>
        <w:tc>
          <w:tcPr>
            <w:tcW w:type="dxa" w:w="3249"/>
          </w:tcPr>
          <w:p>
            <w:r>
              <w:t>Three-country investor landscape database: named and screened institutions with available evidence on characteristics, mandates and potential fit with the proposed fund</w:t>
            </w:r>
          </w:p>
        </w:tc>
        <w:tc>
          <w:tcPr>
            <w:tcW w:type="dxa" w:w="3249"/>
          </w:tcPr>
          <w:p>
            <w:r>
              <w:t>Interim in week 1; final in week 3</w:t>
            </w:r>
          </w:p>
        </w:tc>
      </w:tr>
      <w:tr>
        <w:tc>
          <w:tcPr>
            <w:tcW w:type="dxa" w:w="3249"/>
          </w:tcPr>
          <w:p>
            <w:r>
              <w:t>D3</w:t>
            </w:r>
          </w:p>
        </w:tc>
        <w:tc>
          <w:tcPr>
            <w:tcW w:type="dxa" w:w="3249"/>
          </w:tcPr>
          <w:p>
            <w:r>
              <w:t>Interview programme and records: interview tracker, completed interview records as agreed, and a record of respondent coverage</w:t>
            </w:r>
          </w:p>
        </w:tc>
        <w:tc>
          <w:tcPr>
            <w:tcW w:type="dxa" w:w="3249"/>
          </w:tcPr>
          <w:p>
            <w:r>
              <w:t>Rolling, weeks 1 to 3</w:t>
            </w:r>
          </w:p>
        </w:tc>
      </w:tr>
      <w:tr>
        <w:tc>
          <w:tcPr>
            <w:tcW w:type="dxa" w:w="3249"/>
          </w:tcPr>
          <w:p>
            <w:r>
              <w:t>D4</w:t>
            </w:r>
          </w:p>
        </w:tc>
        <w:tc>
          <w:tcPr>
            <w:tcW w:type="dxa" w:w="3249"/>
          </w:tcPr>
          <w:p>
            <w:r>
              <w:t>Cleaned and quality-assured interview dataset, structured, editable and documented</w:t>
            </w:r>
          </w:p>
        </w:tc>
        <w:tc>
          <w:tcPr>
            <w:tcW w:type="dxa" w:w="3249"/>
          </w:tcPr>
          <w:p>
            <w:r>
              <w:t>End of week 3</w:t>
            </w:r>
          </w:p>
        </w:tc>
      </w:tr>
      <w:tr>
        <w:tc>
          <w:tcPr>
            <w:tcW w:type="dxa" w:w="3249"/>
          </w:tcPr>
          <w:p>
            <w:r>
              <w:t>D5</w:t>
            </w:r>
          </w:p>
        </w:tc>
        <w:tc>
          <w:tcPr>
            <w:tcW w:type="dxa" w:w="3249"/>
          </w:tcPr>
          <w:p>
            <w:r>
              <w:t>Country-level and cross-country synthesis: findings on appetite, indicative market characteristics, recurring constraints, opportunities and implications for the proposed Nigerian wholesale fund</w:t>
            </w:r>
          </w:p>
        </w:tc>
        <w:tc>
          <w:tcPr>
            <w:tcW w:type="dxa" w:w="3249"/>
          </w:tcPr>
          <w:p>
            <w:r>
              <w:t>End of week 3</w:t>
            </w:r>
          </w:p>
        </w:tc>
      </w:tr>
      <w:tr>
        <w:tc>
          <w:tcPr>
            <w:tcW w:type="dxa" w:w="3249"/>
          </w:tcPr>
          <w:p>
            <w:r>
              <w:t>D6</w:t>
            </w:r>
          </w:p>
        </w:tc>
        <w:tc>
          <w:tcPr>
            <w:tcW w:type="dxa" w:w="3249"/>
          </w:tcPr>
          <w:p>
            <w:r>
              <w:t>Final data and documentation handover: organised files, source references, methodological notes, limitations, and a virtual handover session</w:t>
            </w:r>
          </w:p>
        </w:tc>
        <w:tc>
          <w:tcPr>
            <w:tcW w:type="dxa" w:w="3249"/>
          </w:tcPr>
          <w:p>
            <w:r>
              <w:t>End of week 3</w:t>
            </w:r>
          </w:p>
        </w:tc>
      </w:tr>
    </w:tbl>
    <w:p/>
    <w:tbl>
      <w:tblPr>
        <w:tblStyle w:val="LightGrid-Accent1"/>
        <w:tblW w:type="auto" w:w="0"/>
        <w:tblLook w:firstColumn="1" w:firstRow="1" w:lastColumn="0" w:lastRow="0" w:noHBand="0" w:noVBand="1" w:val="04A0"/>
      </w:tblPr>
      <w:tblGrid>
        <w:gridCol w:w="3249"/>
        <w:gridCol w:w="3249"/>
        <w:gridCol w:w="3249"/>
      </w:tblGrid>
      <w:tr>
        <w:tc>
          <w:tcPr>
            <w:tcW w:type="dxa" w:w="3249"/>
          </w:tcPr>
          <w:p>
            <w:r>
              <w:t>Week</w:t>
            </w:r>
          </w:p>
        </w:tc>
        <w:tc>
          <w:tcPr>
            <w:tcW w:type="dxa" w:w="3249"/>
          </w:tcPr>
          <w:p>
            <w:r>
              <w:t>Activity</w:t>
            </w:r>
          </w:p>
        </w:tc>
        <w:tc>
          <w:tcPr>
            <w:tcW w:type="dxa" w:w="3249"/>
          </w:tcPr>
          <w:p>
            <w:r>
              <w:t>Dependency</w:t>
            </w:r>
          </w:p>
        </w:tc>
      </w:tr>
      <w:tr>
        <w:tc>
          <w:tcPr>
            <w:tcW w:type="dxa" w:w="3249"/>
          </w:tcPr>
          <w:p>
            <w:r>
              <w:t>1</w:t>
            </w:r>
          </w:p>
        </w:tc>
        <w:tc>
          <w:tcPr>
            <w:tcW w:type="dxa" w:w="3249"/>
          </w:tcPr>
          <w:p>
            <w:r>
              <w:t>Inception call with IIF; agree definitions, targets and guide (D1); start desk research and mapping in all three countries; begin interviewee outreach</w:t>
            </w:r>
          </w:p>
        </w:tc>
        <w:tc>
          <w:tcPr>
            <w:tcW w:type="dxa" w:w="3249"/>
          </w:tcPr>
          <w:p>
            <w:r>
              <w:t>IIF shares existing research and definitions; IIF confirms target interview number</w:t>
            </w:r>
          </w:p>
        </w:tc>
      </w:tr>
      <w:tr>
        <w:tc>
          <w:tcPr>
            <w:tcW w:type="dxa" w:w="3249"/>
          </w:tcPr>
          <w:p>
            <w:r>
              <w:t>2</w:t>
            </w:r>
          </w:p>
        </w:tc>
        <w:tc>
          <w:tcPr>
            <w:tcW w:type="dxa" w:w="3249"/>
          </w:tcPr>
          <w:p>
            <w:r>
              <w:t>Complete interim database (D2); main interview programme (D3); structured records prepared as interviews are completed</w:t>
            </w:r>
          </w:p>
        </w:tc>
        <w:tc>
          <w:tcPr>
            <w:tcW w:type="dxa" w:w="3249"/>
          </w:tcPr>
          <w:p>
            <w:r>
              <w:t>IIF introductions to priority investors; respondent availability</w:t>
            </w:r>
          </w:p>
        </w:tc>
      </w:tr>
      <w:tr>
        <w:tc>
          <w:tcPr>
            <w:tcW w:type="dxa" w:w="3249"/>
          </w:tcPr>
          <w:p>
            <w:r>
              <w:t>3</w:t>
            </w:r>
          </w:p>
        </w:tc>
        <w:tc>
          <w:tcPr>
            <w:tcW w:type="dxa" w:w="3249"/>
          </w:tcPr>
          <w:p>
            <w:r>
              <w:t>Final interviews; data cleaning and quality assurance (D4); country and cross-country synthesis (D5); handover session and files (D6)</w:t>
            </w:r>
          </w:p>
        </w:tc>
        <w:tc>
          <w:tcPr>
            <w:tcW w:type="dxa" w:w="3249"/>
          </w:tcPr>
          <w:p>
            <w:r>
              <w:t>IIF feedback on interim database within 2 working days</w:t>
            </w:r>
          </w:p>
        </w:tc>
      </w:tr>
    </w:tbl>
    <w:p/>
    <w:p>
      <w:r>
        <w:t>Planning assumption on interview volume. We have sized the effort at about 0.4 consultant-day per interview (preparation, scheduling, the interview and the structured record). With about 3 consultant-days per country on interviews, we can complete up to 7 interviews per country, 21 in total. This is a proposed assumption for IIF’s agreement. The number achieved will depend on respondent availability and on introductions. We make no promise of statistically representative findings.</w:t>
      </w:r>
    </w:p>
    <w:p>
      <w:r>
        <w:t>If scheduling falls outside our control, a fourth week may be needed to complete interviews. We would raise this with IIF at the end of week 2.</w:t>
      </w:r>
    </w:p>
    <w:p>
      <w:pPr>
        <w:pStyle w:val="Heading1"/>
      </w:pPr>
      <w:r>
        <w:t>7. Quality assurance, data protection and confidentiality</w:t>
      </w:r>
    </w:p>
    <w:p>
      <w:pPr>
        <w:pStyle w:val="ListBullet"/>
      </w:pPr>
      <w:r>
        <w:t>Every data point in the database and the dataset carries a source and a status: verified by the institution, from a public record, or our estimate.</w:t>
      </w:r>
    </w:p>
    <w:p>
      <w:pPr>
        <w:pStyle w:val="ListBullet"/>
      </w:pPr>
      <w:r>
        <w:t>Interview records state what respondents said in their own terms. Our interpretation is labelled separately.</w:t>
      </w:r>
    </w:p>
    <w:p>
      <w:pPr>
        <w:pStyle w:val="ListBullet"/>
      </w:pPr>
      <w:r>
        <w:t>Interviews are recorded only with the respondent’s consent. For phone interviews, consent is confirmed at the start. Respondents may ask for anonymity, and we agree with IIF at inception how identifiable information is stored and shared.</w:t>
      </w:r>
    </w:p>
    <w:p>
      <w:pPr>
        <w:pStyle w:val="ListBullet"/>
      </w:pPr>
      <w:r>
        <w:t>Data is held on access-controlled shared storage and shared with IIF in editable formats only. We delete working copies at IIF’s request after handover.</w:t>
      </w:r>
    </w:p>
    <w:p>
      <w:pPr>
        <w:pStyle w:val="ListBullet"/>
      </w:pPr>
      <w:r>
        <w:t>A second team member reviews every country dataset for completeness and inconsistencies before it goes into the cleaned dataset.</w:t>
      </w:r>
    </w:p>
    <w:p>
      <w:pPr>
        <w:pStyle w:val="Heading1"/>
      </w:pPr>
      <w:r>
        <w:t>8. Assumptions, dependencies, exclusions and risks</w:t>
      </w:r>
    </w:p>
    <w:p>
      <w:pPr>
        <w:pStyle w:val="Heading2"/>
      </w:pPr>
      <w:r>
        <w:t>Assumptions and dependencies</w:t>
      </w:r>
    </w:p>
    <w:p>
      <w:pPr>
        <w:pStyle w:val="ListBullet"/>
      </w:pPr>
      <w:r>
        <w:t>IIF’s responsibilities in section 4 are confirmed at inception.</w:t>
      </w:r>
    </w:p>
    <w:p>
      <w:pPr>
        <w:pStyle w:val="ListBullet"/>
      </w:pPr>
      <w:r>
        <w:t>IIF shares the definitions, the proposed fund’s parameters and any existing research in week 1.</w:t>
      </w:r>
    </w:p>
    <w:p>
      <w:pPr>
        <w:pStyle w:val="ListBullet"/>
      </w:pPr>
      <w:r>
        <w:t>IIF’s introductions are made in week 1 or early in week 2.</w:t>
      </w:r>
    </w:p>
    <w:p>
      <w:pPr>
        <w:pStyle w:val="ListBullet"/>
      </w:pPr>
      <w:r>
        <w:t>The interview target is agreed with IIF at inception, within the planning assumption in section 6.</w:t>
      </w:r>
    </w:p>
    <w:p>
      <w:pPr>
        <w:pStyle w:val="Heading2"/>
      </w:pPr>
      <w:r>
        <w:t>Exclusions</w:t>
      </w:r>
    </w:p>
    <w:p>
      <w:pPr>
        <w:pStyle w:val="ListBullet"/>
      </w:pPr>
      <w:r>
        <w:t>International and domestic travel, accommodation, per diems and ground transport.</w:t>
      </w:r>
    </w:p>
    <w:p>
      <w:pPr>
        <w:pStyle w:val="ListBullet"/>
      </w:pPr>
      <w:r>
        <w:t>IIF’s overall assessment methodology, broader research and final report.</w:t>
      </w:r>
    </w:p>
    <w:p>
      <w:pPr>
        <w:pStyle w:val="ListBullet"/>
      </w:pPr>
      <w:r>
        <w:t>Statistical sampling, quantitative surveys or investor-market modelling beyond what secondary data can support.</w:t>
      </w:r>
    </w:p>
    <w:p>
      <w:pPr>
        <w:pStyle w:val="ListBullet"/>
      </w:pPr>
      <w:r>
        <w:t>Taxes and mandatory charges, which are not yet established [TBC].</w:t>
      </w:r>
    </w:p>
    <w:p>
      <w:pPr>
        <w:pStyle w:val="Heading2"/>
      </w:pPr>
      <w:r>
        <w:t>Risks</w:t>
      </w:r>
    </w:p>
    <w:tbl>
      <w:tblPr>
        <w:tblStyle w:val="LightGrid-Accent1"/>
        <w:tblW w:type="auto" w:w="0"/>
        <w:tblLook w:firstColumn="1" w:firstRow="1" w:lastColumn="0" w:lastRow="0" w:noHBand="0" w:noVBand="1" w:val="04A0"/>
      </w:tblPr>
      <w:tblGrid>
        <w:gridCol w:w="4873"/>
        <w:gridCol w:w="4873"/>
      </w:tblGrid>
      <w:tr>
        <w:tc>
          <w:tcPr>
            <w:tcW w:type="dxa" w:w="4873"/>
          </w:tcPr>
          <w:p>
            <w:r>
              <w:t>Risk</w:t>
            </w:r>
          </w:p>
        </w:tc>
        <w:tc>
          <w:tcPr>
            <w:tcW w:type="dxa" w:w="4873"/>
          </w:tcPr>
          <w:p>
            <w:r>
              <w:t>Mitigation</w:t>
            </w:r>
          </w:p>
        </w:tc>
      </w:tr>
      <w:tr>
        <w:tc>
          <w:tcPr>
            <w:tcW w:type="dxa" w:w="4873"/>
          </w:tcPr>
          <w:p>
            <w:r>
              <w:t>Low interview response or late scheduling</w:t>
            </w:r>
          </w:p>
        </w:tc>
        <w:tc>
          <w:tcPr>
            <w:tcW w:type="dxa" w:w="4873"/>
          </w:tcPr>
          <w:p>
            <w:r>
              <w:t>Start outreach in week 1; prioritise the largest institutions; use IIF introductions; report coverage honestly; raise a possible extension at the end of week 2</w:t>
            </w:r>
          </w:p>
        </w:tc>
      </w:tr>
      <w:tr>
        <w:tc>
          <w:tcPr>
            <w:tcW w:type="dxa" w:w="4873"/>
          </w:tcPr>
          <w:p>
            <w:r>
              <w:t>Thin public data on Burkina Faso institutions</w:t>
            </w:r>
          </w:p>
        </w:tc>
        <w:tc>
          <w:tcPr>
            <w:tcW w:type="dxa" w:w="4873"/>
          </w:tcPr>
          <w:p>
            <w:r>
              <w:t>Use regional regulator and industry-body sources in French; label unconfirmed items clearly; rely on the Burkina Faso lead’s institutional contacts</w:t>
            </w:r>
          </w:p>
        </w:tc>
      </w:tr>
      <w:tr>
        <w:tc>
          <w:tcPr>
            <w:tcW w:type="dxa" w:w="4873"/>
          </w:tcPr>
          <w:p>
            <w:r>
              <w:t>Inconsistent data across three countries</w:t>
            </w:r>
          </w:p>
        </w:tc>
        <w:tc>
          <w:tcPr>
            <w:tcW w:type="dxa" w:w="4873"/>
          </w:tcPr>
          <w:p>
            <w:r>
              <w:t>One interview guide and data template; common definitions agreed at inception; cross-country quality review</w:t>
            </w:r>
          </w:p>
        </w:tc>
      </w:tr>
      <w:tr>
        <w:tc>
          <w:tcPr>
            <w:tcW w:type="dxa" w:w="4873"/>
          </w:tcPr>
          <w:p>
            <w:r>
              <w:t>Confidentiality of investors’ information</w:t>
            </w:r>
          </w:p>
        </w:tc>
        <w:tc>
          <w:tcPr>
            <w:tcW w:type="dxa" w:w="4873"/>
          </w:tcPr>
          <w:p>
            <w:r>
              <w:t>Consent protocol, anonymity option, and agreed storage and sharing rules</w:t>
            </w:r>
          </w:p>
        </w:tc>
      </w:tr>
      <w:tr>
        <w:tc>
          <w:tcPr>
            <w:tcW w:type="dxa" w:w="4873"/>
          </w:tcPr>
          <w:p>
            <w:r>
              <w:t>Time pressure in a three-week window</w:t>
            </w:r>
          </w:p>
        </w:tc>
        <w:tc>
          <w:tcPr>
            <w:tcW w:type="dxa" w:w="4873"/>
          </w:tcPr>
          <w:p>
            <w:r>
              <w:t>Parallel country workstreams; clear weekly milestones; early agreement on targets</w:t>
            </w:r>
          </w:p>
        </w:tc>
      </w:tr>
    </w:tbl>
    <w:p/>
    <w:p>
      <w:pPr>
        <w:pStyle w:val="Heading1"/>
      </w:pPr>
      <w:r>
        <w:t>9. Budget</w:t>
      </w:r>
    </w:p>
    <w:p>
      <w:r>
        <w:t>All amounts are in US dollars. Fees use the daily rates from our earlier proposals [Regina to confirm]. Direct costs are provisional costing assumptions, not quotations. There are no travel or accommodation costs.</w:t>
      </w:r>
    </w:p>
    <w:p>
      <w:pPr>
        <w:pStyle w:val="Heading2"/>
      </w:pPr>
      <w:r>
        <w:t>9.1 Professional fees</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t>Consultant</w:t>
            </w:r>
          </w:p>
        </w:tc>
        <w:tc>
          <w:tcPr>
            <w:tcW w:type="dxa" w:w="1949"/>
          </w:tcPr>
          <w:p>
            <w:r>
              <w:t>Role</w:t>
            </w:r>
          </w:p>
        </w:tc>
        <w:tc>
          <w:tcPr>
            <w:tcW w:type="dxa" w:w="1949"/>
          </w:tcPr>
          <w:p>
            <w:r>
              <w:t>Days</w:t>
            </w:r>
          </w:p>
        </w:tc>
        <w:tc>
          <w:tcPr>
            <w:tcW w:type="dxa" w:w="1949"/>
          </w:tcPr>
          <w:p>
            <w:r>
              <w:t>Daily rate (USD)</w:t>
            </w:r>
          </w:p>
        </w:tc>
        <w:tc>
          <w:tcPr>
            <w:tcW w:type="dxa" w:w="1949"/>
          </w:tcPr>
          <w:p>
            <w:r>
              <w:t>Subtotal (USD)</w:t>
            </w:r>
          </w:p>
        </w:tc>
      </w:tr>
      <w:tr>
        <w:tc>
          <w:tcPr>
            <w:tcW w:type="dxa" w:w="1949"/>
          </w:tcPr>
          <w:p>
            <w:r>
              <w:t>Regina Love Clarkson</w:t>
            </w:r>
          </w:p>
        </w:tc>
        <w:tc>
          <w:tcPr>
            <w:tcW w:type="dxa" w:w="1949"/>
          </w:tcPr>
          <w:p>
            <w:r>
              <w:t>Team Lead and Kenya Lead</w:t>
            </w:r>
          </w:p>
        </w:tc>
        <w:tc>
          <w:tcPr>
            <w:tcW w:type="dxa" w:w="1949"/>
          </w:tcPr>
          <w:p>
            <w:r>
              <w:t>9</w:t>
            </w:r>
          </w:p>
        </w:tc>
        <w:tc>
          <w:tcPr>
            <w:tcW w:type="dxa" w:w="1949"/>
          </w:tcPr>
          <w:p>
            <w:r>
              <w:t>190</w:t>
            </w:r>
          </w:p>
        </w:tc>
        <w:tc>
          <w:tcPr>
            <w:tcW w:type="dxa" w:w="1949"/>
          </w:tcPr>
          <w:p>
            <w:r>
              <w:t>1,710</w:t>
            </w:r>
          </w:p>
        </w:tc>
      </w:tr>
      <w:tr>
        <w:tc>
          <w:tcPr>
            <w:tcW w:type="dxa" w:w="1949"/>
          </w:tcPr>
          <w:p>
            <w:r>
              <w:t>Caroline McCoy</w:t>
            </w:r>
          </w:p>
        </w:tc>
        <w:tc>
          <w:tcPr>
            <w:tcW w:type="dxa" w:w="1949"/>
          </w:tcPr>
          <w:p>
            <w:r>
              <w:t>South Africa Lead</w:t>
            </w:r>
          </w:p>
        </w:tc>
        <w:tc>
          <w:tcPr>
            <w:tcW w:type="dxa" w:w="1949"/>
          </w:tcPr>
          <w:p>
            <w:r>
              <w:t>7</w:t>
            </w:r>
          </w:p>
        </w:tc>
        <w:tc>
          <w:tcPr>
            <w:tcW w:type="dxa" w:w="1949"/>
          </w:tcPr>
          <w:p>
            <w:r>
              <w:t>198</w:t>
            </w:r>
          </w:p>
        </w:tc>
        <w:tc>
          <w:tcPr>
            <w:tcW w:type="dxa" w:w="1949"/>
          </w:tcPr>
          <w:p>
            <w:r>
              <w:t>1,386</w:t>
            </w:r>
          </w:p>
        </w:tc>
      </w:tr>
      <w:tr>
        <w:tc>
          <w:tcPr>
            <w:tcW w:type="dxa" w:w="1949"/>
          </w:tcPr>
          <w:p>
            <w:r>
              <w:t>Boisy V.A. Williams</w:t>
            </w:r>
          </w:p>
        </w:tc>
        <w:tc>
          <w:tcPr>
            <w:tcW w:type="dxa" w:w="1949"/>
          </w:tcPr>
          <w:p>
            <w:r>
              <w:t>Burkina Faso and Francophone Markets Lead</w:t>
            </w:r>
          </w:p>
        </w:tc>
        <w:tc>
          <w:tcPr>
            <w:tcW w:type="dxa" w:w="1949"/>
          </w:tcPr>
          <w:p>
            <w:r>
              <w:t>7</w:t>
            </w:r>
          </w:p>
        </w:tc>
        <w:tc>
          <w:tcPr>
            <w:tcW w:type="dxa" w:w="1949"/>
          </w:tcPr>
          <w:p>
            <w:r>
              <w:t>230</w:t>
            </w:r>
          </w:p>
        </w:tc>
        <w:tc>
          <w:tcPr>
            <w:tcW w:type="dxa" w:w="1949"/>
          </w:tcPr>
          <w:p>
            <w:r>
              <w:t>1,610</w:t>
            </w:r>
          </w:p>
        </w:tc>
      </w:tr>
      <w:tr>
        <w:tc>
          <w:tcPr>
            <w:tcW w:type="dxa" w:w="1949"/>
          </w:tcPr>
          <w:p>
            <w:r>
              <w:t>Anastasia Muthoni</w:t>
            </w:r>
          </w:p>
        </w:tc>
        <w:tc>
          <w:tcPr>
            <w:tcW w:type="dxa" w:w="1949"/>
          </w:tcPr>
          <w:p>
            <w:r>
              <w:t>Internal support (in-kind)</w:t>
            </w:r>
          </w:p>
        </w:tc>
        <w:tc>
          <w:tcPr>
            <w:tcW w:type="dxa" w:w="1949"/>
          </w:tcPr>
          <w:p>
            <w:r>
              <w:t>-</w:t>
            </w:r>
          </w:p>
        </w:tc>
        <w:tc>
          <w:tcPr>
            <w:tcW w:type="dxa" w:w="1949"/>
          </w:tcPr>
          <w:p>
            <w:r>
              <w:t>0</w:t>
            </w:r>
          </w:p>
        </w:tc>
        <w:tc>
          <w:tcPr>
            <w:tcW w:type="dxa" w:w="1949"/>
          </w:tcPr>
          <w:p>
            <w:r>
              <w:t>0 (no charge)</w:t>
            </w:r>
          </w:p>
        </w:tc>
      </w:tr>
      <w:tr>
        <w:tc>
          <w:tcPr>
            <w:tcW w:type="dxa" w:w="1949"/>
          </w:tcPr>
          <w:p>
            <w:r>
              <w:rPr>
                <w:b/>
              </w:rPr>
              <w:t>Total professional fees</w:t>
            </w:r>
          </w:p>
        </w:tc>
        <w:tc>
          <w:tcPr>
            <w:tcW w:type="dxa" w:w="1949"/>
          </w:tcPr>
          <w:p>
            <w:r>
              <w:rPr>
                <w:b/>
              </w:rPr>
            </w:r>
          </w:p>
        </w:tc>
        <w:tc>
          <w:tcPr>
            <w:tcW w:type="dxa" w:w="1949"/>
          </w:tcPr>
          <w:p>
            <w:r>
              <w:rPr>
                <w:b/>
              </w:rPr>
              <w:t>23</w:t>
            </w:r>
          </w:p>
        </w:tc>
        <w:tc>
          <w:tcPr>
            <w:tcW w:type="dxa" w:w="1949"/>
          </w:tcPr>
          <w:p>
            <w:r>
              <w:rPr>
                <w:b/>
              </w:rPr>
            </w:r>
          </w:p>
        </w:tc>
        <w:tc>
          <w:tcPr>
            <w:tcW w:type="dxa" w:w="1949"/>
          </w:tcPr>
          <w:p>
            <w:r>
              <w:rPr>
                <w:b/>
              </w:rPr>
              <w:t>4,706</w:t>
            </w:r>
          </w:p>
        </w:tc>
      </w:tr>
    </w:tbl>
    <w:p/>
    <w:p>
      <w:pPr>
        <w:pStyle w:val="Heading2"/>
      </w:pPr>
      <w:r>
        <w:t>9.2 Effort by workstream (consultant-days)</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t>Workstream</w:t>
            </w:r>
          </w:p>
        </w:tc>
        <w:tc>
          <w:tcPr>
            <w:tcW w:type="dxa" w:w="1949"/>
          </w:tcPr>
          <w:p>
            <w:r>
              <w:t>Regina Clarkson</w:t>
            </w:r>
          </w:p>
        </w:tc>
        <w:tc>
          <w:tcPr>
            <w:tcW w:type="dxa" w:w="1949"/>
          </w:tcPr>
          <w:p>
            <w:r>
              <w:t>Caroline McCoy</w:t>
            </w:r>
          </w:p>
        </w:tc>
        <w:tc>
          <w:tcPr>
            <w:tcW w:type="dxa" w:w="1949"/>
          </w:tcPr>
          <w:p>
            <w:r>
              <w:t>Boisy Williams</w:t>
            </w:r>
          </w:p>
        </w:tc>
        <w:tc>
          <w:tcPr>
            <w:tcW w:type="dxa" w:w="1949"/>
          </w:tcPr>
          <w:p>
            <w:r>
              <w:t>Total</w:t>
            </w:r>
          </w:p>
        </w:tc>
      </w:tr>
      <w:tr>
        <w:tc>
          <w:tcPr>
            <w:tcW w:type="dxa" w:w="1949"/>
          </w:tcPr>
          <w:p>
            <w:r>
              <w:t>Inception and project management</w:t>
            </w:r>
          </w:p>
        </w:tc>
        <w:tc>
          <w:tcPr>
            <w:tcW w:type="dxa" w:w="1949"/>
          </w:tcPr>
          <w:p>
            <w:r>
              <w:t>1</w:t>
            </w:r>
          </w:p>
        </w:tc>
        <w:tc>
          <w:tcPr>
            <w:tcW w:type="dxa" w:w="1949"/>
          </w:tcPr>
          <w:p>
            <w:r>
              <w:t>0</w:t>
            </w:r>
          </w:p>
        </w:tc>
        <w:tc>
          <w:tcPr>
            <w:tcW w:type="dxa" w:w="1949"/>
          </w:tcPr>
          <w:p>
            <w:r>
              <w:t>0</w:t>
            </w:r>
          </w:p>
        </w:tc>
        <w:tc>
          <w:tcPr>
            <w:tcW w:type="dxa" w:w="1949"/>
          </w:tcPr>
          <w:p>
            <w:r>
              <w:t>1</w:t>
            </w:r>
          </w:p>
        </w:tc>
      </w:tr>
      <w:tr>
        <w:tc>
          <w:tcPr>
            <w:tcW w:type="dxa" w:w="1949"/>
          </w:tcPr>
          <w:p>
            <w:r>
              <w:t>1. Desk research and mapping</w:t>
            </w:r>
          </w:p>
        </w:tc>
        <w:tc>
          <w:tcPr>
            <w:tcW w:type="dxa" w:w="1949"/>
          </w:tcPr>
          <w:p>
            <w:r>
              <w:t>2</w:t>
            </w:r>
          </w:p>
        </w:tc>
        <w:tc>
          <w:tcPr>
            <w:tcW w:type="dxa" w:w="1949"/>
          </w:tcPr>
          <w:p>
            <w:r>
              <w:t>2</w:t>
            </w:r>
          </w:p>
        </w:tc>
        <w:tc>
          <w:tcPr>
            <w:tcW w:type="dxa" w:w="1949"/>
          </w:tcPr>
          <w:p>
            <w:r>
              <w:t>2</w:t>
            </w:r>
          </w:p>
        </w:tc>
        <w:tc>
          <w:tcPr>
            <w:tcW w:type="dxa" w:w="1949"/>
          </w:tcPr>
          <w:p>
            <w:r>
              <w:t>6</w:t>
            </w:r>
          </w:p>
        </w:tc>
      </w:tr>
      <w:tr>
        <w:tc>
          <w:tcPr>
            <w:tcW w:type="dxa" w:w="1949"/>
          </w:tcPr>
          <w:p>
            <w:r>
              <w:t>2. Interview mobilisation and collection</w:t>
            </w:r>
          </w:p>
        </w:tc>
        <w:tc>
          <w:tcPr>
            <w:tcW w:type="dxa" w:w="1949"/>
          </w:tcPr>
          <w:p>
            <w:r>
              <w:t>3</w:t>
            </w:r>
          </w:p>
        </w:tc>
        <w:tc>
          <w:tcPr>
            <w:tcW w:type="dxa" w:w="1949"/>
          </w:tcPr>
          <w:p>
            <w:r>
              <w:t>3</w:t>
            </w:r>
          </w:p>
        </w:tc>
        <w:tc>
          <w:tcPr>
            <w:tcW w:type="dxa" w:w="1949"/>
          </w:tcPr>
          <w:p>
            <w:r>
              <w:t>3</w:t>
            </w:r>
          </w:p>
        </w:tc>
        <w:tc>
          <w:tcPr>
            <w:tcW w:type="dxa" w:w="1949"/>
          </w:tcPr>
          <w:p>
            <w:r>
              <w:t>9</w:t>
            </w:r>
          </w:p>
        </w:tc>
      </w:tr>
      <w:tr>
        <w:tc>
          <w:tcPr>
            <w:tcW w:type="dxa" w:w="1949"/>
          </w:tcPr>
          <w:p>
            <w:r>
              <w:t>3. Data processing, quality assurance and synthesis</w:t>
            </w:r>
          </w:p>
        </w:tc>
        <w:tc>
          <w:tcPr>
            <w:tcW w:type="dxa" w:w="1949"/>
          </w:tcPr>
          <w:p>
            <w:r>
              <w:t>2</w:t>
            </w:r>
          </w:p>
        </w:tc>
        <w:tc>
          <w:tcPr>
            <w:tcW w:type="dxa" w:w="1949"/>
          </w:tcPr>
          <w:p>
            <w:r>
              <w:t>1.5</w:t>
            </w:r>
          </w:p>
        </w:tc>
        <w:tc>
          <w:tcPr>
            <w:tcW w:type="dxa" w:w="1949"/>
          </w:tcPr>
          <w:p>
            <w:r>
              <w:t>1.5</w:t>
            </w:r>
          </w:p>
        </w:tc>
        <w:tc>
          <w:tcPr>
            <w:tcW w:type="dxa" w:w="1949"/>
          </w:tcPr>
          <w:p>
            <w:r>
              <w:t>5</w:t>
            </w:r>
          </w:p>
        </w:tc>
      </w:tr>
      <w:tr>
        <w:tc>
          <w:tcPr>
            <w:tcW w:type="dxa" w:w="1949"/>
          </w:tcPr>
          <w:p>
            <w:r>
              <w:t>4. Handover and integration support</w:t>
            </w:r>
          </w:p>
        </w:tc>
        <w:tc>
          <w:tcPr>
            <w:tcW w:type="dxa" w:w="1949"/>
          </w:tcPr>
          <w:p>
            <w:r>
              <w:t>1</w:t>
            </w:r>
          </w:p>
        </w:tc>
        <w:tc>
          <w:tcPr>
            <w:tcW w:type="dxa" w:w="1949"/>
          </w:tcPr>
          <w:p>
            <w:r>
              <w:t>0.5</w:t>
            </w:r>
          </w:p>
        </w:tc>
        <w:tc>
          <w:tcPr>
            <w:tcW w:type="dxa" w:w="1949"/>
          </w:tcPr>
          <w:p>
            <w:r>
              <w:t>0.5</w:t>
            </w:r>
          </w:p>
        </w:tc>
        <w:tc>
          <w:tcPr>
            <w:tcW w:type="dxa" w:w="1949"/>
          </w:tcPr>
          <w:p>
            <w:r>
              <w:t>2</w:t>
            </w:r>
          </w:p>
        </w:tc>
      </w:tr>
      <w:tr>
        <w:tc>
          <w:tcPr>
            <w:tcW w:type="dxa" w:w="1949"/>
          </w:tcPr>
          <w:p>
            <w:r>
              <w:rPr>
                <w:b/>
              </w:rPr>
              <w:t>Total</w:t>
            </w:r>
          </w:p>
        </w:tc>
        <w:tc>
          <w:tcPr>
            <w:tcW w:type="dxa" w:w="1949"/>
          </w:tcPr>
          <w:p>
            <w:r>
              <w:rPr>
                <w:b/>
              </w:rPr>
              <w:t>9</w:t>
            </w:r>
          </w:p>
        </w:tc>
        <w:tc>
          <w:tcPr>
            <w:tcW w:type="dxa" w:w="1949"/>
          </w:tcPr>
          <w:p>
            <w:r>
              <w:rPr>
                <w:b/>
              </w:rPr>
              <w:t>7</w:t>
            </w:r>
          </w:p>
        </w:tc>
        <w:tc>
          <w:tcPr>
            <w:tcW w:type="dxa" w:w="1949"/>
          </w:tcPr>
          <w:p>
            <w:r>
              <w:rPr>
                <w:b/>
              </w:rPr>
              <w:t>7</w:t>
            </w:r>
          </w:p>
        </w:tc>
        <w:tc>
          <w:tcPr>
            <w:tcW w:type="dxa" w:w="1949"/>
          </w:tcPr>
          <w:p>
            <w:r>
              <w:rPr>
                <w:b/>
              </w:rPr>
              <w:t>23</w:t>
            </w:r>
          </w:p>
        </w:tc>
      </w:tr>
    </w:tbl>
    <w:p/>
    <w:p>
      <w:pPr>
        <w:pStyle w:val="Heading2"/>
      </w:pPr>
      <w:r>
        <w:t>9.3 Direct costs (provisional)</w:t>
      </w:r>
    </w:p>
    <w:tbl>
      <w:tblPr>
        <w:tblStyle w:val="LightGrid-Accent1"/>
        <w:tblW w:type="auto" w:w="0"/>
        <w:tblLook w:firstColumn="1" w:firstRow="1" w:lastColumn="0" w:lastRow="0" w:noHBand="0" w:noVBand="1" w:val="04A0"/>
      </w:tblPr>
      <w:tblGrid>
        <w:gridCol w:w="4873"/>
        <w:gridCol w:w="4873"/>
      </w:tblGrid>
      <w:tr>
        <w:tc>
          <w:tcPr>
            <w:tcW w:type="dxa" w:w="4873"/>
          </w:tcPr>
          <w:p>
            <w:r>
              <w:t>Item</w:t>
            </w:r>
          </w:p>
        </w:tc>
        <w:tc>
          <w:tcPr>
            <w:tcW w:type="dxa" w:w="4873"/>
          </w:tcPr>
          <w:p>
            <w:r>
              <w:t>Amount (USD)</w:t>
            </w:r>
          </w:p>
        </w:tc>
      </w:tr>
      <w:tr>
        <w:tc>
          <w:tcPr>
            <w:tcW w:type="dxa" w:w="4873"/>
          </w:tcPr>
          <w:p>
            <w:r>
              <w:t>Structured note-taking support for phone interviews, including French (up to 21 interviews at USD 20)</w:t>
            </w:r>
          </w:p>
        </w:tc>
        <w:tc>
          <w:tcPr>
            <w:tcW w:type="dxa" w:w="4873"/>
          </w:tcPr>
          <w:p>
            <w:r>
              <w:t>420</w:t>
            </w:r>
          </w:p>
        </w:tc>
      </w:tr>
      <w:tr>
        <w:tc>
          <w:tcPr>
            <w:tcW w:type="dxa" w:w="4873"/>
          </w:tcPr>
          <w:p>
            <w:r>
              <w:t>Communications: calls and mobile data for phone interviews</w:t>
            </w:r>
          </w:p>
        </w:tc>
        <w:tc>
          <w:tcPr>
            <w:tcW w:type="dxa" w:w="4873"/>
          </w:tcPr>
          <w:p>
            <w:r>
              <w:t>150</w:t>
            </w:r>
          </w:p>
        </w:tc>
      </w:tr>
      <w:tr>
        <w:tc>
          <w:tcPr>
            <w:tcW w:type="dxa" w:w="4873"/>
          </w:tcPr>
          <w:p>
            <w:r>
              <w:rPr>
                <w:b/>
              </w:rPr>
              <w:t>Total direct costs</w:t>
            </w:r>
          </w:p>
        </w:tc>
        <w:tc>
          <w:tcPr>
            <w:tcW w:type="dxa" w:w="4873"/>
          </w:tcPr>
          <w:p>
            <w:r>
              <w:rPr>
                <w:b/>
              </w:rPr>
              <w:t>570</w:t>
            </w:r>
          </w:p>
        </w:tc>
      </w:tr>
    </w:tbl>
    <w:p/>
    <w:p>
      <w:pPr>
        <w:pStyle w:val="Heading2"/>
      </w:pPr>
      <w:r>
        <w:t>9.4 Summary</w:t>
      </w:r>
    </w:p>
    <w:tbl>
      <w:tblPr>
        <w:tblStyle w:val="LightGrid-Accent1"/>
        <w:tblW w:type="auto" w:w="0"/>
        <w:tblLook w:firstColumn="1" w:firstRow="1" w:lastColumn="0" w:lastRow="0" w:noHBand="0" w:noVBand="1" w:val="04A0"/>
      </w:tblPr>
      <w:tblGrid>
        <w:gridCol w:w="4873"/>
        <w:gridCol w:w="4873"/>
      </w:tblGrid>
      <w:tr>
        <w:tc>
          <w:tcPr>
            <w:tcW w:type="dxa" w:w="4873"/>
          </w:tcPr>
          <w:p>
            <w:r>
              <w:t>Item</w:t>
            </w:r>
          </w:p>
        </w:tc>
        <w:tc>
          <w:tcPr>
            <w:tcW w:type="dxa" w:w="4873"/>
          </w:tcPr>
          <w:p>
            <w:r>
              <w:t>Amount (USD)</w:t>
            </w:r>
          </w:p>
        </w:tc>
      </w:tr>
      <w:tr>
        <w:tc>
          <w:tcPr>
            <w:tcW w:type="dxa" w:w="4873"/>
          </w:tcPr>
          <w:p>
            <w:r>
              <w:t>Professional fees</w:t>
            </w:r>
          </w:p>
        </w:tc>
        <w:tc>
          <w:tcPr>
            <w:tcW w:type="dxa" w:w="4873"/>
          </w:tcPr>
          <w:p>
            <w:r>
              <w:t>4,706</w:t>
            </w:r>
          </w:p>
        </w:tc>
      </w:tr>
      <w:tr>
        <w:tc>
          <w:tcPr>
            <w:tcW w:type="dxa" w:w="4873"/>
          </w:tcPr>
          <w:p>
            <w:r>
              <w:t>Direct costs (provisional)</w:t>
            </w:r>
          </w:p>
        </w:tc>
        <w:tc>
          <w:tcPr>
            <w:tcW w:type="dxa" w:w="4873"/>
          </w:tcPr>
          <w:p>
            <w:r>
              <w:t>570</w:t>
            </w:r>
          </w:p>
        </w:tc>
      </w:tr>
      <w:tr>
        <w:tc>
          <w:tcPr>
            <w:tcW w:type="dxa" w:w="4873"/>
          </w:tcPr>
          <w:p>
            <w:r>
              <w:rPr>
                <w:b/>
              </w:rPr>
              <w:t>Total proposed fee, before applicable taxes (lean option)</w:t>
            </w:r>
          </w:p>
        </w:tc>
        <w:tc>
          <w:tcPr>
            <w:tcW w:type="dxa" w:w="4873"/>
          </w:tcPr>
          <w:p>
            <w:r>
              <w:rPr>
                <w:b/>
              </w:rPr>
              <w:t>5,276</w:t>
            </w:r>
          </w:p>
        </w:tc>
      </w:tr>
    </w:tbl>
    <w:p/>
    <w:p>
      <w:r>
        <w:t>Taxes and mandatory charges are not included because they have not been established [TBC]. The budget assumes the three-week plan in section 6. If IIF asks for materially more interviews or additional deliverables, we would price the extra effort separately before starting it.</w:t>
      </w:r>
    </w:p>
    <w:p>
      <w:pPr>
        <w:pStyle w:val="Heading1"/>
      </w:pPr>
      <w:r>
        <w:t>10. How this differs from our earlier Expression of Interest</w:t>
      </w:r>
    </w:p>
    <w:tbl>
      <w:tblPr>
        <w:tblStyle w:val="LightGrid-Accent1"/>
        <w:tblW w:type="auto" w:w="0"/>
        <w:tblLook w:firstColumn="1" w:firstRow="1" w:lastColumn="0" w:lastRow="0" w:noHBand="0" w:noVBand="1" w:val="04A0"/>
      </w:tblPr>
      <w:tblGrid>
        <w:gridCol w:w="3249"/>
        <w:gridCol w:w="3249"/>
        <w:gridCol w:w="3249"/>
      </w:tblGrid>
      <w:tr>
        <w:tc>
          <w:tcPr>
            <w:tcW w:type="dxa" w:w="3249"/>
          </w:tcPr>
          <w:p>
            <w:r>
              <w:t>Area</w:t>
            </w:r>
          </w:p>
        </w:tc>
        <w:tc>
          <w:tcPr>
            <w:tcW w:type="dxa" w:w="3249"/>
          </w:tcPr>
          <w:p>
            <w:r>
              <w:t>Earlier Expression of Interest</w:t>
            </w:r>
          </w:p>
        </w:tc>
        <w:tc>
          <w:tcPr>
            <w:tcW w:type="dxa" w:w="3249"/>
          </w:tcPr>
          <w:p>
            <w:r>
              <w:t>This proposal</w:t>
            </w:r>
          </w:p>
        </w:tc>
      </w:tr>
      <w:tr>
        <w:tc>
          <w:tcPr>
            <w:tcW w:type="dxa" w:w="3249"/>
          </w:tcPr>
          <w:p>
            <w:r>
              <w:t>Scope</w:t>
            </w:r>
          </w:p>
        </w:tc>
        <w:tc>
          <w:tcPr>
            <w:tcW w:type="dxa" w:w="3249"/>
          </w:tcPr>
          <w:p>
            <w:r>
              <w:t>Full assessment, including barrier analysis and recommendations</w:t>
            </w:r>
          </w:p>
        </w:tc>
        <w:tc>
          <w:tcPr>
            <w:tcW w:type="dxa" w:w="3249"/>
          </w:tcPr>
          <w:p>
            <w:r>
              <w:t>Evidence collection: investor mapping, interviews, data quality, synthesis and handover. IIF leads the wider assessment and report.</w:t>
            </w:r>
          </w:p>
        </w:tc>
      </w:tr>
      <w:tr>
        <w:tc>
          <w:tcPr>
            <w:tcW w:type="dxa" w:w="3249"/>
          </w:tcPr>
          <w:p>
            <w:r>
              <w:t>Delivery model</w:t>
            </w:r>
          </w:p>
        </w:tc>
        <w:tc>
          <w:tcPr>
            <w:tcW w:type="dxa" w:w="3249"/>
          </w:tcPr>
          <w:p>
            <w:r>
              <w:t>Field delivery in each market, with no market covered remotely</w:t>
            </w:r>
          </w:p>
        </w:tc>
        <w:tc>
          <w:tcPr>
            <w:tcW w:type="dxa" w:w="3249"/>
          </w:tcPr>
          <w:p>
            <w:r>
              <w:t>Phone or video delivery, with no travel assumed</w:t>
            </w:r>
          </w:p>
        </w:tc>
      </w:tr>
      <w:tr>
        <w:tc>
          <w:tcPr>
            <w:tcW w:type="dxa" w:w="3249"/>
          </w:tcPr>
          <w:p>
            <w:r>
              <w:t>Team</w:t>
            </w:r>
          </w:p>
        </w:tc>
        <w:tc>
          <w:tcPr>
            <w:tcW w:type="dxa" w:w="3249"/>
          </w:tcPr>
          <w:p>
            <w:r>
              <w:t>Three consultants; Anastasia Muthoni not shown</w:t>
            </w:r>
          </w:p>
        </w:tc>
        <w:tc>
          <w:tcPr>
            <w:tcW w:type="dxa" w:w="3249"/>
          </w:tcPr>
          <w:p>
            <w:r>
              <w:t>The same three consultants, plus Anastasia Muthoni as non-billable internal support</w:t>
            </w:r>
          </w:p>
        </w:tc>
      </w:tr>
      <w:tr>
        <w:tc>
          <w:tcPr>
            <w:tcW w:type="dxa" w:w="3249"/>
          </w:tcPr>
          <w:p>
            <w:r>
              <w:t>Timeline</w:t>
            </w:r>
          </w:p>
        </w:tc>
        <w:tc>
          <w:tcPr>
            <w:tcW w:type="dxa" w:w="3249"/>
          </w:tcPr>
          <w:p>
            <w:r>
              <w:t>Not stated</w:t>
            </w:r>
          </w:p>
        </w:tc>
        <w:tc>
          <w:tcPr>
            <w:tcW w:type="dxa" w:w="3249"/>
          </w:tcPr>
          <w:p>
            <w:r>
              <w:t>About three weeks, with a possible fourth week for scheduling</w:t>
            </w:r>
          </w:p>
        </w:tc>
      </w:tr>
      <w:tr>
        <w:tc>
          <w:tcPr>
            <w:tcW w:type="dxa" w:w="3249"/>
          </w:tcPr>
          <w:p>
            <w:r>
              <w:t>Budget</w:t>
            </w:r>
          </w:p>
        </w:tc>
        <w:tc>
          <w:tcPr>
            <w:tcW w:type="dxa" w:w="3249"/>
          </w:tcPr>
          <w:p>
            <w:r>
              <w:t>None given</w:t>
            </w:r>
          </w:p>
        </w:tc>
        <w:tc>
          <w:tcPr>
            <w:tcW w:type="dxa" w:w="3249"/>
          </w:tcPr>
          <w:p>
            <w:r>
              <w:t>USD 5,276 before taxes, itemised in section 9 and free of travel costs</w:t>
            </w:r>
          </w:p>
        </w:tc>
      </w:tr>
      <w:tr>
        <w:tc>
          <w:tcPr>
            <w:tcW w:type="dxa" w:w="3249"/>
          </w:tcPr>
          <w:p>
            <w:r>
              <w:t>Outputs</w:t>
            </w:r>
          </w:p>
        </w:tc>
        <w:tc>
          <w:tcPr>
            <w:tcW w:type="dxa" w:w="3249"/>
          </w:tcPr>
          <w:p>
            <w:r>
              <w:t>Final report, per-market briefs and presentation</w:t>
            </w:r>
          </w:p>
        </w:tc>
        <w:tc>
          <w:tcPr>
            <w:tcW w:type="dxa" w:w="3249"/>
          </w:tcPr>
          <w:p>
            <w:r>
              <w:t>Database, interview records, cleaned dataset, country and cross-country synthesis, and a handover session</w:t>
            </w:r>
          </w:p>
        </w:tc>
      </w:tr>
    </w:tbl>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