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Financial proposal: Strengthening Investor Relations in Ethiopia's Capital Market</w:t>
      </w:r>
    </w:p>
    <w:p>
      <w:pPr/>
      <w:r>
        <w:t xml:space="preserve">FSD Ethiopia and the Ethiopian Securities Exchange | Submitted separately from the technical proposal | 2 October 2026</w:t>
      </w:r>
    </w:p>
    <w:p>
      <w:pPr/>
      <w:r>
        <w:t xml:space="preserve">The total estimated budget is USD 92,188 before tax: USD 72,788 in professional fees for 285 consultant days and USD 19,400 in reimbursable expenses. This follows the Annex 1 template, with one column for each of the eight deliverables.</w:t>
      </w:r>
    </w:p>
    <w:p>
      <w:pPr>
        <w:pStyle w:val="Heading2"/>
      </w:pPr>
      <w:r>
        <w:t xml:space="preserve">Fees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w="780" w:type="dxa"/>
            <w:shd w:val="clear" w:color="auto" w:fill="F2F2F2"/>
          </w:tcPr>
          <w:p>
            <w:pPr/>
            <w:r>
              <w:t xml:space="preserve">Title / role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Daily rate (USD)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D1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D2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D3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D4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D5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D6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D7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D8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Days</w:t>
            </w:r>
          </w:p>
        </w:tc>
        <w:tc>
          <w:tcPr>
            <w:tcW w:w="780" w:type="dxa"/>
            <w:shd w:val="clear" w:color="auto" w:fill="F2F2F2"/>
          </w:tcPr>
          <w:p>
            <w:pPr/>
            <w:r>
              <w:t xml:space="preserve">Fees (USD)</w:t>
            </w:r>
          </w:p>
        </w:tc>
      </w:tr>
      <w:tr>
        <w:tc>
          <w:tcPr>
            <w:tcW w:w="780" w:type="dxa"/>
          </w:tcPr>
          <w:p>
            <w:pPr/>
            <w:r>
              <w:t xml:space="preserve">Team Lead, Investor Relations and Capital Markets Expert [to be confirmed]</w:t>
            </w:r>
          </w:p>
        </w:tc>
        <w:tc>
          <w:tcPr>
            <w:tcW w:w="780" w:type="dxa"/>
          </w:tcPr>
          <w:p>
            <w:pPr/>
            <w:r>
              <w:t xml:space="preserve">450</w:t>
            </w:r>
          </w:p>
        </w:tc>
        <w:tc>
          <w:tcPr>
            <w:tcW w:w="780" w:type="dxa"/>
          </w:tcPr>
          <w:p>
            <w:pPr/>
            <w:r>
              <w:t xml:space="preserve">5</w:t>
            </w:r>
          </w:p>
        </w:tc>
        <w:tc>
          <w:tcPr>
            <w:tcW w:w="780" w:type="dxa"/>
          </w:tcPr>
          <w:p>
            <w:pPr/>
            <w:r>
              <w:t xml:space="preserve">6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8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5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36</w:t>
            </w:r>
          </w:p>
        </w:tc>
        <w:tc>
          <w:tcPr>
            <w:tcW w:w="780" w:type="dxa"/>
          </w:tcPr>
          <w:p>
            <w:pPr/>
            <w:r>
              <w:t xml:space="preserve">16,200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Engagement Director; investor engagement lead (Regina Love Clarkson)</w:t>
            </w:r>
          </w:p>
        </w:tc>
        <w:tc>
          <w:tcPr>
            <w:tcW w:w="780" w:type="dxa"/>
          </w:tcPr>
          <w:p>
            <w:pPr/>
            <w:r>
              <w:t xml:space="preserve">190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1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10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27</w:t>
            </w:r>
          </w:p>
        </w:tc>
        <w:tc>
          <w:tcPr>
            <w:tcW w:w="780" w:type="dxa"/>
          </w:tcPr>
          <w:p>
            <w:pPr/>
            <w:r>
              <w:t xml:space="preserve">5,130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Disclosure, Governance and Regulatory Expert [to be confirmed]</w:t>
            </w:r>
          </w:p>
        </w:tc>
        <w:tc>
          <w:tcPr>
            <w:tcW w:w="780" w:type="dxa"/>
          </w:tcPr>
          <w:p>
            <w:pPr/>
            <w:r>
              <w:t xml:space="preserve">350</w:t>
            </w:r>
          </w:p>
        </w:tc>
        <w:tc>
          <w:tcPr>
            <w:tcW w:w="780" w:type="dxa"/>
          </w:tcPr>
          <w:p>
            <w:pPr/>
            <w:r>
              <w:t xml:space="preserve">4</w:t>
            </w:r>
          </w:p>
        </w:tc>
        <w:tc>
          <w:tcPr>
            <w:tcW w:w="780" w:type="dxa"/>
          </w:tcPr>
          <w:p>
            <w:pPr/>
            <w:r>
              <w:t xml:space="preserve">10</w:t>
            </w:r>
          </w:p>
        </w:tc>
        <w:tc>
          <w:tcPr>
            <w:tcW w:w="780" w:type="dxa"/>
          </w:tcPr>
          <w:p>
            <w:pPr/>
            <w:r>
              <w:t xml:space="preserve">1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1</w:t>
            </w:r>
          </w:p>
        </w:tc>
        <w:tc>
          <w:tcPr>
            <w:tcW w:w="780" w:type="dxa"/>
          </w:tcPr>
          <w:p>
            <w:pPr/>
            <w:r>
              <w:t xml:space="preserve">24</w:t>
            </w:r>
          </w:p>
        </w:tc>
        <w:tc>
          <w:tcPr>
            <w:tcW w:w="780" w:type="dxa"/>
          </w:tcPr>
          <w:p>
            <w:pPr/>
            <w:r>
              <w:t xml:space="preserve">8,400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Training and Capacity-Building Specialist [to be confirmed]</w:t>
            </w:r>
          </w:p>
        </w:tc>
        <w:tc>
          <w:tcPr>
            <w:tcW w:w="780" w:type="dxa"/>
          </w:tcPr>
          <w:p>
            <w:pPr/>
            <w:r>
              <w:t xml:space="preserve">400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4</w:t>
            </w:r>
          </w:p>
        </w:tc>
        <w:tc>
          <w:tcPr>
            <w:tcW w:w="780" w:type="dxa"/>
          </w:tcPr>
          <w:p>
            <w:pPr/>
            <w:r>
              <w:t xml:space="preserve">10</w:t>
            </w:r>
          </w:p>
        </w:tc>
        <w:tc>
          <w:tcPr>
            <w:tcW w:w="780" w:type="dxa"/>
          </w:tcPr>
          <w:p>
            <w:pPr/>
            <w:r>
              <w:t xml:space="preserve">16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34</w:t>
            </w:r>
          </w:p>
        </w:tc>
        <w:tc>
          <w:tcPr>
            <w:tcW w:w="780" w:type="dxa"/>
          </w:tcPr>
          <w:p>
            <w:pPr/>
            <w:r>
              <w:t xml:space="preserve">13,600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Local Market Specialist [to be confirmed]</w:t>
            </w:r>
          </w:p>
        </w:tc>
        <w:tc>
          <w:tcPr>
            <w:tcW w:w="780" w:type="dxa"/>
          </w:tcPr>
          <w:p>
            <w:pPr/>
            <w:r>
              <w:t xml:space="preserve">250</w:t>
            </w:r>
          </w:p>
        </w:tc>
        <w:tc>
          <w:tcPr>
            <w:tcW w:w="780" w:type="dxa"/>
          </w:tcPr>
          <w:p>
            <w:pPr/>
            <w:r>
              <w:t xml:space="preserve">6</w:t>
            </w:r>
          </w:p>
        </w:tc>
        <w:tc>
          <w:tcPr>
            <w:tcW w:w="780" w:type="dxa"/>
          </w:tcPr>
          <w:p>
            <w:pPr/>
            <w:r>
              <w:t xml:space="preserve">4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10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5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35</w:t>
            </w:r>
          </w:p>
        </w:tc>
        <w:tc>
          <w:tcPr>
            <w:tcW w:w="780" w:type="dxa"/>
          </w:tcPr>
          <w:p>
            <w:pPr/>
            <w:r>
              <w:t xml:space="preserve">8,750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ESG and Inclusive Finance Expert (Caroline N. Ndegwa)</w:t>
            </w:r>
          </w:p>
        </w:tc>
        <w:tc>
          <w:tcPr>
            <w:tcW w:w="780" w:type="dxa"/>
          </w:tcPr>
          <w:p>
            <w:pPr/>
            <w:r>
              <w:t xml:space="preserve">140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8</w:t>
            </w:r>
          </w:p>
        </w:tc>
        <w:tc>
          <w:tcPr>
            <w:tcW w:w="780" w:type="dxa"/>
          </w:tcPr>
          <w:p>
            <w:pPr/>
            <w:r>
              <w:t xml:space="preserve">1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1</w:t>
            </w:r>
          </w:p>
        </w:tc>
        <w:tc>
          <w:tcPr>
            <w:tcW w:w="780" w:type="dxa"/>
          </w:tcPr>
          <w:p>
            <w:pPr/>
            <w:r>
              <w:t xml:space="preserve">21</w:t>
            </w:r>
          </w:p>
        </w:tc>
        <w:tc>
          <w:tcPr>
            <w:tcW w:w="780" w:type="dxa"/>
          </w:tcPr>
          <w:p>
            <w:pPr/>
            <w:r>
              <w:t xml:space="preserve">2,940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ESG disclosure standards (Dr. Perihan Abdelghaly)</w:t>
            </w:r>
          </w:p>
        </w:tc>
        <w:tc>
          <w:tcPr>
            <w:tcW w:w="780" w:type="dxa"/>
          </w:tcPr>
          <w:p>
            <w:pPr/>
            <w:r>
              <w:t xml:space="preserve">215</w:t>
            </w:r>
          </w:p>
        </w:tc>
        <w:tc>
          <w:tcPr>
            <w:tcW w:w="780" w:type="dxa"/>
          </w:tcPr>
          <w:p>
            <w:pPr/>
            <w:r>
              <w:t xml:space="preserve">1</w:t>
            </w:r>
          </w:p>
        </w:tc>
        <w:tc>
          <w:tcPr>
            <w:tcW w:w="780" w:type="dxa"/>
          </w:tcPr>
          <w:p>
            <w:pPr/>
            <w:r>
              <w:t xml:space="preserve">5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4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10</w:t>
            </w:r>
          </w:p>
        </w:tc>
        <w:tc>
          <w:tcPr>
            <w:tcW w:w="780" w:type="dxa"/>
          </w:tcPr>
          <w:p>
            <w:pPr/>
            <w:r>
              <w:t xml:space="preserve">2,150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Scorecard methodology and data (Caroline McCoy)</w:t>
            </w:r>
          </w:p>
        </w:tc>
        <w:tc>
          <w:tcPr>
            <w:tcW w:w="780" w:type="dxa"/>
          </w:tcPr>
          <w:p>
            <w:pPr/>
            <w:r>
              <w:t xml:space="preserve">198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10</w:t>
            </w:r>
          </w:p>
        </w:tc>
        <w:tc>
          <w:tcPr>
            <w:tcW w:w="780" w:type="dxa"/>
          </w:tcPr>
          <w:p>
            <w:pPr/>
            <w:r>
              <w:t xml:space="preserve">6</w:t>
            </w:r>
          </w:p>
        </w:tc>
        <w:tc>
          <w:tcPr>
            <w:tcW w:w="780" w:type="dxa"/>
          </w:tcPr>
          <w:p>
            <w:pPr/>
            <w:r>
              <w:t xml:space="preserve">1</w:t>
            </w:r>
          </w:p>
        </w:tc>
        <w:tc>
          <w:tcPr>
            <w:tcW w:w="780" w:type="dxa"/>
          </w:tcPr>
          <w:p>
            <w:pPr/>
            <w:r>
              <w:t xml:space="preserve">21</w:t>
            </w:r>
          </w:p>
        </w:tc>
        <w:tc>
          <w:tcPr>
            <w:tcW w:w="780" w:type="dxa"/>
          </w:tcPr>
          <w:p>
            <w:pPr/>
            <w:r>
              <w:t xml:space="preserve">4,158</w:t>
            </w:r>
          </w:p>
        </w:tc>
      </w:tr>
      <w:tr>
        <w:tc>
          <w:tcPr>
            <w:tcW w:w="780" w:type="dxa"/>
          </w:tcPr>
          <w:p>
            <w:pPr/>
            <w:r>
              <w:t xml:space="preserve">Project manager (Boisy V.A. Williams)</w:t>
            </w:r>
          </w:p>
        </w:tc>
        <w:tc>
          <w:tcPr>
            <w:tcW w:w="780" w:type="dxa"/>
          </w:tcPr>
          <w:p>
            <w:pPr/>
            <w:r>
              <w:t xml:space="preserve">230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6</w:t>
            </w:r>
          </w:p>
        </w:tc>
        <w:tc>
          <w:tcPr>
            <w:tcW w:w="780" w:type="dxa"/>
          </w:tcPr>
          <w:p>
            <w:pPr/>
            <w:r>
              <w:t xml:space="preserve">23</w:t>
            </w:r>
          </w:p>
        </w:tc>
        <w:tc>
          <w:tcPr>
            <w:tcW w:w="780" w:type="dxa"/>
          </w:tcPr>
          <w:p>
            <w:pPr/>
            <w:r>
              <w:t xml:space="preserve">5,290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Toolkit and report design (Damilare Jegede)</w:t>
            </w:r>
          </w:p>
        </w:tc>
        <w:tc>
          <w:tcPr>
            <w:tcW w:w="780" w:type="dxa"/>
          </w:tcPr>
          <w:p>
            <w:pPr/>
            <w:r>
              <w:t xml:space="preserve">120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8</w:t>
            </w:r>
          </w:p>
        </w:tc>
        <w:tc>
          <w:tcPr>
            <w:tcW w:w="780" w:type="dxa"/>
          </w:tcPr>
          <w:p>
            <w:pPr/>
            <w:r>
              <w:t xml:space="preserve">5</w:t>
            </w:r>
          </w:p>
        </w:tc>
        <w:tc>
          <w:tcPr>
            <w:tcW w:w="780" w:type="dxa"/>
          </w:tcPr>
          <w:p>
            <w:pPr/>
            <w:r>
              <w:t xml:space="preserve">4</w:t>
            </w:r>
          </w:p>
        </w:tc>
        <w:tc>
          <w:tcPr>
            <w:tcW w:w="780" w:type="dxa"/>
          </w:tcPr>
          <w:p>
            <w:pPr/>
            <w:r>
              <w:t xml:space="preserve">0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2</w:t>
            </w:r>
          </w:p>
        </w:tc>
        <w:tc>
          <w:tcPr>
            <w:tcW w:w="780" w:type="dxa"/>
          </w:tcPr>
          <w:p>
            <w:pPr/>
            <w:r>
              <w:t xml:space="preserve">23</w:t>
            </w:r>
          </w:p>
        </w:tc>
        <w:tc>
          <w:tcPr>
            <w:tcW w:w="780" w:type="dxa"/>
          </w:tcPr>
          <w:p>
            <w:pPr/>
            <w:r>
              <w:t xml:space="preserve">2,760</w:t>
            </w:r>
          </w:p>
        </w:tc>
      </w:tr>
      <w:tr>
        <w:tc>
          <w:tcPr>
            <w:tcW w:w="780" w:type="dxa"/>
          </w:tcPr>
          <w:p>
            <w:pPr/>
            <w:r>
              <w:t xml:space="preserve">Coordination, tracker and data (Anastasia Muthoni)</w:t>
            </w:r>
          </w:p>
        </w:tc>
        <w:tc>
          <w:tcPr>
            <w:tcW w:w="780" w:type="dxa"/>
          </w:tcPr>
          <w:p>
            <w:pPr/>
            <w:r>
              <w:t xml:space="preserve">110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4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6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4</w:t>
            </w:r>
          </w:p>
        </w:tc>
        <w:tc>
          <w:tcPr>
            <w:tcW w:w="780" w:type="dxa"/>
          </w:tcPr>
          <w:p>
            <w:pPr/>
            <w:r>
              <w:t xml:space="preserve">3</w:t>
            </w:r>
          </w:p>
        </w:tc>
        <w:tc>
          <w:tcPr>
            <w:tcW w:w="780" w:type="dxa"/>
          </w:tcPr>
          <w:p>
            <w:pPr/>
            <w:r>
              <w:t xml:space="preserve">5</w:t>
            </w:r>
          </w:p>
        </w:tc>
        <w:tc>
          <w:tcPr>
            <w:tcW w:w="780" w:type="dxa"/>
          </w:tcPr>
          <w:p>
            <w:pPr/>
            <w:r>
              <w:t xml:space="preserve">31</w:t>
            </w:r>
          </w:p>
        </w:tc>
        <w:tc>
          <w:tcPr>
            <w:tcW w:w="780" w:type="dxa"/>
          </w:tcPr>
          <w:p>
            <w:pPr/>
            <w:r>
              <w:t xml:space="preserve">3,410</w:t>
            </w:r>
          </w:p>
        </w:tc>
      </w:tr>
      <w:tr>
        <w:tc>
          <w:tcPr>
            <w:tcW w:w="780" w:type="dxa"/>
          </w:tcPr>
          <w:p>
            <w:pPr/>
            <w:r>
              <w:rPr>
                <w:b/>
              </w:rPr>
              <w:t xml:space="preserve">Total days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32</w:t>
            </w:r>
          </w:p>
        </w:tc>
        <w:tc>
          <w:tcPr>
            <w:tcW w:w="780" w:type="dxa"/>
          </w:tcPr>
          <w:p>
            <w:pPr/>
            <w:r>
              <w:t xml:space="preserve">53</w:t>
            </w:r>
          </w:p>
        </w:tc>
        <w:tc>
          <w:tcPr>
            <w:tcW w:w="780" w:type="dxa"/>
          </w:tcPr>
          <w:p>
            <w:pPr/>
            <w:r>
              <w:t xml:space="preserve">28</w:t>
            </w:r>
          </w:p>
        </w:tc>
        <w:tc>
          <w:tcPr>
            <w:tcW w:w="780" w:type="dxa"/>
          </w:tcPr>
          <w:p>
            <w:pPr/>
            <w:r>
              <w:t xml:space="preserve">56</w:t>
            </w:r>
          </w:p>
        </w:tc>
        <w:tc>
          <w:tcPr>
            <w:tcW w:w="780" w:type="dxa"/>
          </w:tcPr>
          <w:p>
            <w:pPr/>
            <w:r>
              <w:t xml:space="preserve">16</w:t>
            </w:r>
          </w:p>
        </w:tc>
        <w:tc>
          <w:tcPr>
            <w:tcW w:w="780" w:type="dxa"/>
          </w:tcPr>
          <w:p>
            <w:pPr/>
            <w:r>
              <w:t xml:space="preserve">36</w:t>
            </w:r>
          </w:p>
        </w:tc>
        <w:tc>
          <w:tcPr>
            <w:tcW w:w="780" w:type="dxa"/>
          </w:tcPr>
          <w:p>
            <w:pPr/>
            <w:r>
              <w:t xml:space="preserve">38</w:t>
            </w:r>
          </w:p>
        </w:tc>
        <w:tc>
          <w:tcPr>
            <w:tcW w:w="780" w:type="dxa"/>
          </w:tcPr>
          <w:p>
            <w:pPr/>
            <w:r>
              <w:t xml:space="preserve">26</w:t>
            </w:r>
          </w:p>
        </w:tc>
        <w:tc>
          <w:tcPr>
            <w:tcW w:w="780" w:type="dxa"/>
          </w:tcPr>
          <w:p>
            <w:pPr/>
            <w:r>
              <w:rPr>
                <w:b/>
              </w:rPr>
              <w:t xml:space="preserve">285</w:t>
            </w:r>
          </w:p>
        </w:tc>
        <w:tc>
          <w:tcPr>
            <w:tcW w:w="780" w:type="dxa"/>
          </w:tcPr>
          <w:p>
            <w:pPr/>
          </w:p>
        </w:tc>
      </w:tr>
      <w:tr>
        <w:tc>
          <w:tcPr>
            <w:tcW w:w="780" w:type="dxa"/>
          </w:tcPr>
          <w:p>
            <w:pPr/>
            <w:r>
              <w:rPr>
                <w:b/>
              </w:rPr>
              <w:t xml:space="preserve">Fees by deliverable (USD)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t xml:space="preserve">8,571</w:t>
            </w:r>
          </w:p>
        </w:tc>
        <w:tc>
          <w:tcPr>
            <w:tcW w:w="780" w:type="dxa"/>
          </w:tcPr>
          <w:p>
            <w:pPr/>
            <w:r>
              <w:t xml:space="preserve">13,235</w:t>
            </w:r>
          </w:p>
        </w:tc>
        <w:tc>
          <w:tcPr>
            <w:tcW w:w="780" w:type="dxa"/>
          </w:tcPr>
          <w:p>
            <w:pPr/>
            <w:r>
              <w:t xml:space="preserve">7,920</w:t>
            </w:r>
          </w:p>
        </w:tc>
        <w:tc>
          <w:tcPr>
            <w:tcW w:w="780" w:type="dxa"/>
          </w:tcPr>
          <w:p>
            <w:pPr/>
            <w:r>
              <w:t xml:space="preserve">16,370</w:t>
            </w:r>
          </w:p>
        </w:tc>
        <w:tc>
          <w:tcPr>
            <w:tcW w:w="780" w:type="dxa"/>
          </w:tcPr>
          <w:p>
            <w:pPr/>
            <w:r>
              <w:t xml:space="preserve">3,856</w:t>
            </w:r>
          </w:p>
        </w:tc>
        <w:tc>
          <w:tcPr>
            <w:tcW w:w="780" w:type="dxa"/>
          </w:tcPr>
          <w:p>
            <w:pPr/>
            <w:r>
              <w:t xml:space="preserve">7,930</w:t>
            </w:r>
          </w:p>
        </w:tc>
        <w:tc>
          <w:tcPr>
            <w:tcW w:w="780" w:type="dxa"/>
          </w:tcPr>
          <w:p>
            <w:pPr/>
            <w:r>
              <w:t xml:space="preserve">8,828</w:t>
            </w:r>
          </w:p>
        </w:tc>
        <w:tc>
          <w:tcPr>
            <w:tcW w:w="780" w:type="dxa"/>
          </w:tcPr>
          <w:p>
            <w:pPr/>
            <w:r>
              <w:t xml:space="preserve">6,078</w:t>
            </w:r>
          </w:p>
        </w:tc>
        <w:tc>
          <w:tcPr>
            <w:tcW w:w="780" w:type="dxa"/>
          </w:tcPr>
          <w:p>
            <w:pPr/>
          </w:p>
        </w:tc>
        <w:tc>
          <w:tcPr>
            <w:tcW w:w="780" w:type="dxa"/>
          </w:tcPr>
          <w:p>
            <w:pPr/>
            <w:r>
              <w:rPr>
                <w:b/>
              </w:rPr>
              <w:t xml:space="preserve">72,788</w:t>
            </w:r>
          </w:p>
        </w:tc>
      </w:tr>
    </w:tbl>
    <w:p>
      <w:pPr/>
      <w:r>
        <w:t xml:space="preserve">Deliverables: D1 Inception report and diagnostic assessment; D2 Investor relations toolkit, draft and final; D3 Workshop design pack; D4 Workshops delivered and training evaluation report; D5 Investor relations society or platform framework; D6 Industry recognition and performance scorecard design; D7 ESX investor relations and investor engagement strategy; D8 Final assignment report and handover package.</w:t>
      </w:r>
    </w:p>
    <w:p>
      <w:pPr>
        <w:pStyle w:val="Heading2"/>
      </w:pPr>
      <w:r>
        <w:t xml:space="preserve">Reimbursable expenses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Unit cost (USD)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Quantity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Amount (USD)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Return international flights to Addis Ababa</w:t>
            </w:r>
          </w:p>
        </w:tc>
        <w:tc>
          <w:tcPr>
            <w:tcW w:w="2340" w:type="dxa"/>
          </w:tcPr>
          <w:p>
            <w:pPr/>
            <w:r>
              <w:t xml:space="preserve">700</w:t>
            </w:r>
          </w:p>
        </w:tc>
        <w:tc>
          <w:tcPr>
            <w:tcW w:w="2340" w:type="dxa"/>
          </w:tcPr>
          <w:p>
            <w:pPr/>
            <w:r>
              <w:t xml:space="preserve">6 trips</w:t>
            </w:r>
          </w:p>
        </w:tc>
        <w:tc>
          <w:tcPr>
            <w:tcW w:w="2340" w:type="dxa"/>
          </w:tcPr>
          <w:p>
            <w:pPr/>
            <w:r>
              <w:t xml:space="preserve">4,200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Accommodation and per diem in Addis Ababa</w:t>
            </w:r>
          </w:p>
        </w:tc>
        <w:tc>
          <w:tcPr>
            <w:tcW w:w="2340" w:type="dxa"/>
          </w:tcPr>
          <w:p>
            <w:pPr/>
            <w:r>
              <w:t xml:space="preserve">150</w:t>
            </w:r>
          </w:p>
        </w:tc>
        <w:tc>
          <w:tcPr>
            <w:tcW w:w="2340" w:type="dxa"/>
          </w:tcPr>
          <w:p>
            <w:pPr/>
            <w:r>
              <w:t xml:space="preserve">30 nights</w:t>
            </w:r>
          </w:p>
        </w:tc>
        <w:tc>
          <w:tcPr>
            <w:tcW w:w="2340" w:type="dxa"/>
          </w:tcPr>
          <w:p>
            <w:pPr/>
            <w:r>
              <w:t xml:space="preserve">4,500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Local transport in Addis Ababa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40 days</w:t>
            </w:r>
          </w:p>
        </w:tc>
        <w:tc>
          <w:tcPr>
            <w:tcW w:w="2340" w:type="dxa"/>
          </w:tcPr>
          <w:p>
            <w:pPr/>
            <w:r>
              <w:t xml:space="preserve">1,600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Visas and travel insurance</w:t>
            </w:r>
          </w:p>
        </w:tc>
        <w:tc>
          <w:tcPr>
            <w:tcW w:w="2340" w:type="dxa"/>
          </w:tcPr>
          <w:p>
            <w:pPr/>
            <w:r>
              <w:t xml:space="preserve">100</w:t>
            </w:r>
          </w:p>
        </w:tc>
        <w:tc>
          <w:tcPr>
            <w:tcW w:w="2340" w:type="dxa"/>
          </w:tcPr>
          <w:p>
            <w:pPr/>
            <w:r>
              <w:t xml:space="preserve">6 trips</w:t>
            </w:r>
          </w:p>
        </w:tc>
        <w:tc>
          <w:tcPr>
            <w:tcW w:w="2340" w:type="dxa"/>
          </w:tcPr>
          <w:p>
            <w:pPr/>
            <w:r>
              <w:t xml:space="preserve">600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Workshop venue, refreshments and printing (three two-day workshops, up to 30 participants each)</w:t>
            </w:r>
          </w:p>
        </w:tc>
        <w:tc>
          <w:tcPr>
            <w:tcW w:w="2340" w:type="dxa"/>
          </w:tcPr>
          <w:p>
            <w:pPr/>
            <w:r>
              <w:t xml:space="preserve">2,000</w:t>
            </w:r>
          </w:p>
        </w:tc>
        <w:tc>
          <w:tcPr>
            <w:tcW w:w="2340" w:type="dxa"/>
          </w:tcPr>
          <w:p>
            <w:pPr/>
            <w:r>
              <w:t xml:space="preserve">3 workshops</w:t>
            </w:r>
          </w:p>
        </w:tc>
        <w:tc>
          <w:tcPr>
            <w:tcW w:w="2340" w:type="dxa"/>
          </w:tcPr>
          <w:p>
            <w:pPr/>
            <w:r>
              <w:t xml:space="preserve">6,000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Amharic interpretation and translation of toolkit templates</w:t>
            </w:r>
          </w:p>
        </w:tc>
        <w:tc>
          <w:tcPr>
            <w:tcW w:w="2340" w:type="dxa"/>
          </w:tcPr>
          <w:p>
            <w:pPr/>
            <w:r>
              <w:t xml:space="preserve">2,500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2,500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Total reimbursable expenses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19,400</w:t>
            </w:r>
          </w:p>
        </w:tc>
      </w:tr>
    </w:tbl>
    <w:p>
      <w:pPr>
        <w:pStyle w:val="Heading2"/>
      </w:pPr>
      <w:r>
        <w:t xml:space="preserve">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Amount (USD)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Professional fees</w:t>
            </w:r>
          </w:p>
        </w:tc>
        <w:tc>
          <w:tcPr>
            <w:tcW w:w="4680" w:type="dxa"/>
          </w:tcPr>
          <w:p>
            <w:pPr/>
            <w:r>
              <w:t xml:space="preserve">72,788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Reimbursable expenses</w:t>
            </w:r>
          </w:p>
        </w:tc>
        <w:tc>
          <w:tcPr>
            <w:tcW w:w="4680" w:type="dxa"/>
          </w:tcPr>
          <w:p>
            <w:pPr/>
            <w:r>
              <w:t xml:space="preserve">19,400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Total fees and expenses, before tax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92,188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Tax</w:t>
            </w:r>
          </w:p>
        </w:tc>
        <w:tc>
          <w:tcPr>
            <w:tcW w:w="4680" w:type="dxa"/>
          </w:tcPr>
          <w:p>
            <w:pPr/>
            <w:r>
              <w:t xml:space="preserve">Withheld at source by FSD Ethiopia at the applicable rate, as Section 13 of the terms of reference provides</w:t>
            </w:r>
          </w:p>
        </w:tc>
      </w:tr>
    </w:tbl>
    <w:p>
      <w:pPr>
        <w:pStyle w:val="Heading2"/>
      </w:pPr>
      <w:r>
        <w:t xml:space="preserve">Value for money</w:t>
      </w:r>
    </w:p>
    <w:p>
      <w:pPr/>
      <w:r>
        <w:t xml:space="preserve">We have built the budget on the four principles of value for money. </w:t>
      </w:r>
      <w:r>
        <w:rPr>
          <w:b/>
        </w:rPr>
        <w:t xml:space="preserve">Economy:</w:t>
      </w:r>
      <w:r>
        <w:t xml:space="preserve"> rates are set against each expert’s role and experience, and the team mix keeps senior time on the work that needs it. </w:t>
      </w:r>
      <w:r>
        <w:rPr>
          <w:b/>
        </w:rPr>
        <w:t xml:space="preserve">Efficiency:</w:t>
      </w:r>
      <w:r>
        <w:t xml:space="preserve"> we adapt tested toolkits from peer exchanges instead of building from scratch, which keeps design days low and puts more time into fitting the content to Ethiopia. </w:t>
      </w:r>
      <w:r>
        <w:rPr>
          <w:b/>
        </w:rPr>
        <w:t xml:space="preserve">Effectiveness:</w:t>
      </w:r>
      <w:r>
        <w:t xml:space="preserve"> 56 of the 285 days go to delivering and evaluating the workshops, and another 53 to the toolkit, the two outputs participants use directly. </w:t>
      </w:r>
      <w:r>
        <w:rPr>
          <w:b/>
        </w:rPr>
        <w:t xml:space="preserve">Equity:</w:t>
      </w:r>
      <w:r>
        <w:t xml:space="preserve"> a local market specialist is on the team for 35 days, and the toolkit and workshops address gender and inclusion in disclosure.</w:t>
      </w:r>
    </w:p>
    <w:p>
      <w:pPr>
        <w:pStyle w:val="Heading2"/>
      </w:pPr>
      <w:r>
        <w:t xml:space="preserve">Assumptions and terms</w:t>
      </w:r>
    </w:p>
    <w:p>
      <w:pPr>
        <w:pStyle w:val="ListParagraph"/>
        <w:numPr>
          <w:ilvl w:val="0"/>
          <w:numId w:val="2"/>
        </w:numPr>
      </w:pPr>
      <w:r>
        <w:t xml:space="preserve">Three two-day workshops in Addis Ababa, with up to 30 participants each. If ESX provides the venue, the venue line reduces.</w:t>
      </w:r>
    </w:p>
    <w:p>
      <w:pPr>
        <w:pStyle w:val="ListParagraph"/>
        <w:numPr>
          <w:ilvl w:val="0"/>
          <w:numId w:val="2"/>
        </w:numPr>
      </w:pPr>
      <w:r>
        <w:t xml:space="preserve">Economy-class travel; accommodation and per diem at the unit costs above. Expenses are billed at actual cost up to the amounts shown.</w:t>
      </w:r>
    </w:p>
    <w:p>
      <w:pPr>
        <w:pStyle w:val="ListParagraph"/>
        <w:numPr>
          <w:ilvl w:val="0"/>
          <w:numId w:val="2"/>
        </w:numPr>
      </w:pPr>
      <w:r>
        <w:t xml:space="preserve">One consultant day equals eight productive hours. Prices are in US dollars and held firm for the three-month assignment.</w:t>
      </w:r>
    </w:p>
    <w:p>
      <w:pPr>
        <w:pStyle w:val="ListParagraph"/>
        <w:numPr>
          <w:ilvl w:val="0"/>
          <w:numId w:val="2"/>
        </w:numPr>
      </w:pPr>
      <w:r>
        <w:t xml:space="preserve">FSD Ethiopia and ESX return comments on drafts within five working days.</w:t>
      </w:r>
    </w:p>
    <w:p>
      <w:pPr>
        <w:pStyle w:val="ListParagraph"/>
        <w:numPr>
          <w:ilvl w:val="0"/>
          <w:numId w:val="2"/>
        </w:numPr>
      </w:pPr>
      <w:r>
        <w:t xml:space="preserve">This financial proposal is valid for 90 days from the submission date.</w:t>
      </w:r>
    </w:p>
    <w:p>
      <w:pPr/>
      <w:r>
        <w:rPr>
          <w:b/>
        </w:rPr>
        <w:t xml:space="preserve">Proposed payment against deliverables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Share of total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Deliverable 1, inception report, accepted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Deliverable 2, final toolkit, accepted</w:t>
            </w:r>
          </w:p>
        </w:tc>
        <w:tc>
          <w:tcPr>
            <w:tcW w:w="4680" w:type="dxa"/>
          </w:tcPr>
          <w:p>
            <w:pPr/>
            <w:r>
              <w:t xml:space="preserve">20%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Deliverables 3 and 4, workshops delivered and evaluation report, accepted</w:t>
            </w:r>
          </w:p>
        </w:tc>
        <w:tc>
          <w:tcPr>
            <w:tcW w:w="468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Deliverables 5 and 6, society framework and recognition and scorecard design, accepted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Deliverable 7, ESX strategy, accepted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Deliverable 8, final report and handover, accepted</w:t>
            </w:r>
          </w:p>
        </w:tc>
        <w:tc>
          <w:tcPr>
            <w:tcW w:w="4680" w:type="dxa"/>
          </w:tcPr>
          <w:p>
            <w:pPr/>
            <w:r>
              <w:t xml:space="preserve">10%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Financial proposal Strengthening Investor Relations in Ethiopia's Capital Market</dc:title>
  <dc:description>Claude Docs node/9f040041-d906@1 docx-w6</dc:description>
  <cp:revision>1</cp:revision>
</cp:coreProperties>
</file>