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Proposal: Strengthening Investor Relations in Ethiopia's Capital Market | FSD Ethiopia and ESX</w:t>
      </w:r>
    </w:p>
    <w:p>
      <w:pPr/>
      <w:r>
        <w:t xml:space="preserve">Oct 2, 2026</w:t>
      </w:r>
      <w:r>
        <w:t xml:space="preserve"> · </w:t>
      </w:r>
      <w:r>
        <w:t xml:space="preserve">@Anastasia Muthoni</w:t>
      </w:r>
    </w:p>
    <w:p>
      <w:pPr>
        <w:pStyle w:val="Heading2"/>
      </w:pPr>
      <w:r>
        <w:t xml:space="preserve">Cover letter</w:t>
      </w:r>
    </w:p>
    <w:p>
      <w:pPr/>
      <w:r>
        <w:t xml:space="preserve">To: FSD Ethiopia and the Ethiopian Securities Exchange (bids@fsdethiopia.org)</w:t>
      </w:r>
    </w:p>
    <w:p>
      <w:pPr/>
      <w:r>
        <w:t xml:space="preserve">Re: Strengthening Investor Relations Capacity Among Listed, OTC-Traded, and Prospective Public Companies in Ethiopia’s Capital Market</w:t>
      </w:r>
    </w:p>
    <w:p>
      <w:pPr/>
      <w:r>
        <w:t xml:space="preserve">Smart Investment, in core partnership with Smart Impact Consult (SIC), submits this technical proposal for the three-month assignment set out in your Request for Proposals. A separate financial proposal, on your template, is submitted at the same time.</w:t>
      </w:r>
    </w:p>
    <w:p>
      <w:pPr/>
      <w:r>
        <w:t xml:space="preserve">Smart Investment has operated from Sierra Leone since 2001. SIC is the group’s boutique impact-investment practice, working across Kenya and Sierra Leone in fund advisory, DFI advisory, technical assistance to funds, impact measurement and reporting, and applied research published through its own Insights Hub at smartimpactconsult.com. Our diagnosis of the markets we work in is that Africa’s capital markets are vibrant yet under-structured, limited by fragmented data, weak pipelines and limited readiness for capital. Ethiopia’s new exchange is the clearest present case, and investor relations is the function that turns readiness into investor confidence.</w:t>
      </w:r>
    </w:p>
    <w:p>
      <w:pPr/>
      <w:r>
        <w:t xml:space="preserve">We confirm that we have read the terms of reference and propose to deliver all five components and all eight deliverables: the inception and diagnostic, the investor relations toolkit, the in-person workshops, the investor relations society, industry recognition mechanism and performance scorecard, and the investor engagement strategy for ESX.</w:t>
      </w:r>
    </w:p>
    <w:p>
      <w:pPr/>
      <w:r>
        <w:t xml:space="preserve">We confirm that all materials, tools, templates, training content, scorecards and reports developed under this assignment will be the property of ESX and/or FSD Ethiopia as the contract provides, and that we will hand over all final editable source files, not only PDF versions. We understand that FSD Ethiopia will withhold the applicable taxes at source.</w:t>
      </w:r>
    </w:p>
    <w:p>
      <w:pPr/>
      <w:r>
        <w:t xml:space="preserve">Regina Love Clarkson</w:t>
      </w:r>
    </w:p>
    <w:p>
      <w:pPr/>
      <w:r>
        <w:t xml:space="preserve">Engagement Director, Smart Impact Consult</w:t>
      </w:r>
    </w:p>
    <w:p>
      <w:pPr/>
      <w:r>
        <w:t xml:space="preserve">2 October 2026</w:t>
      </w:r>
    </w:p>
    <w:p>
      <w:pPr>
        <w:pStyle w:val="Heading2"/>
      </w:pPr>
      <w:r>
        <w:t xml:space="preserve">Technical proposal</w:t>
      </w:r>
    </w:p>
    <w:p>
      <w:pPr>
        <w:pStyle w:val="Heading3"/>
      </w:pPr>
      <w:r>
        <w:t xml:space="preserve">1 Understanding of the assignment</w:t>
      </w:r>
    </w:p>
    <w:p>
      <w:pPr/>
      <w:r>
        <w:t xml:space="preserve">Ethiopia’s capital market is less than two years old. The Ethiopian Securities Exchange (ESX) was launched in January 2025 under the Ethiopian Capital Market Authority (ECMA), and the first cohort of listed companies, a growing group admitted or expected to be admitted to over-the-counter trading, and a pipeline moving through registration will set the market’s early standards for disclosure, investor communication and confidence. The terms of reference are clear that investor relations is the function that makes this work, and equally clear that it is underdeveloped in companies moving from private or closely held status into public life.</w:t>
      </w:r>
    </w:p>
    <w:p>
      <w:pPr/>
      <w:r>
        <w:t xml:space="preserve">We read the assignment as four connected objectives, each with its own test of success.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Objective</w:t>
            </w:r>
          </w:p>
        </w:tc>
        <w:tc>
          <w:tcPr>
            <w:tcW w:w="3120" w:type="dxa"/>
            <w:shd w:val="clear" w:color="auto" w:fill="F2F2F2"/>
          </w:tcPr>
          <w:p>
            <w:pPr/>
            <w:r>
              <w:t xml:space="preserve">What it requires</w:t>
            </w:r>
          </w:p>
        </w:tc>
        <w:tc>
          <w:tcPr>
            <w:tcW w:w="3120" w:type="dxa"/>
            <w:shd w:val="clear" w:color="auto" w:fill="F2F2F2"/>
          </w:tcPr>
          <w:p>
            <w:pPr/>
            <w:r>
              <w:t xml:space="preserve">How we will know it has worked</w:t>
            </w:r>
          </w:p>
        </w:tc>
      </w:tr>
      <w:tr>
        <w:tc>
          <w:tcPr>
            <w:tcW w:w="3120" w:type="dxa"/>
          </w:tcPr>
          <w:p>
            <w:pPr/>
            <w:r>
              <w:t xml:space="preserve">1 Issuer-level capacity</w:t>
            </w:r>
          </w:p>
        </w:tc>
        <w:tc>
          <w:tcPr>
            <w:tcW w:w="3120" w:type="dxa"/>
          </w:tcPr>
          <w:p>
            <w:pPr/>
            <w:r>
              <w:t xml:space="preserve">Officers, company secretaries, CFOs and executives who know their disclosure obligations and how to speak to investors</w:t>
            </w:r>
          </w:p>
        </w:tc>
        <w:tc>
          <w:tcPr>
            <w:tcW w:w="3120" w:type="dxa"/>
          </w:tcPr>
          <w:p>
            <w:pPr/>
            <w:r>
              <w:t xml:space="preserve">Participants score higher after training than before, and say what they will do differently</w:t>
            </w:r>
          </w:p>
        </w:tc>
      </w:tr>
      <w:tr>
        <w:tc>
          <w:tcPr>
            <w:tcW w:w="3120" w:type="dxa"/>
          </w:tcPr>
          <w:p>
            <w:pPr/>
            <w:r>
              <w:t xml:space="preserve">2 Practical systems inside issuers</w:t>
            </w:r>
          </w:p>
        </w:tc>
        <w:tc>
          <w:tcPr>
            <w:tcW w:w="3120" w:type="dxa"/>
          </w:tcPr>
          <w:p>
            <w:pPr/>
            <w:r>
              <w:t xml:space="preserve">A toolkit of templates, calendars and checklists that a company with no investor relations team can adopt</w:t>
            </w:r>
          </w:p>
        </w:tc>
        <w:tc>
          <w:tcPr>
            <w:tcW w:w="3120" w:type="dxa"/>
          </w:tcPr>
          <w:p>
            <w:pPr/>
            <w:r>
              <w:t xml:space="preserve">A company at low maturity can use a template on the day it receives it</w:t>
            </w:r>
          </w:p>
        </w:tc>
      </w:tr>
      <w:tr>
        <w:tc>
          <w:tcPr>
            <w:tcW w:w="3120" w:type="dxa"/>
          </w:tcPr>
          <w:p>
            <w:pPr/>
            <w:r>
              <w:t xml:space="preserve">3 Market-wide recognition and accountability</w:t>
            </w:r>
          </w:p>
        </w:tc>
        <w:tc>
          <w:tcPr>
            <w:tcW w:w="3120" w:type="dxa"/>
          </w:tcPr>
          <w:p>
            <w:pPr/>
            <w:r>
              <w:t xml:space="preserve">A society or platform, a recognition mechanism and a scorecard that ESX can run without us</w:t>
            </w:r>
          </w:p>
        </w:tc>
        <w:tc>
          <w:tcPr>
            <w:tcW w:w="3120" w:type="dxa"/>
          </w:tcPr>
          <w:p>
            <w:pPr/>
            <w:r>
              <w:t xml:space="preserve">ESX can explain to an issuer why it scored as it did, and the scorecard complements regulation, not replaces it</w:t>
            </w:r>
          </w:p>
        </w:tc>
      </w:tr>
      <w:tr>
        <w:tc>
          <w:tcPr>
            <w:tcW w:w="3120" w:type="dxa"/>
          </w:tcPr>
          <w:p>
            <w:pPr/>
            <w:r>
              <w:t xml:space="preserve">4 ESX’s own engagement function</w:t>
            </w:r>
          </w:p>
        </w:tc>
        <w:tc>
          <w:tcPr>
            <w:tcW w:w="3120" w:type="dxa"/>
          </w:tcPr>
          <w:p>
            <w:pPr/>
            <w:r>
              <w:t xml:space="preserve">A strategy and operating model for engaging domestic, diaspora, foreign, retail, ESG, gender-lens, impact and development-finance investors</w:t>
            </w:r>
          </w:p>
        </w:tc>
        <w:tc>
          <w:tcPr>
            <w:tcW w:w="3120" w:type="dxa"/>
          </w:tcPr>
          <w:p>
            <w:pPr/>
            <w:r>
              <w:t xml:space="preserve">ESX has a phased plan with named roles, channels and indicators</w:t>
            </w:r>
          </w:p>
        </w:tc>
      </w:tr>
    </w:tbl>
    <w:p>
      <w:pPr/>
      <w:r>
        <w:t xml:space="preserve">We draw four consequences that shape how we work.</w:t>
      </w:r>
    </w:p>
    <w:p>
      <w:pPr>
        <w:pStyle w:val="ListParagraph"/>
        <w:numPr>
          <w:ilvl w:val="0"/>
          <w:numId w:val="2"/>
        </w:numPr>
      </w:pPr>
      <w:r>
        <w:rPr>
          <w:b/>
        </w:rPr>
        <w:t xml:space="preserve">Issuers are at very different levels.</w:t>
      </w:r>
      <w:r>
        <w:t xml:space="preserve"> A listed bank, an OTC company and a firm preparing to list need different things. The diagnostic in Component 1 therefore decides who is trained on what, and the toolkit is built in layers that a company can pick up at its own level.</w:t>
      </w:r>
    </w:p>
    <w:p>
      <w:pPr>
        <w:pStyle w:val="ListParagraph"/>
        <w:numPr>
          <w:ilvl w:val="0"/>
          <w:numId w:val="2"/>
        </w:numPr>
      </w:pPr>
      <w:r>
        <w:rPr>
          <w:b/>
        </w:rPr>
        <w:t xml:space="preserve">Rules come first.</w:t>
      </w:r>
      <w:r>
        <w:t xml:space="preserve"> Every template and checklist must trace to an ESX or ECMA requirement. A toolkit that gives sound general advice but misses a local disclosure rule would do harm, so the regulatory expert reviews every chapter.</w:t>
      </w:r>
    </w:p>
    <w:p>
      <w:pPr>
        <w:pStyle w:val="ListParagraph"/>
        <w:numPr>
          <w:ilvl w:val="0"/>
          <w:numId w:val="2"/>
        </w:numPr>
      </w:pPr>
      <w:r>
        <w:rPr>
          <w:b/>
        </w:rPr>
        <w:t xml:space="preserve">ESX has to own the result.</w:t>
      </w:r>
      <w:r>
        <w:t xml:space="preserve"> The society, recognition mechanism and scorecard only work if ESX can run them after three months. We design for ESX’s capacity, not for ours, and plan knowledge transfer from week one.</w:t>
      </w:r>
    </w:p>
    <w:p>
      <w:pPr>
        <w:pStyle w:val="ListParagraph"/>
        <w:numPr>
          <w:ilvl w:val="0"/>
          <w:numId w:val="2"/>
        </w:numPr>
      </w:pPr>
      <w:r>
        <w:rPr>
          <w:b/>
        </w:rPr>
        <w:t xml:space="preserve">Inclusion and ESG are part of the brief, not an add-on.</w:t>
      </w:r>
      <w:r>
        <w:t xml:space="preserve"> The terms ask for guidance on ESG, gender and women’s economic empowerment disclosure that is credible and free of unsupported claims. We treat these as disclosure quality questions, with the same discipline as financial disclosure.</w:t>
      </w:r>
    </w:p>
    <w:p>
      <w:pPr/>
      <w:r>
        <w:t xml:space="preserve">The assignment reports directly to FSD Ethiopia and the ESX team, and we will hold ourselves to that: no work product goes to participating companies before FSD Ethiopia and ESX have reviewed it.</w:t>
      </w:r>
    </w:p>
    <w:p>
      <w:pPr>
        <w:pStyle w:val="Heading3"/>
      </w:pPr>
      <w:r>
        <w:t xml:space="preserve">2 Proposed methodology</w:t>
      </w:r>
    </w:p>
    <w:p>
      <w:pPr/>
      <w:r>
        <w:t xml:space="preserve">We propose to diagnose first, build second, train third and hand over throughout. Each component below states what we do, what ESX and FSD Ethiopia receive, and how we keep it usable by the people it is for.</w:t>
      </w:r>
    </w:p>
    <w:p>
      <w:pPr>
        <w:pStyle w:val="Heading4"/>
      </w:pPr>
      <w:r>
        <w:t xml:space="preserve">Component 1: Inception, diagnostic assessment and workplan (weeks 1 to 3)</w:t>
      </w:r>
    </w:p>
    <w:p>
      <w:pPr>
        <w:pStyle w:val="ListParagraph"/>
        <w:numPr>
          <w:ilvl w:val="0"/>
          <w:numId w:val="3"/>
        </w:numPr>
      </w:pPr>
      <w:r>
        <w:rPr>
          <w:b/>
        </w:rPr>
        <w:t xml:space="preserve">Rules.</w:t>
      </w:r>
      <w:r>
        <w:t xml:space="preserve"> Review ESX and ECMA listing, disclosure and governance requirements, and map each to the obligations an issuer must meet.</w:t>
      </w:r>
    </w:p>
    <w:p>
      <w:pPr>
        <w:pStyle w:val="ListParagraph"/>
        <w:numPr>
          <w:ilvl w:val="0"/>
          <w:numId w:val="3"/>
        </w:numPr>
      </w:pPr>
      <w:r>
        <w:rPr>
          <w:b/>
        </w:rPr>
        <w:t xml:space="preserve">Disclosure practice.</w:t>
      </w:r>
      <w:r>
        <w:t xml:space="preserve"> Review a sample of listed, OTC-traded and pipeline companies’ announcements, websites, annual reports and investor materials against a common checklist, scored so that gaps can be compared by company type.</w:t>
      </w:r>
    </w:p>
    <w:p>
      <w:pPr>
        <w:pStyle w:val="ListParagraph"/>
        <w:numPr>
          <w:ilvl w:val="0"/>
          <w:numId w:val="3"/>
        </w:numPr>
      </w:pPr>
      <w:r>
        <w:rPr>
          <w:b/>
        </w:rPr>
        <w:t xml:space="preserve">Consultations.</w:t>
      </w:r>
      <w:r>
        <w:t xml:space="preserve"> Interview at least 20 stakeholders: listed companies, OTC-traded and prospective companies, investors, brokers, analysts, ESX and ECMA staff, and media.</w:t>
      </w:r>
    </w:p>
    <w:p>
      <w:pPr>
        <w:pStyle w:val="ListParagraph"/>
        <w:numPr>
          <w:ilvl w:val="0"/>
          <w:numId w:val="3"/>
        </w:numPr>
      </w:pPr>
      <w:r>
        <w:rPr>
          <w:b/>
        </w:rPr>
        <w:t xml:space="preserve">ESG and gender readiness.</w:t>
      </w:r>
      <w:r>
        <w:t xml:space="preserve"> Assess whether issuers can report ESG information, including gender-disaggregated data consistent with the 2X Challenge.</w:t>
      </w:r>
    </w:p>
    <w:p>
      <w:pPr>
        <w:pStyle w:val="ListParagraph"/>
        <w:numPr>
          <w:ilvl w:val="0"/>
          <w:numId w:val="3"/>
        </w:numPr>
      </w:pPr>
      <w:r>
        <w:rPr>
          <w:b/>
        </w:rPr>
        <w:t xml:space="preserve">Gaps and cohorts.</w:t>
      </w:r>
      <w:r>
        <w:t xml:space="preserve"> Identify priority capacity gaps by company type and role, confirm the participant profile and propose the cohort structure.</w:t>
      </w:r>
    </w:p>
    <w:p>
      <w:pPr>
        <w:pStyle w:val="ListParagraph"/>
        <w:numPr>
          <w:ilvl w:val="0"/>
          <w:numId w:val="3"/>
        </w:numPr>
      </w:pPr>
      <w:r>
        <w:rPr>
          <w:b/>
        </w:rPr>
        <w:t xml:space="preserve">Inception report (Deliverable 1)</w:t>
      </w:r>
      <w:r>
        <w:t xml:space="preserve"> at the end of week 3: diagnostic findings, consultation summary, refined methodology, workplan, training approach and deliverable schedule.</w:t>
      </w:r>
    </w:p>
    <w:p>
      <w:pPr>
        <w:pStyle w:val="Heading4"/>
      </w:pPr>
      <w:r>
        <w:t xml:space="preserve">Component 2: Investor relations toolkit (weeks 3 to 9)</w:t>
      </w:r>
    </w:p>
    <w:p>
      <w:pPr/>
      <w:r>
        <w:t xml:space="preserve">We build the toolkit in eight modules that follow the terms of reference: building the investor relations function; regulatory and disclosure obligations; investor communication; investor engagement; digital investor relations; ESG and sustainability communication; crisis communication; and self-assessment and implementation support.</w:t>
      </w:r>
    </w:p>
    <w:p>
      <w:pPr/>
      <w:r>
        <w:t xml:space="preserve">Three design rules make it usable. First, each module has three layers: </w:t>
      </w:r>
      <w:r>
        <w:rPr>
          <w:i/>
        </w:rPr>
        <w:t xml:space="preserve">Essentials</w:t>
      </w:r>
      <w:r>
        <w:t xml:space="preserve"> for a company that has never had an investor relations function, </w:t>
      </w:r>
      <w:r>
        <w:rPr>
          <w:i/>
        </w:rPr>
        <w:t xml:space="preserve">Standard</w:t>
      </w:r>
      <w:r>
        <w:t xml:space="preserve"> for a company with a basic function, and </w:t>
      </w:r>
      <w:r>
        <w:rPr>
          <w:i/>
        </w:rPr>
        <w:t xml:space="preserve">Advanced</w:t>
      </w:r>
      <w:r>
        <w:t xml:space="preserve"> for one ready for roadshows and analyst coverage. Second, every template carries instructions, a worked example and a note naming the ESX or ECMA rule it serves. Third, the content is plain language, with legal text kept to the rule references.</w:t>
      </w:r>
    </w:p>
    <w:p>
      <w:pPr/>
      <w:r>
        <w:t xml:space="preserve">The regulatory and disclosure expert reviews every chapter against ESX and ECMA requirements. We deliver the draft toolkit in week 7, test it with participating companies in the workshops, and issue the final toolkit in week 9 as editable Word, Excel and PowerPoint files and print-ready PDFs (Deliverable 2).</w:t>
      </w:r>
    </w:p>
    <w:p>
      <w:pPr>
        <w:pStyle w:val="Heading4"/>
      </w:pPr>
      <w:r>
        <w:t xml:space="preserve">Component 3: In-person capacity-building workshops (weeks 5 to 11)</w:t>
      </w:r>
    </w:p>
    <w:p>
      <w:pPr/>
      <w:r>
        <w:t xml:space="preserve">We propose three two-day workshops in Addis Ababa, each for up to 30 participants, with the structure confirmed in the inception report: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Cohort</w:t>
            </w:r>
          </w:p>
        </w:tc>
        <w:tc>
          <w:tcPr>
            <w:tcW w:w="3120" w:type="dxa"/>
            <w:shd w:val="clear" w:color="auto" w:fill="F2F2F2"/>
          </w:tcPr>
          <w:p>
            <w:pPr/>
            <w:r>
              <w:t xml:space="preserve">Participants</w:t>
            </w:r>
          </w:p>
        </w:tc>
        <w:tc>
          <w:tcPr>
            <w:tcW w:w="3120" w:type="dxa"/>
            <w:shd w:val="clear" w:color="auto" w:fill="F2F2F2"/>
          </w:tcPr>
          <w:p>
            <w:pPr/>
            <w:r>
              <w:t xml:space="preserve">Focus</w:t>
            </w:r>
          </w:p>
        </w:tc>
      </w:tr>
      <w:tr>
        <w:tc>
          <w:tcPr>
            <w:tcW w:w="3120" w:type="dxa"/>
          </w:tcPr>
          <w:p>
            <w:pPr/>
            <w:r>
              <w:t xml:space="preserve">A</w:t>
            </w:r>
          </w:p>
        </w:tc>
        <w:tc>
          <w:tcPr>
            <w:tcW w:w="3120" w:type="dxa"/>
          </w:tcPr>
          <w:p>
            <w:pPr/>
            <w:r>
              <w:t xml:space="preserve">Listed companies: investor relations officers and designates, company secretaries, CFOs, executives, compliance and communications officers</w:t>
            </w:r>
          </w:p>
        </w:tc>
        <w:tc>
          <w:tcPr>
            <w:tcW w:w="3120" w:type="dxa"/>
          </w:tcPr>
          <w:p>
            <w:pPr/>
            <w:r>
              <w:t xml:space="preserve">Obligations in force, material information, results announcements, investor and analyst engagement</w:t>
            </w:r>
          </w:p>
        </w:tc>
      </w:tr>
      <w:tr>
        <w:tc>
          <w:tcPr>
            <w:tcW w:w="3120" w:type="dxa"/>
          </w:tcPr>
          <w:p>
            <w:pPr/>
            <w:r>
              <w:t xml:space="preserve">B</w:t>
            </w:r>
          </w:p>
        </w:tc>
        <w:tc>
          <w:tcPr>
            <w:tcW w:w="3120" w:type="dxa"/>
          </w:tcPr>
          <w:p>
            <w:pPr/>
            <w:r>
              <w:t xml:space="preserve">OTC-traded and prospective companies</w:t>
            </w:r>
          </w:p>
        </w:tc>
        <w:tc>
          <w:tcPr>
            <w:tcW w:w="3120" w:type="dxa"/>
          </w:tcPr>
          <w:p>
            <w:pPr/>
            <w:r>
              <w:t xml:space="preserve">Building the function, preparing for listing, disclosure calendar, first investor presentation</w:t>
            </w:r>
          </w:p>
        </w:tc>
      </w:tr>
      <w:tr>
        <w:tc>
          <w:tcPr>
            <w:tcW w:w="3120" w:type="dxa"/>
          </w:tcPr>
          <w:p>
            <w:pPr/>
            <w:r>
              <w:t xml:space="preserve">C</w:t>
            </w:r>
          </w:p>
        </w:tc>
        <w:tc>
          <w:tcPr>
            <w:tcW w:w="3120" w:type="dxa"/>
          </w:tcPr>
          <w:p>
            <w:pPr/>
            <w:r>
              <w:t xml:space="preserve">ESX and ECMA staff, with selected brokers and analysts</w:t>
            </w:r>
          </w:p>
        </w:tc>
        <w:tc>
          <w:tcPr>
            <w:tcW w:w="3120" w:type="dxa"/>
          </w:tcPr>
          <w:p>
            <w:pPr/>
            <w:r>
              <w:t xml:space="preserve">Issuer support, investor engagement, using the scorecard, handling inquiries</w:t>
            </w:r>
          </w:p>
        </w:tc>
      </w:tr>
    </w:tbl>
    <w:p>
      <w:pPr/>
      <w:r>
        <w:t xml:space="preserve">Each workshop is case-based and set in Ethiopian conditions. Every participant takes a short pre-training assessment and the same assessment after training. Each cohort ends with a practical simulation, a mock earnings call or a mock AGM, so that participants practise with the toolkit rather than only hearing about it. We hand over the curriculum, facilitator guides, participant manuals, slides, exercises, case studies and assessment tools (Deliverable 3), and a training evaluation report with attendance, participant profile, assessment results, feedback, lessons learned and recommendations for follow-up support and refresher clinics (Deliverable 4).</w:t>
      </w:r>
    </w:p>
    <w:p>
      <w:pPr>
        <w:pStyle w:val="Heading4"/>
      </w:pPr>
      <w:r>
        <w:t xml:space="preserve">Component 4: Society, recognition mechanism and scorecard (weeks 5 to 11)</w:t>
      </w:r>
    </w:p>
    <w:p>
      <w:pPr/>
      <w:r>
        <w:rPr>
          <w:b/>
        </w:rPr>
        <w:t xml:space="preserve">4.1 Investor relations society or issuer engagement platform.</w:t>
      </w:r>
      <w:r>
        <w:t xml:space="preserve"> We set out three options: a programme hosted by ESX, a member association of practitioners, and a hybrid in which ESX hosts and members govern. For each we state the purpose, mandate, governance, membership model, operating structure, costs and sustainability plan, recommend one for a market of this size, and set out implementation steps (Deliverable 5).</w:t>
      </w:r>
    </w:p>
    <w:p>
      <w:pPr/>
      <w:r>
        <w:rPr>
          <w:b/>
        </w:rPr>
        <w:t xml:space="preserve">4.2 Industry recognition mechanism.</w:t>
      </w:r>
      <w:r>
        <w:t xml:space="preserve"> We design categories for timely disclosure, quality of investor presentations, best investor relations webpage, improved shareholder communication, best annual report communication, most improved issuer and best investor engagement initiative. Criteria are published, an independent panel judges, panel members declare conflicts, and the awards include a most-improved category, so that new issuers are recognised for progress and not only for starting ahead.</w:t>
      </w:r>
    </w:p>
    <w:p>
      <w:pPr/>
      <w:r>
        <w:rPr>
          <w:b/>
        </w:rPr>
        <w:t xml:space="preserve">4.3 Disclosure and investor relations performance scorecard.</w:t>
      </w:r>
      <w:r>
        <w:t xml:space="preserve"> We propose indicators across financial, governance, operational, ESG and sustainability-related disclosure, with scoring method, weights, public data sources and a verification process. The scorecard treats listed, OTC-traded and pipeline companies separately, begins with banded ratings instead of a league table, gives issuers a right of reply before publication, and states plainly that it complements regulatory supervision and does not replace it. We pilot it on a small group of issuers before the design is final (Deliverable 6).</w:t>
      </w:r>
    </w:p>
    <w:p>
      <w:pPr>
        <w:pStyle w:val="Heading4"/>
      </w:pPr>
      <w:r>
        <w:t xml:space="preserve">Component 5: ESX investor relations and investor engagement strategy (weeks 4 to 11)</w:t>
      </w:r>
    </w:p>
    <w:p>
      <w:pPr/>
      <w:r>
        <w:t xml:space="preserve">We build the strategy with ESX in working sessions, not for it. It covers ESX’s role and objectives; segmentation of domestic institutional, pension, bank and insurer, retail, diaspora, foreign, ESG, gender-lens and impact investors, development partners, brokers, analysts and media; engagement channels such as investor days, issuer showcases, sector briefings, roadshows, webinars, newsletters and diaspora sessions; links to investor education and financial literacy; investor feedback and perception surveys; the institutional and operating model, with roles, skills, systems and governance; communication channels and content; risk safeguards on conflicts of interest, confidentiality, non-public information and selective disclosure; indicators; a phased roadmap; and a knowledge transfer plan (Deliverable 7).</w:t>
      </w:r>
    </w:p>
    <w:p>
      <w:pPr/>
      <w:r>
        <w:rPr>
          <w:b/>
        </w:rPr>
        <w:t xml:space="preserve">Final report and handover (Deliverable 8)</w:t>
      </w:r>
      <w:r>
        <w:t xml:space="preserve"> in week 12 summarises the work, lessons, recommendations and implementation priorities, with every editable file in an organised archive.</w:t>
      </w:r>
    </w:p>
    <w:p>
      <w:pPr/>
      <w:r>
        <w:rPr>
          <w:b/>
        </w:rPr>
        <w:t xml:space="preserve">How this compares with peer practice.</w:t>
      </w:r>
      <w:r>
        <w:t xml:space="preserve"> Exchanges that built investor relations support earlier give us tested starting points. We adapt them to an early-stage market, where companies have little investor relations history.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Peer practice</w:t>
            </w:r>
          </w:p>
        </w:tc>
        <w:tc>
          <w:tcPr>
            <w:tcW w:w="3120" w:type="dxa"/>
            <w:shd w:val="clear" w:color="auto" w:fill="F2F2F2"/>
          </w:tcPr>
          <w:p>
            <w:pPr/>
            <w:r>
              <w:t xml:space="preserve">What it offers</w:t>
            </w:r>
          </w:p>
        </w:tc>
        <w:tc>
          <w:tcPr>
            <w:tcW w:w="3120" w:type="dxa"/>
            <w:shd w:val="clear" w:color="auto" w:fill="F2F2F2"/>
          </w:tcPr>
          <w:p>
            <w:pPr/>
            <w:r>
              <w:t xml:space="preserve">What we adopt or change</w:t>
            </w:r>
          </w:p>
        </w:tc>
      </w:tr>
      <w:tr>
        <w:tc>
          <w:tcPr>
            <w:tcW w:w="3120" w:type="dxa"/>
          </w:tcPr>
          <w:p>
            <w:pPr/>
            <w:r>
              <w:t xml:space="preserve">Saudi Exchange (Tadawul) investor relations best practice toolkit</w:t>
            </w:r>
          </w:p>
        </w:tc>
        <w:tc>
          <w:tcPr>
            <w:tcW w:w="3120" w:type="dxa"/>
          </w:tcPr>
          <w:p>
            <w:pPr/>
            <w:r>
              <w:t xml:space="preserve">A toolkit for listed companies on practice with investors and transparency</w:t>
            </w:r>
          </w:p>
        </w:tc>
        <w:tc>
          <w:tcPr>
            <w:tcW w:w="3120" w:type="dxa"/>
          </w:tcPr>
          <w:p>
            <w:pPr/>
            <w:r>
              <w:t xml:space="preserve">The idea of a single toolkit for listed companies; we add layers for companies with no function yet</w:t>
            </w:r>
          </w:p>
        </w:tc>
      </w:tr>
      <w:tr>
        <w:tc>
          <w:tcPr>
            <w:tcW w:w="3120" w:type="dxa"/>
          </w:tcPr>
          <w:p>
            <w:pPr/>
            <w:r>
              <w:t xml:space="preserve">Bahrain Bourse and MEIRA investor relations best practice guide, 2021</w:t>
            </w:r>
          </w:p>
        </w:tc>
        <w:tc>
          <w:tcPr>
            <w:tcW w:w="3120" w:type="dxa"/>
          </w:tcPr>
          <w:p>
            <w:pPr/>
            <w:r>
              <w:t xml:space="preserve">A skeleton “IR toolbox” that companies build on and adapt</w:t>
            </w:r>
          </w:p>
        </w:tc>
        <w:tc>
          <w:tcPr>
            <w:tcW w:w="3120" w:type="dxa"/>
          </w:tcPr>
          <w:p>
            <w:pPr/>
            <w:r>
              <w:t xml:space="preserve">The skeleton approach: templates that a company adapts to its own story</w:t>
            </w:r>
          </w:p>
        </w:tc>
      </w:tr>
      <w:tr>
        <w:tc>
          <w:tcPr>
            <w:tcW w:w="3120" w:type="dxa"/>
          </w:tcPr>
          <w:p>
            <w:pPr/>
            <w:r>
              <w:t xml:space="preserve">GCC Exchanges Unified IR Guideline, 2025</w:t>
            </w:r>
          </w:p>
        </w:tc>
        <w:tc>
          <w:tcPr>
            <w:tcW w:w="3120" w:type="dxa"/>
          </w:tcPr>
          <w:p>
            <w:pPr/>
            <w:r>
              <w:t xml:space="preserve">A shared guideline across exchanges</w:t>
            </w:r>
          </w:p>
        </w:tc>
        <w:tc>
          <w:tcPr>
            <w:tcW w:w="3120" w:type="dxa"/>
          </w:tcPr>
          <w:p>
            <w:pPr/>
            <w:r>
              <w:t xml:space="preserve">Common definitions, so that ESX’s scorecard can be compared with peers later</w:t>
            </w:r>
          </w:p>
        </w:tc>
      </w:tr>
      <w:tr>
        <w:tc>
          <w:tcPr>
            <w:tcW w:w="3120" w:type="dxa"/>
          </w:tcPr>
          <w:p>
            <w:pPr/>
            <w:r>
              <w:t xml:space="preserve">Abu Dhabi Securities Exchange investor relations guide and annual recognition of issuers</w:t>
            </w:r>
          </w:p>
        </w:tc>
        <w:tc>
          <w:tcPr>
            <w:tcW w:w="3120" w:type="dxa"/>
          </w:tcPr>
          <w:p>
            <w:pPr/>
            <w:r>
              <w:t xml:space="preserve">A guide that separates mandatory standards from best practice, and recognition for issuers that meet both</w:t>
            </w:r>
          </w:p>
        </w:tc>
        <w:tc>
          <w:tcPr>
            <w:tcW w:w="3120" w:type="dxa"/>
          </w:tcPr>
          <w:p>
            <w:pPr/>
            <w:r>
              <w:t xml:space="preserve">Our distinction between obligations and good practice in the toolkit, and the recognition design in 4.2</w:t>
            </w:r>
          </w:p>
        </w:tc>
      </w:tr>
      <w:tr>
        <w:tc>
          <w:tcPr>
            <w:tcW w:w="3120" w:type="dxa"/>
          </w:tcPr>
          <w:p>
            <w:pPr/>
            <w:r>
              <w:t xml:space="preserve">Investor Relations Society (UK) Best Practice Awards</w:t>
            </w:r>
          </w:p>
        </w:tc>
        <w:tc>
          <w:tcPr>
            <w:tcW w:w="3120" w:type="dxa"/>
          </w:tcPr>
          <w:p>
            <w:pPr/>
            <w:r>
              <w:t xml:space="preserve">Categories: best IR programme, annual report, corporate website, innovation and communication of sustainability</w:t>
            </w:r>
          </w:p>
        </w:tc>
        <w:tc>
          <w:tcPr>
            <w:tcW w:w="3120" w:type="dxa"/>
          </w:tcPr>
          <w:p>
            <w:pPr/>
            <w:r>
              <w:t xml:space="preserve">A practitioner society model for 4.1, and categories for 4.2 adapted to Ethiopian issuers, including most improved</w:t>
            </w:r>
          </w:p>
        </w:tc>
      </w:tr>
    </w:tbl>
    <w:p>
      <w:pPr>
        <w:pStyle w:val="Heading3"/>
      </w:pPr>
      <w:r>
        <w:t xml:space="preserve">3 Work plan and timeline</w:t>
      </w:r>
    </w:p>
    <w:p>
      <w:pPr/>
      <w:r>
        <w:t xml:space="preserve">The assignment runs over 12 weeks. Components overlap on purpose: the toolkit is tested in the workshops, and what the workshops show feeds the scorecard and the ESX strategy. Weeks below count from contract start.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Deliverable</w:t>
            </w:r>
          </w:p>
        </w:tc>
        <w:tc>
          <w:tcPr>
            <w:tcW w:w="3120" w:type="dxa"/>
            <w:shd w:val="clear" w:color="auto" w:fill="F2F2F2"/>
          </w:tcPr>
          <w:p>
            <w:pPr/>
            <w:r>
              <w:t xml:space="preserve">Component</w:t>
            </w:r>
          </w:p>
        </w:tc>
        <w:tc>
          <w:tcPr>
            <w:tcW w:w="3120" w:type="dxa"/>
            <w:shd w:val="clear" w:color="auto" w:fill="F2F2F2"/>
          </w:tcPr>
          <w:p>
            <w:pPr/>
            <w:r>
              <w:t xml:space="preserve">Due</w:t>
            </w:r>
          </w:p>
        </w:tc>
      </w:tr>
      <w:tr>
        <w:tc>
          <w:tcPr>
            <w:tcW w:w="3120" w:type="dxa"/>
          </w:tcPr>
          <w:p>
            <w:pPr/>
            <w:r>
              <w:t xml:space="preserve">1 Inception report and diagnostic assessment</w:t>
            </w:r>
          </w:p>
        </w:tc>
        <w:tc>
          <w:tcPr>
            <w:tcW w:w="3120" w:type="dxa"/>
          </w:tcPr>
          <w:p>
            <w:pPr/>
            <w:r>
              <w:t xml:space="preserve">1</w:t>
            </w:r>
          </w:p>
        </w:tc>
        <w:tc>
          <w:tcPr>
            <w:tcW w:w="3120" w:type="dxa"/>
          </w:tcPr>
          <w:p>
            <w:pPr/>
            <w:r>
              <w:t xml:space="preserve">End of week 3</w:t>
            </w:r>
          </w:p>
        </w:tc>
      </w:tr>
      <w:tr>
        <w:tc>
          <w:tcPr>
            <w:tcW w:w="3120" w:type="dxa"/>
          </w:tcPr>
          <w:p>
            <w:pPr/>
            <w:r>
              <w:t xml:space="preserve">2 Draft toolkit; final toolkit</w:t>
            </w:r>
          </w:p>
        </w:tc>
        <w:tc>
          <w:tcPr>
            <w:tcW w:w="3120" w:type="dxa"/>
          </w:tcPr>
          <w:p>
            <w:pPr/>
            <w:r>
              <w:t xml:space="preserve">2</w:t>
            </w:r>
          </w:p>
        </w:tc>
        <w:tc>
          <w:tcPr>
            <w:tcW w:w="3120" w:type="dxa"/>
          </w:tcPr>
          <w:p>
            <w:pPr/>
            <w:r>
              <w:t xml:space="preserve">Draft in week 7; final in week 9</w:t>
            </w:r>
          </w:p>
        </w:tc>
      </w:tr>
      <w:tr>
        <w:tc>
          <w:tcPr>
            <w:tcW w:w="3120" w:type="dxa"/>
          </w:tcPr>
          <w:p>
            <w:pPr/>
            <w:r>
              <w:t xml:space="preserve">3 Workshop design pack</w:t>
            </w:r>
          </w:p>
        </w:tc>
        <w:tc>
          <w:tcPr>
            <w:tcW w:w="3120" w:type="dxa"/>
          </w:tcPr>
          <w:p>
            <w:pPr/>
            <w:r>
              <w:t xml:space="preserve">3</w:t>
            </w:r>
          </w:p>
        </w:tc>
        <w:tc>
          <w:tcPr>
            <w:tcW w:w="3120" w:type="dxa"/>
          </w:tcPr>
          <w:p>
            <w:pPr/>
            <w:r>
              <w:t xml:space="preserve">Week 6, before the first workshop</w:t>
            </w:r>
          </w:p>
        </w:tc>
      </w:tr>
      <w:tr>
        <w:tc>
          <w:tcPr>
            <w:tcW w:w="3120" w:type="dxa"/>
          </w:tcPr>
          <w:p>
            <w:pPr/>
            <w:r>
              <w:t xml:space="preserve">4 Workshops delivered and training evaluation report</w:t>
            </w:r>
          </w:p>
        </w:tc>
        <w:tc>
          <w:tcPr>
            <w:tcW w:w="3120" w:type="dxa"/>
          </w:tcPr>
          <w:p>
            <w:pPr/>
            <w:r>
              <w:t xml:space="preserve">3</w:t>
            </w:r>
          </w:p>
        </w:tc>
        <w:tc>
          <w:tcPr>
            <w:tcW w:w="3120" w:type="dxa"/>
          </w:tcPr>
          <w:p>
            <w:pPr/>
            <w:r>
              <w:t xml:space="preserve">Workshops in weeks 8 to 11; report in week 11</w:t>
            </w:r>
          </w:p>
        </w:tc>
      </w:tr>
      <w:tr>
        <w:tc>
          <w:tcPr>
            <w:tcW w:w="3120" w:type="dxa"/>
          </w:tcPr>
          <w:p>
            <w:pPr/>
            <w:r>
              <w:t xml:space="preserve">5 Investor relations society or platform framework</w:t>
            </w:r>
          </w:p>
        </w:tc>
        <w:tc>
          <w:tcPr>
            <w:tcW w:w="3120" w:type="dxa"/>
          </w:tcPr>
          <w:p>
            <w:pPr/>
            <w:r>
              <w:t xml:space="preserve">4</w:t>
            </w:r>
          </w:p>
        </w:tc>
        <w:tc>
          <w:tcPr>
            <w:tcW w:w="3120" w:type="dxa"/>
          </w:tcPr>
          <w:p>
            <w:pPr/>
            <w:r>
              <w:t xml:space="preserve">Draft in week 8; final in week 10</w:t>
            </w:r>
          </w:p>
        </w:tc>
      </w:tr>
      <w:tr>
        <w:tc>
          <w:tcPr>
            <w:tcW w:w="3120" w:type="dxa"/>
          </w:tcPr>
          <w:p>
            <w:pPr/>
            <w:r>
              <w:t xml:space="preserve">6 Industry recognition and performance scorecard design, with pilot</w:t>
            </w:r>
          </w:p>
        </w:tc>
        <w:tc>
          <w:tcPr>
            <w:tcW w:w="3120" w:type="dxa"/>
          </w:tcPr>
          <w:p>
            <w:pPr/>
            <w:r>
              <w:t xml:space="preserve">4</w:t>
            </w:r>
          </w:p>
        </w:tc>
        <w:tc>
          <w:tcPr>
            <w:tcW w:w="3120" w:type="dxa"/>
          </w:tcPr>
          <w:p>
            <w:pPr/>
            <w:r>
              <w:t xml:space="preserve">Week 11</w:t>
            </w:r>
          </w:p>
        </w:tc>
      </w:tr>
      <w:tr>
        <w:tc>
          <w:tcPr>
            <w:tcW w:w="3120" w:type="dxa"/>
          </w:tcPr>
          <w:p>
            <w:pPr/>
            <w:r>
              <w:t xml:space="preserve">7 ESX investor relations and investor engagement strategy</w:t>
            </w:r>
          </w:p>
        </w:tc>
        <w:tc>
          <w:tcPr>
            <w:tcW w:w="3120" w:type="dxa"/>
          </w:tcPr>
          <w:p>
            <w:pPr/>
            <w:r>
              <w:t xml:space="preserve">5</w:t>
            </w:r>
          </w:p>
        </w:tc>
        <w:tc>
          <w:tcPr>
            <w:tcW w:w="3120" w:type="dxa"/>
          </w:tcPr>
          <w:p>
            <w:pPr/>
            <w:r>
              <w:t xml:space="preserve">Week 11</w:t>
            </w:r>
          </w:p>
        </w:tc>
      </w:tr>
      <w:tr>
        <w:tc>
          <w:tcPr>
            <w:tcW w:w="3120" w:type="dxa"/>
          </w:tcPr>
          <w:p>
            <w:pPr/>
            <w:r>
              <w:t xml:space="preserve">8 Final assignment report and handover package</w:t>
            </w:r>
          </w:p>
        </w:tc>
        <w:tc>
          <w:tcPr>
            <w:tcW w:w="3120" w:type="dxa"/>
          </w:tcPr>
          <w:p>
            <w:pPr/>
            <w:r>
              <w:t xml:space="preserve">All</w:t>
            </w:r>
          </w:p>
        </w:tc>
        <w:tc>
          <w:tcPr>
            <w:tcW w:w="3120" w:type="dxa"/>
          </w:tcPr>
          <w:p>
            <w:pPr/>
            <w:r>
              <w:t xml:space="preserve">Week 12</w:t>
            </w:r>
          </w:p>
        </w:tc>
      </w:tr>
    </w:tbl>
    <w:p>
      <w:pPr/>
      <w:r>
        <w:t xml:space="preserve">We assume FSD Ethiopia and ESX return comments on each draft within five working days, and that ESX nominates a counterpart for the society, scorecard and strategy components in week 1.</w:t>
      </w:r>
    </w:p>
    <w:p>
      <w:pPr/>
      <w:r>
        <w:drawing>
          <wp:inline distT="0" distB="0" distL="0" distR="0">
            <wp:extent cx="5486400" cy="2375807"/>
            <wp:docPr id="1" name="image1" descr="work plan · 12 weeks, 7 workstreams"/>
            <a:graphic xmlns:a="http://schemas.openxmlformats.org/drawingml/2006/main">
              <a:graphicData uri="http://schemas.openxmlformats.org/drawingml/2006/picture">
                <pic:pic xmlns:pic="http://schemas.openxmlformats.org/drawingml/2006/picture">
                  <pic:nvPicPr>
                    <pic:cNvPr id="1" name="image1" descr="work plan · 12 weeks, 7 workstreams"/>
                    <pic:cNvPicPr/>
                  </pic:nvPicPr>
                  <pic:blipFill>
                    <a:blip r:embed="rId3"/>
                    <a:stretch>
                      <a:fillRect/>
                    </a:stretch>
                  </pic:blipFill>
                  <pic:spPr>
                    <a:xfrm>
                      <a:off x="0" y="0"/>
                      <a:ext cx="5486400" cy="2375807"/>
                    </a:xfrm>
                    <a:prstGeom prst="rect">
                      <a:avLst/>
                    </a:prstGeom>
                  </pic:spPr>
                </pic:pic>
              </a:graphicData>
            </a:graphic>
          </wp:inline>
        </w:drawing>
      </w:r>
    </w:p>
    <w:p>
      <w:pPr/>
      <w:r>
        <w:t xml:space="preserve">work plan · 12 weeks, 7 workstreams</w:t>
      </w:r>
    </w:p>
    <w:p>
      <w:pPr>
        <w:pStyle w:val="Heading3"/>
      </w:pPr>
      <w:r>
        <w:t xml:space="preserve">3.1 Quality assurance and risk management</w:t>
      </w:r>
    </w:p>
    <w:p>
      <w:pPr/>
      <w:r>
        <w:t xml:space="preserve">No deliverable leaves the team without three checks. A </w:t>
      </w:r>
      <w:r>
        <w:rPr>
          <w:b/>
        </w:rPr>
        <w:t xml:space="preserve">rule check</w:t>
      </w:r>
      <w:r>
        <w:t xml:space="preserve">: the regulatory expert confirms that it matches current ESX and ECMA requirements. A </w:t>
      </w:r>
      <w:r>
        <w:rPr>
          <w:b/>
        </w:rPr>
        <w:t xml:space="preserve">plain-language check</w:t>
      </w:r>
      <w:r>
        <w:t xml:space="preserve">: a reader who is not a specialist confirms they could use it. A </w:t>
      </w:r>
      <w:r>
        <w:rPr>
          <w:b/>
        </w:rPr>
        <w:t xml:space="preserve">consistency check</w:t>
      </w:r>
      <w:r>
        <w:t xml:space="preserve">: the content agrees with the other modules, the scorecard and the training. Each deliverable then follows a draft, comment and final cycle with FSD Ethiopia and ESX, and a change log records what changed and why. Training is tested before and after, the scorecard is piloted before it is final, and a weekly progress note goes to FSD Ethiopia and ESX.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Likelihood and impact</w:t>
            </w:r>
          </w:p>
        </w:tc>
        <w:tc>
          <w:tcPr>
            <w:tcW w:w="3120" w:type="dxa"/>
            <w:shd w:val="clear" w:color="auto" w:fill="F2F2F2"/>
          </w:tcPr>
          <w:p>
            <w:pPr/>
            <w:r>
              <w:t xml:space="preserve">Mitigation</w:t>
            </w:r>
          </w:p>
        </w:tc>
      </w:tr>
      <w:tr>
        <w:tc>
          <w:tcPr>
            <w:tcW w:w="3120" w:type="dxa"/>
          </w:tcPr>
          <w:p>
            <w:pPr/>
            <w:r>
              <w:t xml:space="preserve">ESX or ECMA rules change during the assignment</w:t>
            </w:r>
          </w:p>
        </w:tc>
        <w:tc>
          <w:tcPr>
            <w:tcW w:w="3120" w:type="dxa"/>
          </w:tcPr>
          <w:p>
            <w:pPr/>
            <w:r>
              <w:t xml:space="preserve">Moderate, moderate</w:t>
            </w:r>
          </w:p>
        </w:tc>
        <w:tc>
          <w:tcPr>
            <w:tcW w:w="3120" w:type="dxa"/>
          </w:tcPr>
          <w:p>
            <w:pPr/>
            <w:r>
              <w:t xml:space="preserve">Rule references kept in one table; the regulatory expert re-checks it before each issue; ESX confirms the current rulebook in week 1</w:t>
            </w:r>
          </w:p>
        </w:tc>
      </w:tr>
      <w:tr>
        <w:tc>
          <w:tcPr>
            <w:tcW w:w="3120" w:type="dxa"/>
          </w:tcPr>
          <w:p>
            <w:pPr/>
            <w:r>
              <w:t xml:space="preserve">Issuers at very different maturity</w:t>
            </w:r>
          </w:p>
        </w:tc>
        <w:tc>
          <w:tcPr>
            <w:tcW w:w="3120" w:type="dxa"/>
          </w:tcPr>
          <w:p>
            <w:pPr/>
            <w:r>
              <w:t xml:space="preserve">High, moderate</w:t>
            </w:r>
          </w:p>
        </w:tc>
        <w:tc>
          <w:tcPr>
            <w:tcW w:w="3120" w:type="dxa"/>
          </w:tcPr>
          <w:p>
            <w:pPr/>
            <w:r>
              <w:t xml:space="preserve">Three-layer toolkit; cohorts by company type; diagnostic before design</w:t>
            </w:r>
          </w:p>
        </w:tc>
      </w:tr>
      <w:tr>
        <w:tc>
          <w:tcPr>
            <w:tcW w:w="3120" w:type="dxa"/>
          </w:tcPr>
          <w:p>
            <w:pPr/>
            <w:r>
              <w:t xml:space="preserve">Low or uneven workshop attendance</w:t>
            </w:r>
          </w:p>
        </w:tc>
        <w:tc>
          <w:tcPr>
            <w:tcW w:w="3120" w:type="dxa"/>
          </w:tcPr>
          <w:p>
            <w:pPr/>
            <w:r>
              <w:t xml:space="preserve">Moderate, high</w:t>
            </w:r>
          </w:p>
        </w:tc>
        <w:tc>
          <w:tcPr>
            <w:tcW w:w="3120" w:type="dxa"/>
          </w:tcPr>
          <w:p>
            <w:pPr/>
            <w:r>
              <w:t xml:space="preserve">ESX and FSD Ethiopia nominate participants; we confirm names two weeks ahead; short follow-up clinics for absentees</w:t>
            </w:r>
          </w:p>
        </w:tc>
      </w:tr>
      <w:tr>
        <w:tc>
          <w:tcPr>
            <w:tcW w:w="3120" w:type="dxa"/>
          </w:tcPr>
          <w:p>
            <w:pPr/>
            <w:r>
              <w:t xml:space="preserve">Scorecard creates reputational harm to an issuer</w:t>
            </w:r>
          </w:p>
        </w:tc>
        <w:tc>
          <w:tcPr>
            <w:tcW w:w="3120" w:type="dxa"/>
          </w:tcPr>
          <w:p>
            <w:pPr/>
            <w:r>
              <w:t xml:space="preserve">Moderate, high</w:t>
            </w:r>
          </w:p>
        </w:tc>
        <w:tc>
          <w:tcPr>
            <w:tcW w:w="3120" w:type="dxa"/>
          </w:tcPr>
          <w:p>
            <w:pPr/>
            <w:r>
              <w:t xml:space="preserve">Banded ratings first; public data only; right of reply; pilot before publication; clear statement that it complements supervision</w:t>
            </w:r>
          </w:p>
        </w:tc>
      </w:tr>
      <w:tr>
        <w:tc>
          <w:tcPr>
            <w:tcW w:w="3120" w:type="dxa"/>
          </w:tcPr>
          <w:p>
            <w:pPr/>
            <w:r>
              <w:t xml:space="preserve">Conflicts of interest or non-public information in training and recognition</w:t>
            </w:r>
          </w:p>
        </w:tc>
        <w:tc>
          <w:tcPr>
            <w:tcW w:w="3120" w:type="dxa"/>
          </w:tcPr>
          <w:p>
            <w:pPr/>
            <w:r>
              <w:t xml:space="preserve">Low, high</w:t>
            </w:r>
          </w:p>
        </w:tc>
        <w:tc>
          <w:tcPr>
            <w:tcW w:w="3120" w:type="dxa"/>
          </w:tcPr>
          <w:p>
            <w:pPr/>
            <w:r>
              <w:t xml:space="preserve">Training uses public examples only; judges declare conflicts; no non-public information is requested or held</w:t>
            </w:r>
          </w:p>
        </w:tc>
      </w:tr>
      <w:tr>
        <w:tc>
          <w:tcPr>
            <w:tcW w:w="3120" w:type="dxa"/>
          </w:tcPr>
          <w:p>
            <w:pPr/>
            <w:r>
              <w:t xml:space="preserve">Slow comments delay the 12-week plan</w:t>
            </w:r>
          </w:p>
        </w:tc>
        <w:tc>
          <w:tcPr>
            <w:tcW w:w="3120" w:type="dxa"/>
          </w:tcPr>
          <w:p>
            <w:pPr/>
            <w:r>
              <w:t xml:space="preserve">Moderate, moderate</w:t>
            </w:r>
          </w:p>
        </w:tc>
        <w:tc>
          <w:tcPr>
            <w:tcW w:w="3120" w:type="dxa"/>
          </w:tcPr>
          <w:p>
            <w:pPr/>
            <w:r>
              <w:t xml:space="preserve">Agreed five-day comment window; weekly meeting resolves open points; overlapping workstreams</w:t>
            </w:r>
          </w:p>
        </w:tc>
      </w:tr>
      <w:tr>
        <w:tc>
          <w:tcPr>
            <w:tcW w:w="3120" w:type="dxa"/>
          </w:tcPr>
          <w:p>
            <w:pPr/>
            <w:r>
              <w:t xml:space="preserve">An expert is unavailable</w:t>
            </w:r>
          </w:p>
        </w:tc>
        <w:tc>
          <w:tcPr>
            <w:tcW w:w="3120" w:type="dxa"/>
          </w:tcPr>
          <w:p>
            <w:pPr/>
            <w:r>
              <w:t xml:space="preserve">Low, moderate</w:t>
            </w:r>
          </w:p>
        </w:tc>
        <w:tc>
          <w:tcPr>
            <w:tcW w:w="3120" w:type="dxa"/>
          </w:tcPr>
          <w:p>
            <w:pPr/>
            <w:r>
              <w:t xml:space="preserve">A named second for each key role, introduced to FSD Ethiopia and ESX in the inception week</w:t>
            </w:r>
          </w:p>
        </w:tc>
      </w:tr>
      <w:tr>
        <w:tc>
          <w:tcPr>
            <w:tcW w:w="3120" w:type="dxa"/>
          </w:tcPr>
          <w:p>
            <w:pPr/>
            <w:r>
              <w:t xml:space="preserve">Limited issuer data on ESG and gender</w:t>
            </w:r>
          </w:p>
        </w:tc>
        <w:tc>
          <w:tcPr>
            <w:tcW w:w="3120" w:type="dxa"/>
          </w:tcPr>
          <w:p>
            <w:pPr/>
            <w:r>
              <w:t xml:space="preserve">High, low</w:t>
            </w:r>
          </w:p>
        </w:tc>
        <w:tc>
          <w:tcPr>
            <w:tcW w:w="3120" w:type="dxa"/>
          </w:tcPr>
          <w:p>
            <w:pPr/>
            <w:r>
              <w:t xml:space="preserve">Diagnostic records what exists; toolkit guides what to start collecting; scorecard begins with indicators that can be verified now</w:t>
            </w:r>
          </w:p>
        </w:tc>
      </w:tr>
    </w:tbl>
    <w:p>
      <w:pPr>
        <w:pStyle w:val="Heading3"/>
      </w:pPr>
      <w:r>
        <w:t xml:space="preserve">4 Team and roles</w:t>
      </w:r>
    </w:p>
    <w:p>
      <w:pPr/>
      <w:r>
        <w:t xml:space="preserve">The terms of reference name six key expert roles. We cover each with a named expert or a named profile that we are confirming, and we back the key experts with a core team from SIC that has worked together on proposals and research. CVs of no more than three A4 sides each are attached for every confirmed individual.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Required role</w:t>
            </w:r>
          </w:p>
        </w:tc>
        <w:tc>
          <w:tcPr>
            <w:tcW w:w="3120" w:type="dxa"/>
            <w:shd w:val="clear" w:color="auto" w:fill="F2F2F2"/>
          </w:tcPr>
          <w:p>
            <w:pPr/>
            <w:r>
              <w:t xml:space="preserve">Proposed expert</w:t>
            </w:r>
          </w:p>
        </w:tc>
        <w:tc>
          <w:tcPr>
            <w:tcW w:w="3120" w:type="dxa"/>
            <w:shd w:val="clear" w:color="auto" w:fill="F2F2F2"/>
          </w:tcPr>
          <w:p>
            <w:pPr/>
            <w:r>
              <w:t xml:space="preserve">Responsibilities on this assignment</w:t>
            </w:r>
          </w:p>
        </w:tc>
      </w:tr>
      <w:tr>
        <w:tc>
          <w:tcPr>
            <w:tcW w:w="3120" w:type="dxa"/>
          </w:tcPr>
          <w:p>
            <w:pPr/>
            <w:r>
              <w:t xml:space="preserve">Team Lead, Investor Relations and Capital Markets Expert</w:t>
            </w:r>
          </w:p>
        </w:tc>
        <w:tc>
          <w:tcPr>
            <w:tcW w:w="3120" w:type="dxa"/>
          </w:tcPr>
          <w:p>
            <w:pPr/>
            <w:r>
              <w:t xml:space="preserve">[Name to be confirmed], with at least ten years in investor relations or capital markets, including work with an exchange, a listed company or a regulator</w:t>
            </w:r>
          </w:p>
        </w:tc>
        <w:tc>
          <w:tcPr>
            <w:tcW w:w="3120" w:type="dxa"/>
          </w:tcPr>
          <w:p>
            <w:pPr/>
            <w:r>
              <w:t xml:space="preserve">Overall technical leadership, stakeholder engagement, quality assurance and delivery</w:t>
            </w:r>
          </w:p>
        </w:tc>
      </w:tr>
      <w:tr>
        <w:tc>
          <w:tcPr>
            <w:tcW w:w="3120" w:type="dxa"/>
          </w:tcPr>
          <w:p>
            <w:pPr/>
            <w:r>
              <w:t xml:space="preserve">Disclosure, Governance or Regulatory Expert</w:t>
            </w:r>
          </w:p>
        </w:tc>
        <w:tc>
          <w:tcPr>
            <w:tcW w:w="3120" w:type="dxa"/>
          </w:tcPr>
          <w:p>
            <w:pPr/>
            <w:r>
              <w:t xml:space="preserve">[Name to be confirmed], with securities regulation, listing rules or corporate governance experience, supported by Dr. Perihan Abdelghaly on ESG disclosure standards</w:t>
            </w:r>
          </w:p>
        </w:tc>
        <w:tc>
          <w:tcPr>
            <w:tcW w:w="3120" w:type="dxa"/>
          </w:tcPr>
          <w:p>
            <w:pPr/>
            <w:r>
              <w:t xml:space="preserve">Alignment of every chapter, template and scorecard indicator with ESX and ECMA requirements</w:t>
            </w:r>
          </w:p>
        </w:tc>
      </w:tr>
      <w:tr>
        <w:tc>
          <w:tcPr>
            <w:tcW w:w="3120" w:type="dxa"/>
          </w:tcPr>
          <w:p>
            <w:pPr/>
            <w:r>
              <w:t xml:space="preserve">Training and Capacity-Building Specialist</w:t>
            </w:r>
          </w:p>
        </w:tc>
        <w:tc>
          <w:tcPr>
            <w:tcW w:w="3120" w:type="dxa"/>
          </w:tcPr>
          <w:p>
            <w:pPr/>
            <w:r>
              <w:t xml:space="preserve">[Name to be confirmed], with practitioner-level training of executives and financial professionals in emerging markets</w:t>
            </w:r>
          </w:p>
        </w:tc>
        <w:tc>
          <w:tcPr>
            <w:tcW w:w="3120" w:type="dxa"/>
          </w:tcPr>
          <w:p>
            <w:pPr/>
            <w:r>
              <w:t xml:space="preserve">Curriculum, adult-learning method, facilitation, simulations and training evaluation</w:t>
            </w:r>
          </w:p>
        </w:tc>
      </w:tr>
      <w:tr>
        <w:tc>
          <w:tcPr>
            <w:tcW w:w="3120" w:type="dxa"/>
          </w:tcPr>
          <w:p>
            <w:pPr/>
            <w:r>
              <w:t xml:space="preserve">Investor Engagement and Strategic Communications Expert</w:t>
            </w:r>
          </w:p>
        </w:tc>
        <w:tc>
          <w:tcPr>
            <w:tcW w:w="3120" w:type="dxa"/>
          </w:tcPr>
          <w:p>
            <w:pPr/>
            <w:r>
              <w:t xml:space="preserve">Regina Love Clarkson, with Caroline McCoy</w:t>
            </w:r>
          </w:p>
        </w:tc>
        <w:tc>
          <w:tcPr>
            <w:tcW w:w="3120" w:type="dxa"/>
          </w:tcPr>
          <w:p>
            <w:pPr/>
            <w:r>
              <w:t xml:space="preserve">ESX investor engagement strategy, stakeholder segmentation, engagement channels</w:t>
            </w:r>
          </w:p>
        </w:tc>
      </w:tr>
      <w:tr>
        <w:tc>
          <w:tcPr>
            <w:tcW w:w="3120" w:type="dxa"/>
          </w:tcPr>
          <w:p>
            <w:pPr/>
            <w:r>
              <w:t xml:space="preserve">Local Market Specialist</w:t>
            </w:r>
          </w:p>
        </w:tc>
        <w:tc>
          <w:tcPr>
            <w:tcW w:w="3120" w:type="dxa"/>
          </w:tcPr>
          <w:p>
            <w:pPr/>
            <w:r>
              <w:t xml:space="preserve">[Ethiopia-based expert, to be confirmed]</w:t>
            </w:r>
          </w:p>
        </w:tc>
        <w:tc>
          <w:tcPr>
            <w:tcW w:w="3120" w:type="dxa"/>
          </w:tcPr>
          <w:p>
            <w:pPr/>
            <w:r>
              <w:t xml:space="preserve">Context for Ethiopia’s capital market, issuer landscape, regulation and stakeholder expectations; consultations; workshop facilitation</w:t>
            </w:r>
          </w:p>
        </w:tc>
      </w:tr>
      <w:tr>
        <w:tc>
          <w:tcPr>
            <w:tcW w:w="3120" w:type="dxa"/>
          </w:tcPr>
          <w:p>
            <w:pPr/>
            <w:r>
              <w:t xml:space="preserve">ESG, Sustainability and Inclusive Finance Expert</w:t>
            </w:r>
          </w:p>
        </w:tc>
        <w:tc>
          <w:tcPr>
            <w:tcW w:w="3120" w:type="dxa"/>
          </w:tcPr>
          <w:p>
            <w:pPr/>
            <w:r>
              <w:t xml:space="preserve">Caroline N. Ndegwa</w:t>
            </w:r>
          </w:p>
        </w:tc>
        <w:tc>
          <w:tcPr>
            <w:tcW w:w="3120" w:type="dxa"/>
          </w:tcPr>
          <w:p>
            <w:pPr/>
            <w:r>
              <w:t xml:space="preserve">ESG and sustainability communication module, gender and inclusion disclosure guidance, ESG indicators for the scorecard</w:t>
            </w:r>
          </w:p>
        </w:tc>
      </w:tr>
    </w:tbl>
    <w:p>
      <w:pPr/>
      <w:r>
        <w:rPr>
          <w:b/>
        </w:rPr>
        <w:t xml:space="preserve">Core SIC team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Consultant</w:t>
            </w:r>
          </w:p>
        </w:tc>
        <w:tc>
          <w:tcPr>
            <w:tcW w:w="3120" w:type="dxa"/>
            <w:shd w:val="clear" w:color="auto" w:fill="F2F2F2"/>
          </w:tcPr>
          <w:p>
            <w:pPr/>
            <w:r>
              <w:t xml:space="preserve">Role</w:t>
            </w:r>
          </w:p>
        </w:tc>
        <w:tc>
          <w:tcPr>
            <w:tcW w:w="3120" w:type="dxa"/>
            <w:shd w:val="clear" w:color="auto" w:fill="F2F2F2"/>
          </w:tcPr>
          <w:p>
            <w:pPr/>
            <w:r>
              <w:t xml:space="preserve">Relevant experience</w:t>
            </w:r>
          </w:p>
        </w:tc>
      </w:tr>
      <w:tr>
        <w:tc>
          <w:tcPr>
            <w:tcW w:w="3120" w:type="dxa"/>
          </w:tcPr>
          <w:p>
            <w:pPr/>
            <w:r>
              <w:t xml:space="preserve">Regina Love Clarkson</w:t>
            </w:r>
          </w:p>
        </w:tc>
        <w:tc>
          <w:tcPr>
            <w:tcW w:w="3120" w:type="dxa"/>
          </w:tcPr>
          <w:p>
            <w:pPr/>
            <w:r>
              <w:t xml:space="preserve">Engagement Director; investor engagement and ESX strategy lead</w:t>
            </w:r>
          </w:p>
        </w:tc>
        <w:tc>
          <w:tcPr>
            <w:tcW w:w="3120" w:type="dxa"/>
          </w:tcPr>
          <w:p>
            <w:pPr/>
            <w:r>
              <w:t xml:space="preserve">Founder and Head of Impact Investments, Smart Impact Consult. Fund and Transaction Advisor to the Ministry of Communications, Technology and Innovation, Sierra Leone, for the Sierra Leone Innovation and Investment Fund: structure, transaction pipeline and capital mobilisation with a public-sector principal. African Cohort Fellow, Included VC, serving on three investment committees reviewing more than 150 ventures. Assessed 64+ impact investment propositions from fourteen African markets seeking USD 344m. Published research on Africa’s impact investment landscape, including </w:t>
            </w:r>
            <w:r>
              <w:rPr>
                <w:i/>
              </w:rPr>
              <w:t xml:space="preserve">The State of ESG Reporting for Emerging Fund Managers in Africa</w:t>
            </w:r>
            <w:r>
              <w:t xml:space="preserve"> (September 2026).</w:t>
            </w:r>
          </w:p>
        </w:tc>
      </w:tr>
      <w:tr>
        <w:tc>
          <w:tcPr>
            <w:tcW w:w="3120" w:type="dxa"/>
          </w:tcPr>
          <w:p>
            <w:pPr/>
            <w:r>
              <w:t xml:space="preserve">Caroline N. Ndegwa</w:t>
            </w:r>
          </w:p>
        </w:tc>
        <w:tc>
          <w:tcPr>
            <w:tcW w:w="3120" w:type="dxa"/>
          </w:tcPr>
          <w:p>
            <w:pPr/>
            <w:r>
              <w:t xml:space="preserve">ESG, sustainability and inclusive finance expert</w:t>
            </w:r>
          </w:p>
        </w:tc>
        <w:tc>
          <w:tcPr>
            <w:tcW w:w="3120" w:type="dxa"/>
          </w:tcPr>
          <w:p>
            <w:pPr/>
            <w:r>
              <w:t xml:space="preserve">Former ESG and Sustainability Consultant at Ernst &amp; Young, Nairobi. Authored sustainability and impact reports under GRI, TCFD and IFRS S1/S2, designed seven ESAP/ESMS frameworks and built portfolio dashboards in Power BI, Excel and SQL. Her diligence findings supported four completed early-stage investments and informed eight acquisitions. MSc, Circular Economy and Sustainability.</w:t>
            </w:r>
          </w:p>
        </w:tc>
      </w:tr>
      <w:tr>
        <w:tc>
          <w:tcPr>
            <w:tcW w:w="3120" w:type="dxa"/>
          </w:tcPr>
          <w:p>
            <w:pPr/>
            <w:r>
              <w:t xml:space="preserve">Caroline McCoy</w:t>
            </w:r>
          </w:p>
        </w:tc>
        <w:tc>
          <w:tcPr>
            <w:tcW w:w="3120" w:type="dxa"/>
          </w:tcPr>
          <w:p>
            <w:pPr/>
            <w:r>
              <w:t xml:space="preserve">Scorecard methodology and data; investor segmentation</w:t>
            </w:r>
          </w:p>
        </w:tc>
        <w:tc>
          <w:tcPr>
            <w:tcW w:w="3120" w:type="dxa"/>
          </w:tcPr>
          <w:p>
            <w:pPr/>
            <w:r>
              <w:t xml:space="preserve">Approximately two decades across institutional capital allocation, grantmaking systems and integrated capital strategy, working between Chicago and Nairobi. As Vice President Programs at Woods Fund Chicago, directed a USD 6m annual portfolio across 80+ organisations and led the redesign of portfolio systems to standardise allocation data across heterogeneous reporting entities. Founder, Red Soil Strategies.</w:t>
            </w:r>
          </w:p>
        </w:tc>
      </w:tr>
      <w:tr>
        <w:tc>
          <w:tcPr>
            <w:tcW w:w="3120" w:type="dxa"/>
          </w:tcPr>
          <w:p>
            <w:pPr/>
            <w:r>
              <w:t xml:space="preserve">Dr. Perihan Abdelghaly</w:t>
            </w:r>
          </w:p>
        </w:tc>
        <w:tc>
          <w:tcPr>
            <w:tcW w:w="3120" w:type="dxa"/>
          </w:tcPr>
          <w:p>
            <w:pPr/>
            <w:r>
              <w:t xml:space="preserve">ESG disclosure standards</w:t>
            </w:r>
          </w:p>
        </w:tc>
        <w:tc>
          <w:tcPr>
            <w:tcW w:w="3120" w:type="dxa"/>
          </w:tcPr>
          <w:p>
            <w:pPr/>
            <w:r>
              <w:t xml:space="preserve">Eighteen years in ESG and sustainable finance across the Middle East and the United Kingdom. Launched and managed MOSTADAM, the first sustainable finance platform in the MENA region, translating TCFD, ISSB and SFDR standards into institutional requirements; led ESG compliance for an institution holding a USD 100m IFC facility. PhD, Business Management, Middlesex University.</w:t>
            </w:r>
          </w:p>
        </w:tc>
      </w:tr>
      <w:tr>
        <w:tc>
          <w:tcPr>
            <w:tcW w:w="3120" w:type="dxa"/>
          </w:tcPr>
          <w:p>
            <w:pPr/>
            <w:r>
              <w:t xml:space="preserve">Boisy V.A. Williams</w:t>
            </w:r>
          </w:p>
        </w:tc>
        <w:tc>
          <w:tcPr>
            <w:tcW w:w="3120" w:type="dxa"/>
          </w:tcPr>
          <w:p>
            <w:pPr/>
            <w:r>
              <w:t xml:space="preserve">Project manager; reporting and delivery assurance</w:t>
            </w:r>
          </w:p>
        </w:tc>
        <w:tc>
          <w:tcPr>
            <w:tcW w:w="3120" w:type="dxa"/>
          </w:tcPr>
          <w:p>
            <w:pPr/>
            <w:r>
              <w:t xml:space="preserve">Twenty-six years of multi-country programme leadership with the Norwegian Refugee Council, Danish Refugee Council and CARE International, with primary budget-holder responsibility and direct experience of donor reporting to UNHCR, UNICEF, USAID, NORAD, ECHO and WFP. Master of Studies (Social Enterprise &amp; Community Development), University of Cambridge; MBA, Sheffield Hallam.</w:t>
            </w:r>
          </w:p>
        </w:tc>
      </w:tr>
      <w:tr>
        <w:tc>
          <w:tcPr>
            <w:tcW w:w="3120" w:type="dxa"/>
          </w:tcPr>
          <w:p>
            <w:pPr/>
            <w:r>
              <w:t xml:space="preserve">Damilare Jegede</w:t>
            </w:r>
          </w:p>
        </w:tc>
        <w:tc>
          <w:tcPr>
            <w:tcW w:w="3120" w:type="dxa"/>
          </w:tcPr>
          <w:p>
            <w:pPr/>
            <w:r>
              <w:t xml:space="preserve">Toolkit templates and print-ready design</w:t>
            </w:r>
          </w:p>
        </w:tc>
        <w:tc>
          <w:tcPr>
            <w:tcW w:w="3120" w:type="dxa"/>
          </w:tcPr>
          <w:p>
            <w:pPr/>
            <w:r>
              <w:t xml:space="preserve">Lead Impact Design Consultant, Smart Impact Consult. Leads brand identity, visual design and creative direction across client-facing deliverables, including a full website redesign for AfriGas Sierra Leone.</w:t>
            </w:r>
          </w:p>
        </w:tc>
      </w:tr>
      <w:tr>
        <w:tc>
          <w:tcPr>
            <w:tcW w:w="3120" w:type="dxa"/>
          </w:tcPr>
          <w:p>
            <w:pPr/>
            <w:r>
              <w:t xml:space="preserve">Anastasia Muthoni</w:t>
            </w:r>
          </w:p>
        </w:tc>
        <w:tc>
          <w:tcPr>
            <w:tcW w:w="3120" w:type="dxa"/>
          </w:tcPr>
          <w:p>
            <w:pPr/>
            <w:r>
              <w:t xml:space="preserve">Coordination, logistics, reporting tracker and scorecard data</w:t>
            </w:r>
          </w:p>
        </w:tc>
        <w:tc>
          <w:tcPr>
            <w:tcW w:w="3120" w:type="dxa"/>
          </w:tcPr>
          <w:p>
            <w:pPr/>
            <w:r>
              <w:t xml:space="preserve">Investment Operations Lead, Smart Impact Consult. BSc, MBA. Creates dashboards for SIC clients and projects; research and writing for SIC reports and articles.</w:t>
            </w:r>
          </w:p>
        </w:tc>
      </w:tr>
    </w:tbl>
    <w:p>
      <w:pPr/>
      <w:r>
        <w:t xml:space="preserve">The team is women-led, with members across Sierra Leone, Kenya, the United Kingdom and the United States, and four key experts (Team Lead, regulatory, training and local market) are recruited for this assignment and confirmed with their CVs before we submit.</w:t>
      </w:r>
    </w:p>
    <w:p>
      <w:pPr>
        <w:pStyle w:val="Heading3"/>
      </w:pPr>
      <w:r>
        <w:t xml:space="preserve">5 Firm experience and comparable assignments</w:t>
      </w:r>
    </w:p>
    <w:p>
      <w:pPr/>
      <w:r>
        <w:t xml:space="preserve">Smart Investment has operated from Sierra Leone since 2001, delivering ICT, infrastructure and institutional consultancy services across West Africa, with a client record including Orange Sierra Leone, Marampa Mines, Freetown Terminal Limited, Africa Global Logistics, Sierra Leone Commercial Bank and Rokel Commercial Bank. Smart Impact Consult is the group’s boutique impact-investment practice, working across Kenya and Sierra Leone.</w:t>
      </w:r>
    </w:p>
    <w:p>
      <w:pPr/>
      <w:r>
        <w:rPr>
          <w:b/>
        </w:rPr>
        <w:t xml:space="preserve">A candid comment on the requirements.</w:t>
      </w:r>
      <w:r>
        <w:t xml:space="preserve"> SIC is not an established investor relations consultancy, and we do not claim a record of advising listed companies on investor relations. What we bring is the other side of the table and the disclosure discipline that sits between them: how investors and investment committees judge a company, and how to report in a form they trust. That is the knowledge issuers in a new market most lack. The assignment also needs direct exchange, regulator and listed-company experience, and we have recruited the Team Lead, regulatory expert and local specialist to supply it. We set out below how our record meets each mandatory requirement and where it is carried by newly recruited experts.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Mandatory requirement</w:t>
            </w:r>
          </w:p>
        </w:tc>
        <w:tc>
          <w:tcPr>
            <w:tcW w:w="4680" w:type="dxa"/>
            <w:shd w:val="clear" w:color="auto" w:fill="F2F2F2"/>
          </w:tcPr>
          <w:p>
            <w:pPr/>
            <w:r>
              <w:t xml:space="preserve">Our evidence</w:t>
            </w:r>
          </w:p>
        </w:tc>
      </w:tr>
      <w:tr>
        <w:tc>
          <w:tcPr>
            <w:tcW w:w="4680" w:type="dxa"/>
          </w:tcPr>
          <w:p>
            <w:pPr/>
            <w:r>
              <w:t xml:space="preserve">Investor relations, capital markets advisory, issuer services, governance, disclosure advisory or strategic communications</w:t>
            </w:r>
          </w:p>
        </w:tc>
        <w:tc>
          <w:tcPr>
            <w:tcW w:w="4680" w:type="dxa"/>
          </w:tcPr>
          <w:p>
            <w:pPr/>
            <w:r>
              <w:t xml:space="preserve">Impact measurement and reporting for investors, funds and ventures, including the first five-year social impact report for Fishbowl Challenge and a digital-first annual impact report for Skool Grind SL. Published research on ESG reporting by emerging fund managers. Fundraising strategy and investor outreach for Protein Kenya in Q1 2026: 700+ leads and 2+ investors secured in under 60 days. Newly recruited Team Lead brings direct investor relations and capital markets practice</w:t>
            </w:r>
          </w:p>
        </w:tc>
      </w:tr>
      <w:tr>
        <w:tc>
          <w:tcPr>
            <w:tcW w:w="4680" w:type="dxa"/>
          </w:tcPr>
          <w:p>
            <w:pPr/>
            <w:r>
              <w:t xml:space="preserve">Work with securities exchanges, regulators, listed companies, public companies or international financial institutions</w:t>
            </w:r>
          </w:p>
        </w:tc>
        <w:tc>
          <w:tcPr>
            <w:tcW w:w="4680" w:type="dxa"/>
          </w:tcPr>
          <w:p>
            <w:pPr/>
            <w:r>
              <w:t xml:space="preserve">Fund and Transaction Advisor to a national innovation and investment fund, with a public-sector principal. Dr. Perihan Abdelghaly advised 30+ banks and DFIs on ESG diagnostics and led ESG compliance for an institution holding a USD 100m IFC facility. Direct exchange and regulator experience is carried by the newly recruited Team Lead and regulatory expert</w:t>
            </w:r>
          </w:p>
        </w:tc>
      </w:tr>
      <w:tr>
        <w:tc>
          <w:tcPr>
            <w:tcW w:w="4680" w:type="dxa"/>
          </w:tcPr>
          <w:p>
            <w:pPr/>
            <w:r>
              <w:t xml:space="preserve">Practitioner-level training for executives, company secretaries, CFOs, investor relations officers or market participants</w:t>
            </w:r>
          </w:p>
        </w:tc>
        <w:tc>
          <w:tcPr>
            <w:tcW w:w="4680" w:type="dxa"/>
          </w:tcPr>
          <w:p>
            <w:pPr/>
            <w:r>
              <w:t xml:space="preserve">Capital Ignition Workshop Series, engaging 115 founders. Dr. Abdelghaly delivered more than fifty workshops on sustainable finance through the London Institute of Banking and Finance. A training specialist recruited for this assignment brings practitioner-level training experience for executives and financial professionals</w:t>
            </w:r>
          </w:p>
        </w:tc>
      </w:tr>
      <w:tr>
        <w:tc>
          <w:tcPr>
            <w:tcW w:w="4680" w:type="dxa"/>
          </w:tcPr>
          <w:p>
            <w:pPr/>
            <w:r>
              <w:t xml:space="preserve">Toolkits, templates, disclosure frameworks and training materials</w:t>
            </w:r>
          </w:p>
        </w:tc>
        <w:tc>
          <w:tcPr>
            <w:tcW w:w="4680" w:type="dxa"/>
          </w:tcPr>
          <w:p>
            <w:pPr/>
            <w:r>
              <w:t xml:space="preserve">Seven ESAP/ESMS frameworks and eleven sustainability reports under GRI, TCFD and IFRS S1/S2 (Caroline N. Ndegwa). ESMS development, tracking and reporting systems for clients. Print-ready brand and design systems (Damilare Jegede)</w:t>
            </w:r>
          </w:p>
        </w:tc>
      </w:tr>
      <w:tr>
        <w:tc>
          <w:tcPr>
            <w:tcW w:w="4680" w:type="dxa"/>
          </w:tcPr>
          <w:p>
            <w:pPr/>
            <w:r>
              <w:t xml:space="preserve">Emerging, frontier or African markets</w:t>
            </w:r>
          </w:p>
        </w:tc>
        <w:tc>
          <w:tcPr>
            <w:tcW w:w="4680" w:type="dxa"/>
          </w:tcPr>
          <w:p>
            <w:pPr/>
            <w:r>
              <w:t xml:space="preserve">Every engagement above: Sierra Leone, Kenya and pan-African research across fourteen African markets</w:t>
            </w:r>
          </w:p>
        </w:tc>
      </w:tr>
    </w:tbl>
    <w:p>
      <w:pPr/>
      <w:r>
        <w:rPr>
          <w:b/>
        </w:rPr>
        <w:t xml:space="preserve">Comparable 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w:t>
            </w:r>
          </w:p>
        </w:tc>
        <w:tc>
          <w:tcPr>
            <w:tcW w:w="3120" w:type="dxa"/>
            <w:shd w:val="clear" w:color="auto" w:fill="F2F2F2"/>
          </w:tcPr>
          <w:p>
            <w:pPr/>
            <w:r>
              <w:t xml:space="preserve">What we did</w:t>
            </w:r>
          </w:p>
        </w:tc>
        <w:tc>
          <w:tcPr>
            <w:tcW w:w="3120" w:type="dxa"/>
            <w:shd w:val="clear" w:color="auto" w:fill="F2F2F2"/>
          </w:tcPr>
          <w:p>
            <w:pPr/>
            <w:r>
              <w:t xml:space="preserve">Relevance to this assignment</w:t>
            </w:r>
          </w:p>
        </w:tc>
      </w:tr>
      <w:tr>
        <w:tc>
          <w:tcPr>
            <w:tcW w:w="3120" w:type="dxa"/>
          </w:tcPr>
          <w:p>
            <w:pPr/>
            <w:r>
              <w:t xml:space="preserve">Capital Ignition Workshop Series</w:t>
            </w:r>
          </w:p>
        </w:tc>
        <w:tc>
          <w:tcPr>
            <w:tcW w:w="3120" w:type="dxa"/>
          </w:tcPr>
          <w:p>
            <w:pPr/>
            <w:r>
              <w:t xml:space="preserve">Engaged 115 founders and assessed 64+ investment propositions from fourteen African markets seeking USD 344m against a consistent framework</w:t>
            </w:r>
          </w:p>
        </w:tc>
        <w:tc>
          <w:tcPr>
            <w:tcW w:w="3120" w:type="dxa"/>
          </w:tcPr>
          <w:p>
            <w:pPr/>
            <w:r>
              <w:t xml:space="preserve">Investor-side assessment of readiness, and practitioner training at the same time</w:t>
            </w:r>
          </w:p>
        </w:tc>
      </w:tr>
      <w:tr>
        <w:tc>
          <w:tcPr>
            <w:tcW w:w="3120" w:type="dxa"/>
          </w:tcPr>
          <w:p>
            <w:pPr/>
            <w:r>
              <w:t xml:space="preserve">Included VC African Cohort Fellowship</w:t>
            </w:r>
          </w:p>
        </w:tc>
        <w:tc>
          <w:tcPr>
            <w:tcW w:w="3120" w:type="dxa"/>
          </w:tcPr>
          <w:p>
            <w:pPr/>
            <w:r>
              <w:t xml:space="preserve">Served on three investment committees reviewing more than 150 ventures</w:t>
            </w:r>
          </w:p>
        </w:tc>
        <w:tc>
          <w:tcPr>
            <w:tcW w:w="3120" w:type="dxa"/>
          </w:tcPr>
          <w:p>
            <w:pPr/>
            <w:r>
              <w:t xml:space="preserve">How institutional investors read a company’s disclosure and communication</w:t>
            </w:r>
          </w:p>
        </w:tc>
      </w:tr>
      <w:tr>
        <w:tc>
          <w:tcPr>
            <w:tcW w:w="3120" w:type="dxa"/>
          </w:tcPr>
          <w:p>
            <w:pPr/>
            <w:r>
              <w:t xml:space="preserve">Research on ESG reporting and the finance gap</w:t>
            </w:r>
          </w:p>
        </w:tc>
        <w:tc>
          <w:tcPr>
            <w:tcW w:w="3120" w:type="dxa"/>
          </w:tcPr>
          <w:p>
            <w:pPr/>
            <w:r>
              <w:t xml:space="preserve">Published papers, including </w:t>
            </w:r>
            <w:r>
              <w:rPr>
                <w:i/>
              </w:rPr>
              <w:t xml:space="preserve">The State of ESG Reporting for Emerging Fund Managers in Africa</w:t>
            </w:r>
            <w:r>
              <w:t xml:space="preserve"> (September 2026) and </w:t>
            </w:r>
            <w:r>
              <w:rPr>
                <w:i/>
              </w:rPr>
              <w:t xml:space="preserve">The Missing Middle in Africa’s Impact Investing Ecosystem</w:t>
            </w:r>
          </w:p>
        </w:tc>
        <w:tc>
          <w:tcPr>
            <w:tcW w:w="3120" w:type="dxa"/>
          </w:tcPr>
          <w:p>
            <w:pPr/>
            <w:r>
              <w:t xml:space="preserve">Evidence on how disclosure practice looks in African markets</w:t>
            </w:r>
          </w:p>
        </w:tc>
      </w:tr>
      <w:tr>
        <w:tc>
          <w:tcPr>
            <w:tcW w:w="3120" w:type="dxa"/>
          </w:tcPr>
          <w:p>
            <w:pPr/>
            <w:r>
              <w:t xml:space="preserve">Portfolio data systems, Woods Fund Chicago</w:t>
            </w:r>
          </w:p>
        </w:tc>
        <w:tc>
          <w:tcPr>
            <w:tcW w:w="3120" w:type="dxa"/>
          </w:tcPr>
          <w:p>
            <w:pPr/>
            <w:r>
              <w:t xml:space="preserve">Redesigned systems to standardise data across 80+ organisations</w:t>
            </w:r>
          </w:p>
        </w:tc>
        <w:tc>
          <w:tcPr>
            <w:tcW w:w="3120" w:type="dxa"/>
          </w:tcPr>
          <w:p>
            <w:pPr/>
            <w:r>
              <w:t xml:space="preserve">Scorecard design: comparable indicators across very different reporting entities</w:t>
            </w:r>
          </w:p>
        </w:tc>
      </w:tr>
      <w:tr>
        <w:tc>
          <w:tcPr>
            <w:tcW w:w="3120" w:type="dxa"/>
          </w:tcPr>
          <w:p>
            <w:pPr/>
            <w:r>
              <w:t xml:space="preserve">Impact and ESG reporting</w:t>
            </w:r>
          </w:p>
        </w:tc>
        <w:tc>
          <w:tcPr>
            <w:tcW w:w="3120" w:type="dxa"/>
          </w:tcPr>
          <w:p>
            <w:pPr/>
            <w:r>
              <w:t xml:space="preserve">Impact reports for Fishbowl Challenge and Skool Grind SL</w:t>
            </w:r>
          </w:p>
        </w:tc>
        <w:tc>
          <w:tcPr>
            <w:tcW w:w="3120" w:type="dxa"/>
          </w:tcPr>
          <w:p>
            <w:pPr/>
            <w:r>
              <w:t xml:space="preserve">Plain-language, decision-useful reporting</w:t>
            </w:r>
          </w:p>
        </w:tc>
      </w:tr>
    </w:tbl>
    <w:p>
      <w:pPr/>
      <w:r>
        <w:rPr>
          <w:b/>
        </w:rPr>
        <w:t xml:space="preserve">Worked example: evidence discipline.</w:t>
      </w:r>
      <w:r>
        <w:t xml:space="preserve"> In preparing a recent multi-country research proposal, we reviewed twenty-four primary sources across ten markets and tested sixteen headline figures against five attributes: definition, measure, sample, currency and period. Ten figures were cleared for use, one was cleared with an explicit caveat and five were excluded. A figure that cannot be verified is reported as unverified, not rounded into a narrative. We apply the same standard to the scorecard: an indicator is used only if it can be verified from a public source, and an issuer’s claim that cannot be traced is marked unverified, not scored as met.</w:t>
      </w:r>
    </w:p>
    <w:p>
      <w:pPr/>
      <w:r>
        <w:t xml:space="preserve">References from comparable assignments are available on request.</w:t>
      </w:r>
    </w:p>
    <w:p>
      <w:pPr>
        <w:pStyle w:val="Heading3"/>
      </w:pPr>
      <w:r>
        <w:t xml:space="preserve">Sources</w:t>
      </w:r>
    </w:p>
    <w:p>
      <w:pPr>
        <w:pStyle w:val="ListParagraph"/>
        <w:numPr>
          <w:ilvl w:val="0"/>
          <w:numId w:val="4"/>
        </w:numPr>
      </w:pPr>
      <w:r>
        <w:t xml:space="preserve">FSD Ethiopia, Request for Proposal: Strengthening Investor Relations Capacity Among Listed, OTC-Traded, and Prospective Public Companies in Ethiopia’s Capital Market</w:t>
      </w:r>
    </w:p>
    <w:p>
      <w:pPr>
        <w:pStyle w:val="ListParagraph"/>
        <w:numPr>
          <w:ilvl w:val="0"/>
          <w:numId w:val="4"/>
        </w:numPr>
      </w:pPr>
      <w:hyperlink r:id="rId4" w:history="1">
        <w:r>
          <w:rPr>
            <w:rStyle w:val="Hyperlink"/>
          </w:rPr>
          <w:t xml:space="preserve">Addis Standard report on the launch of the Ethiopian Securities Exchange, 10 January 2025</w:t>
        </w:r>
      </w:hyperlink>
    </w:p>
    <w:p>
      <w:pPr>
        <w:pStyle w:val="ListParagraph"/>
        <w:numPr>
          <w:ilvl w:val="0"/>
          <w:numId w:val="4"/>
        </w:numPr>
      </w:pPr>
      <w:hyperlink r:id="rId5" w:history="1">
        <w:r>
          <w:rPr>
            <w:rStyle w:val="Hyperlink"/>
          </w:rPr>
          <w:t xml:space="preserve">ESX partners with FSD Africa and FSD Ethiopia to boost capital market growth</w:t>
        </w:r>
      </w:hyperlink>
    </w:p>
    <w:p>
      <w:pPr>
        <w:pStyle w:val="ListParagraph"/>
        <w:numPr>
          <w:ilvl w:val="0"/>
          <w:numId w:val="4"/>
        </w:numPr>
      </w:pPr>
      <w:hyperlink r:id="rId6" w:history="1">
        <w:r>
          <w:rPr>
            <w:rStyle w:val="Hyperlink"/>
          </w:rPr>
          <w:t xml:space="preserve">Saudi Exchange investor relations toolkit</w:t>
        </w:r>
      </w:hyperlink>
    </w:p>
    <w:p>
      <w:pPr>
        <w:pStyle w:val="ListParagraph"/>
        <w:numPr>
          <w:ilvl w:val="0"/>
          <w:numId w:val="4"/>
        </w:numPr>
      </w:pPr>
      <w:hyperlink r:id="rId7" w:history="1">
        <w:r>
          <w:rPr>
            <w:rStyle w:val="Hyperlink"/>
          </w:rPr>
          <w:t xml:space="preserve">Bahrain Bourse investor relations best practice guide, 2021</w:t>
        </w:r>
      </w:hyperlink>
    </w:p>
    <w:p>
      <w:pPr>
        <w:pStyle w:val="ListParagraph"/>
        <w:numPr>
          <w:ilvl w:val="0"/>
          <w:numId w:val="4"/>
        </w:numPr>
      </w:pPr>
      <w:hyperlink r:id="rId8" w:history="1">
        <w:r>
          <w:rPr>
            <w:rStyle w:val="Hyperlink"/>
          </w:rPr>
          <w:t xml:space="preserve">GCC Exchanges Unified IR Guideline 2025</w:t>
        </w:r>
      </w:hyperlink>
    </w:p>
    <w:p>
      <w:pPr>
        <w:pStyle w:val="ListParagraph"/>
        <w:numPr>
          <w:ilvl w:val="0"/>
          <w:numId w:val="4"/>
        </w:numPr>
      </w:pPr>
      <w:hyperlink r:id="rId9" w:history="1">
        <w:r>
          <w:rPr>
            <w:rStyle w:val="Hyperlink"/>
          </w:rPr>
          <w:t xml:space="preserve">ADX investor relations guide</w:t>
        </w:r>
      </w:hyperlink>
    </w:p>
    <w:p>
      <w:pPr>
        <w:pStyle w:val="ListParagraph"/>
        <w:numPr>
          <w:ilvl w:val="0"/>
          <w:numId w:val="4"/>
        </w:numPr>
      </w:pPr>
      <w:hyperlink r:id="rId10" w:history="1">
        <w:r>
          <w:rPr>
            <w:rStyle w:val="Hyperlink"/>
          </w:rPr>
          <w:t xml:space="preserve">Investor Relations Society Best Practice Awards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x.com/addisstandard/status/1877727005141090711" TargetMode="External"/><Relationship Id="rId5" Type="http://schemas.openxmlformats.org/officeDocument/2006/relationships/hyperlink" Target="https://ethiopianbusinessreview.net/?p=15964" TargetMode="External"/><Relationship Id="rId6" Type="http://schemas.openxmlformats.org/officeDocument/2006/relationships/hyperlink" Target="https://www.saudiexchange.sa/wps/portal/saudiexchange/listing/issuer-guides/investor-relations-toolkit" TargetMode="External"/><Relationship Id="rId7" Type="http://schemas.openxmlformats.org/officeDocument/2006/relationships/hyperlink" Target="https://trowers.com/insights/2021/october/bahrain-bourse-ir-best-practice-guide" TargetMode="External"/><Relationship Id="rId8" Type="http://schemas.openxmlformats.org/officeDocument/2006/relationships/hyperlink" Target="https://bahrainbourse.com/en/Sustainability/guidelines/Documents/The%20GCC%20Exchanges%20Unified%20IR%20Guideline%202025.pdf" TargetMode="External"/><Relationship Id="rId9" Type="http://schemas.openxmlformats.org/officeDocument/2006/relationships/hyperlink" Target="https://www.wam.ae/en/article/3coqvtho-adx-unveils-new-investor-relations-guide" TargetMode="External"/><Relationship Id="rId10" Type="http://schemas.openxmlformats.org/officeDocument/2006/relationships/hyperlink" Target="https://irsociety.org.uk/node/74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Proposal Strengthening Investor Relations in Ethiopia's Capital Market  FSD Ethi</dc:title>
  <dc:description>Claude Docs node/c36fa1a5-b0a8@17 docx-w6</dc:description>
  <cp:revision>17</cp:revision>
</cp:coreProperties>
</file>